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Image Descriptions (Alternative Text)</w:t>
      </w:r>
    </w:p>
    <w:p>
      <w:pPr>
        <w:spacing w:after="200" w:line="30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Optional author-supplied image descriptions for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Home Cultures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. Each description states what the figure shows and the information it conveys.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7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Figure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Seventeenth-century Dutch painting of a dim cottage interior in which a peasant family eats, works and tends children around a hearth in one shared room.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2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Photograph of a Victorian nursery bedroom with a cot, patterned wallpaper, a plain floor and sparse furniture under a high window.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3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Photograph of the children’s room of the Haus am Horn, with bright colored furniture and a view through to the kitchen.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4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Architectural plan of a holiday pavilion: a central shared salon with separate children’s bedrooms on either side.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5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Architectural first-floor plan of a house, showing the child’s room beside the parents’ bedroom and dressing room.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6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Black-and-white photograph of a girl seated in her room beside a small dressing table, with dolls on a wall shelf, a floral divan and a rug.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7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Black-and-white flowchart in four phases (data, coding, analysis, synthesis), linking the issue census, record inventory, index, coding layers, color analysis, statistics and conceptual model.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8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Four-panel chart: records by genre and pages by format over time, the share of indexed issues with child- or teen-room content rising after 2001, and pages per issue falling after 2001.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9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heat maps of the percentage of records containing each of twelve themes, by period, for the headline layer and the visuo-textual layer.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10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magazine pages from 2001 showing named children’s rooms, one with a heart-shaped headboard and one pairing pink and blue rooms.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11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Triangular matrix of Jaccard similarity between themes; brand discourse links most strongly with age segmentation, and gender with individualization.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12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Three magazine spreads from 1997–2001: furniture round-ups for children’s and teenagers’ rooms, and licensed-character bedlinen.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13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Çilek advertisements from 2005: a pink canopy-bed room for a girl, and a girl seated on a red racing-car bed.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14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Three-panel color analysis: hue shares by phase, the pink–magenta share by record and gender code, and dominant color palettes.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15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Magazine page from 2003 titled “A world special for children,” with painted walls and a text on the psychology of colors.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16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advertisements: a carpet for a teenage girl’s room with credit-card logos, and a Çilek trade-in campaign with an installment offer.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17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Two advertisements: a Bebeform nursery addressing parents, and a Çilek teen room addressing the teenager directly with “Your room is your life.”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Figure 18</w:t>
            </w:r>
          </w:p>
        </w:tc>
        <w:tc>
          <w:tcPr>
            <w:tcW w:type="dxa" w:w="7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Black-and-white diagram of three stages (spatial absence, pedagogical refuge, status showcase) compared across child figure, spatial form, legitimizing discourse, authority, value regime and addressee.</w:t>
            </w:r>
          </w:p>
        </w:tc>
      </w:tr>
    </w:tbl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Image_Descriptions_Alt_Text.docx</dc:title>
  <dc:creator>Ayşan Ilgın Polat</dc:creator>
  <cp:lastModifiedBy>Un-named</cp:lastModifiedBy>
  <cp:revision>1</cp:revision>
  <dcterms:created xsi:type="dcterms:W3CDTF">2026-10-16T12:03:34.493Z</dcterms:created>
  <dcterms:modified xsi:type="dcterms:W3CDTF">2026-10-16T12:03:34.493Z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