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00"/>
        <w:jc w:val="left"/>
      </w:pPr>
      <w:r>
        <w:rPr>
          <w:rFonts w:ascii="Times New Roman" w:cs="Times New Roman" w:eastAsia="Times New Roman" w:hAnsi="Times New Roman"/>
          <w:b/>
          <w:bCs/>
          <w:i w:val="false"/>
          <w:iCs w:val="false"/>
          <w:sz w:val="28"/>
          <w:szCs w:val="28"/>
        </w:rPr>
        <w:t xml:space="preserve">Supplementary Material S2</w:t>
      </w:r>
    </w:p>
    <w:p>
      <w:pPr>
        <w:spacing w:after="80" w:line="300"/>
        <w:jc w:val="left"/>
      </w:pPr>
      <w:r>
        <w:rPr>
          <w:rFonts w:ascii="Times New Roman" w:cs="Times New Roman" w:eastAsia="Times New Roman" w:hAnsi="Times New Roman"/>
          <w:i/>
          <w:iCs/>
          <w:sz w:val="22"/>
          <w:szCs w:val="22"/>
        </w:rPr>
        <w:t xml:space="preserve">From Pedagogical Refuge to Status Showcase: The Child’s Room in Turkish Design Media, 1993–2005</w:t>
      </w:r>
    </w:p>
    <w:p>
      <w:pPr>
        <w:spacing w:after="240" w:line="300"/>
        <w:jc w:val="left"/>
      </w:pPr>
      <w:r>
        <w:rPr>
          <w:rFonts w:ascii="Times New Roman" w:cs="Times New Roman" w:eastAsia="Times New Roman" w:hAnsi="Times New Roman"/>
          <w:i w:val="false"/>
          <w:iCs w:val="false"/>
          <w:sz w:val="22"/>
          <w:szCs w:val="22"/>
        </w:rPr>
        <w:t xml:space="preserve">Methods appendix: corpus, index, coding, color measurement, statistics and journal benchmarking</w:t>
      </w:r>
    </w:p>
    <w:p>
      <w:pPr>
        <w:pStyle w:val="Heading1"/>
        <w:keepNext/>
        <w:spacing w:after="120" w:before="300"/>
      </w:pPr>
      <w:r>
        <w:rPr>
          <w:rFonts w:ascii="Times New Roman" w:cs="Times New Roman" w:eastAsia="Times New Roman" w:hAnsi="Times New Roman"/>
          <w:b/>
          <w:bCs/>
          <w:i w:val="false"/>
          <w:iCs w:val="false"/>
          <w:sz w:val="26"/>
          <w:szCs w:val="26"/>
        </w:rPr>
        <w:t xml:space="preserve">S2.1 Choice of Source</w:t>
      </w:r>
    </w:p>
    <w:p>
      <w:pPr>
        <w:spacing w:after="120" w:line="320"/>
        <w:jc w:val="both"/>
      </w:pPr>
      <w:r>
        <w:rPr>
          <w:rFonts w:ascii="Times New Roman" w:cs="Times New Roman" w:eastAsia="Times New Roman" w:hAnsi="Times New Roman"/>
          <w:i w:val="false"/>
          <w:iCs w:val="false"/>
          <w:sz w:val="24"/>
          <w:szCs w:val="24"/>
        </w:rPr>
        <w:t xml:space="preserve">The study covers the run of </w:t>
      </w:r>
      <w:r>
        <w:rPr>
          <w:rFonts w:ascii="Times New Roman" w:cs="Times New Roman" w:eastAsia="Times New Roman" w:hAnsi="Times New Roman"/>
          <w:i/>
          <w:iCs/>
          <w:sz w:val="24"/>
          <w:szCs w:val="24"/>
        </w:rPr>
        <w:t xml:space="preserve">AD (Art Decor)</w:t>
      </w:r>
      <w:r>
        <w:rPr>
          <w:rFonts w:ascii="Times New Roman" w:cs="Times New Roman" w:eastAsia="Times New Roman" w:hAnsi="Times New Roman"/>
          <w:i w:val="false"/>
          <w:iCs w:val="false"/>
          <w:sz w:val="24"/>
          <w:szCs w:val="24"/>
        </w:rPr>
        <w:t xml:space="preserve"> from 1993, the year the magazine was launched, to 2005. In these twelve years post-1980 consumption practices and new lifestyle aspirations were most intensely reflected in the Turkish domestic interior, and the transformation of the child’s room into a market-targeted showcase can be followed most clearly. The choice of </w:t>
      </w:r>
      <w:r>
        <w:rPr>
          <w:rFonts w:ascii="Times New Roman" w:cs="Times New Roman" w:eastAsia="Times New Roman" w:hAnsi="Times New Roman"/>
          <w:i/>
          <w:iCs/>
          <w:sz w:val="24"/>
          <w:szCs w:val="24"/>
        </w:rPr>
        <w:t xml:space="preserve">AD</w:t>
      </w:r>
      <w:r>
        <w:rPr>
          <w:rFonts w:ascii="Times New Roman" w:cs="Times New Roman" w:eastAsia="Times New Roman" w:hAnsi="Times New Roman"/>
          <w:i w:val="false"/>
          <w:iCs w:val="false"/>
          <w:sz w:val="24"/>
          <w:szCs w:val="24"/>
        </w:rPr>
        <w:t xml:space="preserve"> rests on a comparison with other periodicals of the time. Journals such as </w:t>
      </w:r>
      <w:r>
        <w:rPr>
          <w:rFonts w:ascii="Times New Roman" w:cs="Times New Roman" w:eastAsia="Times New Roman" w:hAnsi="Times New Roman"/>
          <w:i/>
          <w:iCs/>
          <w:sz w:val="24"/>
          <w:szCs w:val="24"/>
        </w:rPr>
        <w:t xml:space="preserve">Arredamento Mimarlık</w:t>
      </w:r>
      <w:r>
        <w:rPr>
          <w:rFonts w:ascii="Times New Roman" w:cs="Times New Roman" w:eastAsia="Times New Roman" w:hAnsi="Times New Roman"/>
          <w:i w:val="false"/>
          <w:iCs w:val="false"/>
          <w:sz w:val="24"/>
          <w:szCs w:val="24"/>
        </w:rPr>
        <w:t xml:space="preserve"> (Arredamento Architecture) concentrated on professional practice and disciplinary debate and kept their distance from domestic consumption. Magazines such as </w:t>
      </w:r>
      <w:r>
        <w:rPr>
          <w:rFonts w:ascii="Times New Roman" w:cs="Times New Roman" w:eastAsia="Times New Roman" w:hAnsi="Times New Roman"/>
          <w:i/>
          <w:iCs/>
          <w:sz w:val="24"/>
          <w:szCs w:val="24"/>
        </w:rPr>
        <w:t xml:space="preserve">Vizyon Dekor</w:t>
      </w:r>
      <w:r>
        <w:rPr>
          <w:rFonts w:ascii="Times New Roman" w:cs="Times New Roman" w:eastAsia="Times New Roman" w:hAnsi="Times New Roman"/>
          <w:i w:val="false"/>
          <w:iCs w:val="false"/>
          <w:sz w:val="24"/>
          <w:szCs w:val="24"/>
        </w:rPr>
        <w:t xml:space="preserve"> (Vision Décor) and </w:t>
      </w:r>
      <w:r>
        <w:rPr>
          <w:rFonts w:ascii="Times New Roman" w:cs="Times New Roman" w:eastAsia="Times New Roman" w:hAnsi="Times New Roman"/>
          <w:i/>
          <w:iCs/>
          <w:sz w:val="24"/>
          <w:szCs w:val="24"/>
        </w:rPr>
        <w:t xml:space="preserve">Evim</w:t>
      </w:r>
      <w:r>
        <w:rPr>
          <w:rFonts w:ascii="Times New Roman" w:cs="Times New Roman" w:eastAsia="Times New Roman" w:hAnsi="Times New Roman"/>
          <w:i w:val="false"/>
          <w:iCs w:val="false"/>
          <w:sz w:val="24"/>
          <w:szCs w:val="24"/>
        </w:rPr>
        <w:t xml:space="preserve"> (My Home), by contrast, offered practical decoration advice to a broad readership. </w:t>
      </w:r>
      <w:r>
        <w:rPr>
          <w:rFonts w:ascii="Times New Roman" w:cs="Times New Roman" w:eastAsia="Times New Roman" w:hAnsi="Times New Roman"/>
          <w:i/>
          <w:iCs/>
          <w:sz w:val="24"/>
          <w:szCs w:val="24"/>
        </w:rPr>
        <w:t xml:space="preserve">AD</w:t>
      </w:r>
      <w:r>
        <w:rPr>
          <w:rFonts w:ascii="Times New Roman" w:cs="Times New Roman" w:eastAsia="Times New Roman" w:hAnsi="Times New Roman"/>
          <w:i w:val="false"/>
          <w:iCs w:val="false"/>
          <w:sz w:val="24"/>
          <w:szCs w:val="24"/>
        </w:rPr>
        <w:t xml:space="preserve"> occupied the intersection of these two poles, combining designer-signed interiors, popular imagery, generous space for furniture brands and the lifestyle expectations of the upper middle class.</w:t>
      </w:r>
    </w:p>
    <w:p>
      <w:pPr>
        <w:pStyle w:val="Heading1"/>
        <w:keepNext/>
        <w:spacing w:after="120" w:before="300"/>
      </w:pPr>
      <w:r>
        <w:rPr>
          <w:rFonts w:ascii="Times New Roman" w:cs="Times New Roman" w:eastAsia="Times New Roman" w:hAnsi="Times New Roman"/>
          <w:b/>
          <w:bCs/>
          <w:i w:val="false"/>
          <w:iCs w:val="false"/>
          <w:sz w:val="26"/>
          <w:szCs w:val="26"/>
        </w:rPr>
        <w:t xml:space="preserve">S2.2 Corpus Construction and Screening</w:t>
      </w:r>
    </w:p>
    <w:p>
      <w:pPr>
        <w:spacing w:after="120" w:line="320"/>
        <w:jc w:val="both"/>
      </w:pPr>
      <w:r>
        <w:rPr>
          <w:rFonts w:ascii="Times New Roman" w:cs="Times New Roman" w:eastAsia="Times New Roman" w:hAnsi="Times New Roman"/>
          <w:i w:val="false"/>
          <w:iCs w:val="false"/>
          <w:sz w:val="24"/>
          <w:szCs w:val="24"/>
        </w:rPr>
        <w:t xml:space="preserve">To avoid selection bias, the complete run of 152 issues was screened page by page (full census). A record was defined as a contiguous editorial feature, product round-up or advertisement whose primary subject is a nursery, a child’s room or a teenager’s room, or a house feature in which such a room is presented as a distinct space. Records were registered with year, issue and page numbers, the magazine’s own section label and the headline or slogan. Screening yielded 46 records in 28 issues (112 pages). Page scans were archived for 23 records from 1997–2005 (47 usable images; four placeholders in record 25 could not be recovered).</w:t>
      </w:r>
    </w:p>
    <w:p>
      <w:pPr>
        <w:spacing w:after="120" w:line="320"/>
        <w:jc w:val="both"/>
      </w:pPr>
      <w:r>
        <w:rPr>
          <w:rFonts w:ascii="Times New Roman" w:cs="Times New Roman" w:eastAsia="Times New Roman" w:hAnsi="Times New Roman"/>
          <w:i w:val="false"/>
          <w:iCs w:val="false"/>
          <w:sz w:val="24"/>
          <w:szCs w:val="24"/>
        </w:rPr>
        <w:t xml:space="preserve">Two records were harmonized during coding. Record 37, labeled “promotion” in the source, was reclassified as a house feature because the scans show an editorial presentation of a residence. The headline of record 40, transcribed in the first inventory as a duplicate of record 39, was corrected from the scan to the Çilek advertisement that it reproduces.</w:t>
      </w:r>
    </w:p>
    <w:p>
      <w:pPr>
        <w:pStyle w:val="Heading1"/>
        <w:keepNext/>
        <w:spacing w:after="120" w:before="300"/>
      </w:pPr>
      <w:r>
        <w:rPr>
          <w:rFonts w:ascii="Times New Roman" w:cs="Times New Roman" w:eastAsia="Times New Roman" w:hAnsi="Times New Roman"/>
          <w:b/>
          <w:bCs/>
          <w:i w:val="false"/>
          <w:iCs w:val="false"/>
          <w:sz w:val="26"/>
          <w:szCs w:val="26"/>
        </w:rPr>
        <w:t xml:space="preserve">S2.3 Issue-Level Index</w:t>
      </w:r>
    </w:p>
    <w:p>
      <w:pPr>
        <w:spacing w:after="120" w:line="320"/>
        <w:jc w:val="both"/>
      </w:pPr>
      <w:r>
        <w:rPr>
          <w:rFonts w:ascii="Times New Roman" w:cs="Times New Roman" w:eastAsia="Times New Roman" w:hAnsi="Times New Roman"/>
          <w:i w:val="false"/>
          <w:iCs w:val="false"/>
          <w:sz w:val="24"/>
          <w:szCs w:val="24"/>
        </w:rPr>
        <w:t xml:space="preserve">The record inventory was cross-checked against an issue-level content index of </w:t>
      </w:r>
      <w:r>
        <w:rPr>
          <w:rFonts w:ascii="Times New Roman" w:cs="Times New Roman" w:eastAsia="Times New Roman" w:hAnsi="Times New Roman"/>
          <w:i/>
          <w:iCs/>
          <w:sz w:val="24"/>
          <w:szCs w:val="24"/>
        </w:rPr>
        <w:t xml:space="preserve">AD</w:t>
      </w:r>
      <w:r>
        <w:rPr>
          <w:rFonts w:ascii="Times New Roman" w:cs="Times New Roman" w:eastAsia="Times New Roman" w:hAnsi="Times New Roman"/>
          <w:i w:val="false"/>
          <w:iCs w:val="false"/>
          <w:sz w:val="24"/>
          <w:szCs w:val="24"/>
        </w:rPr>
        <w:t xml:space="preserve"> compiled by the research team. For each issue the index records the publication month, page count, cover headlines, contents and keywords. For 37 issues it also lists the featured spaces with their designer, location and type (202 spaces). Usable entries exist for 109 of the 152 issues; issues 16–47, 93–99 and 149 have not yet been indexed. The index was used in three ways:</w:t>
      </w:r>
    </w:p>
    <w:p>
      <w:pPr>
        <w:pStyle w:val="ListParagraph"/>
        <w:numPr>
          <w:ilvl w:val="0"/>
          <w:numId w:val="2"/>
        </w:numPr>
        <w:spacing w:after="60" w:line="280"/>
      </w:pPr>
      <w:r>
        <w:rPr>
          <w:rFonts w:ascii="Times New Roman" w:cs="Times New Roman" w:eastAsia="Times New Roman" w:hAnsi="Times New Roman"/>
          <w:i w:val="false"/>
          <w:iCs w:val="false"/>
          <w:sz w:val="22"/>
          <w:szCs w:val="22"/>
        </w:rPr>
        <w:t xml:space="preserve">to check the coverage of the inventory;</w:t>
      </w:r>
    </w:p>
    <w:p>
      <w:pPr>
        <w:pStyle w:val="ListParagraph"/>
        <w:numPr>
          <w:ilvl w:val="0"/>
          <w:numId w:val="2"/>
        </w:numPr>
        <w:spacing w:after="60" w:line="280"/>
      </w:pPr>
      <w:r>
        <w:rPr>
          <w:rFonts w:ascii="Times New Roman" w:cs="Times New Roman" w:eastAsia="Times New Roman" w:hAnsi="Times New Roman"/>
          <w:i w:val="false"/>
          <w:iCs w:val="false"/>
          <w:sz w:val="22"/>
          <w:szCs w:val="22"/>
        </w:rPr>
        <w:t xml:space="preserve">to construct an issue-level measure of child-room content that does not depend on the inventory;</w:t>
      </w:r>
    </w:p>
    <w:p>
      <w:pPr>
        <w:pStyle w:val="ListParagraph"/>
        <w:numPr>
          <w:ilvl w:val="0"/>
          <w:numId w:val="2"/>
        </w:numPr>
        <w:spacing w:after="60" w:line="280"/>
      </w:pPr>
      <w:r>
        <w:rPr>
          <w:rFonts w:ascii="Times New Roman" w:cs="Times New Roman" w:eastAsia="Times New Roman" w:hAnsi="Times New Roman"/>
          <w:i w:val="false"/>
          <w:iCs w:val="false"/>
          <w:sz w:val="22"/>
          <w:szCs w:val="22"/>
        </w:rPr>
        <w:t xml:space="preserve">to describe the magazine’s size and the geography of its featured spaces.</w:t>
      </w:r>
    </w:p>
    <w:p>
      <w:pPr>
        <w:spacing w:after="120" w:line="320"/>
        <w:jc w:val="both"/>
      </w:pPr>
      <w:r>
        <w:rPr>
          <w:rFonts w:ascii="Times New Roman" w:cs="Times New Roman" w:eastAsia="Times New Roman" w:hAnsi="Times New Roman"/>
          <w:i w:val="false"/>
          <w:iCs w:val="false"/>
          <w:sz w:val="24"/>
          <w:szCs w:val="24"/>
        </w:rPr>
        <w:t xml:space="preserve">An issue was coded as positive when its entry referred to children’s, babies’ or teenagers’ rooms, furniture, textiles or lighting. Children’s clothing, toys and shops were excluded, and references to a teenager’s room (</w:t>
      </w:r>
      <w:r>
        <w:rPr>
          <w:rFonts w:ascii="Times New Roman" w:cs="Times New Roman" w:eastAsia="Times New Roman" w:hAnsi="Times New Roman"/>
          <w:i/>
          <w:iCs/>
          <w:sz w:val="24"/>
          <w:szCs w:val="24"/>
        </w:rPr>
        <w:t xml:space="preserve">genç odası</w:t>
      </w:r>
      <w:r>
        <w:rPr>
          <w:rFonts w:ascii="Times New Roman" w:cs="Times New Roman" w:eastAsia="Times New Roman" w:hAnsi="Times New Roman"/>
          <w:i w:val="false"/>
          <w:iCs w:val="false"/>
          <w:sz w:val="24"/>
          <w:szCs w:val="24"/>
        </w:rPr>
        <w:t xml:space="preserve">) were coded separately. The index flags fourteen issues with relevant content that are missing from the inventory (issues 51, 70, 89, 100, 102, 103, 108, 109, 112, 136, 141, 145, 148 and 152). The inventory counts are therefore conservative. One discrepancy remains to be resolved against the printed issues: the inventory assigns the August 2001 features to issue 101, whereas the index lists them under issue 102.</w:t>
      </w:r>
    </w:p>
    <w:p>
      <w:pPr>
        <w:pStyle w:val="Heading1"/>
        <w:keepNext/>
        <w:spacing w:after="120" w:before="300"/>
      </w:pPr>
      <w:r>
        <w:rPr>
          <w:rFonts w:ascii="Times New Roman" w:cs="Times New Roman" w:eastAsia="Times New Roman" w:hAnsi="Times New Roman"/>
          <w:b/>
          <w:bCs/>
          <w:i w:val="false"/>
          <w:iCs w:val="false"/>
          <w:sz w:val="26"/>
          <w:szCs w:val="26"/>
        </w:rPr>
        <w:t xml:space="preserve">S2.4 Coding Scheme and Layers</w:t>
      </w:r>
    </w:p>
    <w:p>
      <w:pPr>
        <w:spacing w:after="120" w:line="320"/>
        <w:jc w:val="both"/>
      </w:pPr>
      <w:r>
        <w:rPr>
          <w:rFonts w:ascii="Times New Roman" w:cs="Times New Roman" w:eastAsia="Times New Roman" w:hAnsi="Times New Roman"/>
          <w:i w:val="false"/>
          <w:iCs w:val="false"/>
          <w:sz w:val="24"/>
          <w:szCs w:val="24"/>
        </w:rPr>
        <w:t xml:space="preserve">Coding followed the systematic visuo-textual analysis of Brown and Collins (2021), which treats image and text as one unit of meaning and proceeds from description to interpretation in documented steps. It was complemented by established procedures for the content analysis of visual material (Rose 2016; Krippendorff 2018). Each record was first coded for genre, harmonized into the magazine’s own three categories:</w:t>
      </w:r>
    </w:p>
    <w:p>
      <w:pPr>
        <w:pStyle w:val="ListParagraph"/>
        <w:numPr>
          <w:ilvl w:val="0"/>
          <w:numId w:val="2"/>
        </w:numPr>
        <w:spacing w:after="60" w:line="280"/>
      </w:pPr>
      <w:r>
        <w:rPr>
          <w:rFonts w:ascii="Times New Roman" w:cs="Times New Roman" w:eastAsia="Times New Roman" w:hAnsi="Times New Roman"/>
          <w:i w:val="false"/>
          <w:iCs w:val="false"/>
          <w:sz w:val="22"/>
          <w:szCs w:val="22"/>
        </w:rPr>
        <w:t xml:space="preserve">design pages: editor- or designer-authored proposals for how a room should be;</w:t>
      </w:r>
    </w:p>
    <w:p>
      <w:pPr>
        <w:pStyle w:val="ListParagraph"/>
        <w:numPr>
          <w:ilvl w:val="0"/>
          <w:numId w:val="2"/>
        </w:numPr>
        <w:spacing w:after="60" w:line="280"/>
      </w:pPr>
      <w:r>
        <w:rPr>
          <w:rFonts w:ascii="Times New Roman" w:cs="Times New Roman" w:eastAsia="Times New Roman" w:hAnsi="Times New Roman"/>
          <w:i w:val="false"/>
          <w:iCs w:val="false"/>
          <w:sz w:val="22"/>
          <w:szCs w:val="22"/>
        </w:rPr>
        <w:t xml:space="preserve">house features: real residences in which the room’s position in the dwelling can be observed;</w:t>
      </w:r>
    </w:p>
    <w:p>
      <w:pPr>
        <w:pStyle w:val="ListParagraph"/>
        <w:numPr>
          <w:ilvl w:val="0"/>
          <w:numId w:val="2"/>
        </w:numPr>
        <w:spacing w:after="60" w:line="280"/>
      </w:pPr>
      <w:r>
        <w:rPr>
          <w:rFonts w:ascii="Times New Roman" w:cs="Times New Roman" w:eastAsia="Times New Roman" w:hAnsi="Times New Roman"/>
          <w:i w:val="false"/>
          <w:iCs w:val="false"/>
          <w:sz w:val="22"/>
          <w:szCs w:val="22"/>
        </w:rPr>
        <w:t xml:space="preserve">promotion and advertising: idealized studio settings through which brands market an imagined room.</w:t>
      </w:r>
    </w:p>
    <w:p>
      <w:pPr>
        <w:spacing w:after="120" w:line="320"/>
        <w:jc w:val="both"/>
      </w:pPr>
      <w:r>
        <w:rPr>
          <w:rFonts w:ascii="Times New Roman" w:cs="Times New Roman" w:eastAsia="Times New Roman" w:hAnsi="Times New Roman"/>
          <w:i w:val="false"/>
          <w:iCs w:val="false"/>
          <w:sz w:val="24"/>
          <w:szCs w:val="24"/>
        </w:rPr>
        <w:t xml:space="preserve">Records were also coded for editorial format (editorial, product round-up or advertorial, or paid advertisement) and age segment (infant, child, teenager or mixed). Discourse was then coded with twelve binary themes. These were derived deductively from the theoretical framework and refined inductively during a first reading (article, Table 1).</w:t>
      </w:r>
    </w:p>
    <w:p>
      <w:pPr>
        <w:spacing w:after="120" w:line="320"/>
        <w:jc w:val="both"/>
      </w:pPr>
      <w:r>
        <w:rPr>
          <w:rFonts w:ascii="Times New Roman" w:cs="Times New Roman" w:eastAsia="Times New Roman" w:hAnsi="Times New Roman"/>
          <w:i w:val="false"/>
          <w:iCs w:val="false"/>
          <w:sz w:val="24"/>
          <w:szCs w:val="24"/>
        </w:rPr>
        <w:t xml:space="preserve">Two coding layers were distinguished so that change in the magazine would not be confounded with change in the evidence available. The headline layer codes each record solely from its headline, strapline or slogan and is comparable across the whole period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46). The visuo-textual layer also draws on images, captions, body text and paratexts (logos, certification marks, payment terms), and is available only for the scanned records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23). For these records, six material indicators were completed from the images: bed type, floor finish, technology, brands, theme and gender code (Supplementary Material S1).</w:t>
      </w:r>
    </w:p>
    <w:p>
      <w:pPr>
        <w:spacing w:after="120" w:line="320"/>
        <w:jc w:val="both"/>
      </w:pPr>
      <w:r>
        <w:rPr>
          <w:rFonts w:ascii="Times New Roman" w:cs="Times New Roman" w:eastAsia="Times New Roman" w:hAnsi="Times New Roman"/>
          <w:b/>
          <w:bCs/>
          <w:i w:val="false"/>
          <w:iCs w:val="false"/>
          <w:sz w:val="24"/>
          <w:szCs w:val="24"/>
        </w:rPr>
        <w:t xml:space="preserve">Inter-coder reliability.</w:t>
      </w:r>
      <w:r>
        <w:rPr>
          <w:rFonts w:ascii="Times New Roman" w:cs="Times New Roman" w:eastAsia="Times New Roman" w:hAnsi="Times New Roman"/>
          <w:i w:val="false"/>
          <w:iCs w:val="false"/>
          <w:sz w:val="24"/>
          <w:szCs w:val="24"/>
        </w:rPr>
        <w:t xml:space="preserve"> [To be completed by the authors before submission. Suggested procedure: a second coder independently codes a random 20 percent of records (at least ten) on both layers. Agreement is reported for each theme as percent agreement and Cohen’s κ (Cohen 1960), and disagreements are resolved by discussion. Report: “Agreement ranged from κ = __ to κ = __ (mean κ = __).”]</w:t>
      </w:r>
    </w:p>
    <w:p>
      <w:pPr>
        <w:pStyle w:val="Heading1"/>
        <w:keepNext/>
        <w:spacing w:after="120" w:before="300"/>
      </w:pPr>
      <w:r>
        <w:rPr>
          <w:rFonts w:ascii="Times New Roman" w:cs="Times New Roman" w:eastAsia="Times New Roman" w:hAnsi="Times New Roman"/>
          <w:b/>
          <w:bCs/>
          <w:i w:val="false"/>
          <w:iCs w:val="false"/>
          <w:sz w:val="26"/>
          <w:szCs w:val="26"/>
        </w:rPr>
        <w:t xml:space="preserve">S2.5 Computational Color Analysis</w:t>
      </w:r>
    </w:p>
    <w:p>
      <w:pPr>
        <w:spacing w:after="120" w:line="320"/>
        <w:jc w:val="both"/>
      </w:pPr>
      <w:r>
        <w:rPr>
          <w:rFonts w:ascii="Times New Roman" w:cs="Times New Roman" w:eastAsia="Times New Roman" w:hAnsi="Times New Roman"/>
          <w:i w:val="false"/>
          <w:iCs w:val="false"/>
          <w:sz w:val="24"/>
          <w:szCs w:val="24"/>
        </w:rPr>
        <w:t xml:space="preserve">All 47 usable scans were analyzed in Python (Pillow, NumPy, scikit-learn) to complement the qualitative reading of color with a reproducible measure. The procedure had five steps:</w:t>
      </w:r>
    </w:p>
    <w:p>
      <w:pPr>
        <w:pStyle w:val="ListParagraph"/>
        <w:numPr>
          <w:ilvl w:val="0"/>
          <w:numId w:val="3"/>
        </w:numPr>
        <w:spacing w:after="60" w:line="280"/>
      </w:pPr>
      <w:r>
        <w:rPr>
          <w:rFonts w:ascii="Times New Roman" w:cs="Times New Roman" w:eastAsia="Times New Roman" w:hAnsi="Times New Roman"/>
          <w:i w:val="false"/>
          <w:iCs w:val="false"/>
          <w:sz w:val="22"/>
          <w:szCs w:val="22"/>
        </w:rPr>
        <w:t xml:space="preserve">White balance. Each image was white-balanced against the paper tone, estimated as the 90th percentile of bright, low-chroma pixels, to reduce the warm cast of photographed pages.</w:t>
      </w:r>
    </w:p>
    <w:p>
      <w:pPr>
        <w:pStyle w:val="ListParagraph"/>
        <w:numPr>
          <w:ilvl w:val="0"/>
          <w:numId w:val="3"/>
        </w:numPr>
        <w:spacing w:after="60" w:line="280"/>
      </w:pPr>
      <w:r>
        <w:rPr>
          <w:rFonts w:ascii="Times New Roman" w:cs="Times New Roman" w:eastAsia="Times New Roman" w:hAnsi="Times New Roman"/>
          <w:i w:val="false"/>
          <w:iCs w:val="false"/>
          <w:sz w:val="22"/>
          <w:szCs w:val="22"/>
        </w:rPr>
        <w:t xml:space="preserve">Conversion. Images were resized to a maximum of 800 px and converted to HSV.</w:t>
      </w:r>
    </w:p>
    <w:p>
      <w:pPr>
        <w:pStyle w:val="ListParagraph"/>
        <w:numPr>
          <w:ilvl w:val="0"/>
          <w:numId w:val="3"/>
        </w:numPr>
        <w:spacing w:after="60" w:line="280"/>
      </w:pPr>
      <w:r>
        <w:rPr>
          <w:rFonts w:ascii="Times New Roman" w:cs="Times New Roman" w:eastAsia="Times New Roman" w:hAnsi="Times New Roman"/>
          <w:i w:val="false"/>
          <w:iCs w:val="false"/>
          <w:sz w:val="22"/>
          <w:szCs w:val="22"/>
        </w:rPr>
        <w:t xml:space="preserve">Chromatic pixels. Pixels with saturation ≥ 0.25 and value ≥ 0.20 were treated as chromatic; this removes paper, black text and gray shadows.</w:t>
      </w:r>
    </w:p>
    <w:p>
      <w:pPr>
        <w:pStyle w:val="ListParagraph"/>
        <w:numPr>
          <w:ilvl w:val="0"/>
          <w:numId w:val="3"/>
        </w:numPr>
        <w:spacing w:after="60" w:line="280"/>
      </w:pPr>
      <w:r>
        <w:rPr>
          <w:rFonts w:ascii="Times New Roman" w:cs="Times New Roman" w:eastAsia="Times New Roman" w:hAnsi="Times New Roman"/>
          <w:i w:val="false"/>
          <w:iCs w:val="false"/>
          <w:sz w:val="22"/>
          <w:szCs w:val="22"/>
        </w:rPr>
        <w:t xml:space="preserve">Hue families. Chromatic pixels were assigned to six hue families: pink/magenta 290–345°, red 345–15°, orange/yellow 15–65°, green 65–170°, blue/cyan 170–260° and violet 260–290°.</w:t>
      </w:r>
    </w:p>
    <w:p>
      <w:pPr>
        <w:pStyle w:val="ListParagraph"/>
        <w:numPr>
          <w:ilvl w:val="0"/>
          <w:numId w:val="3"/>
        </w:numPr>
        <w:spacing w:after="60" w:line="280"/>
      </w:pPr>
      <w:r>
        <w:rPr>
          <w:rFonts w:ascii="Times New Roman" w:cs="Times New Roman" w:eastAsia="Times New Roman" w:hAnsi="Times New Roman"/>
          <w:i w:val="false"/>
          <w:iCs w:val="false"/>
          <w:sz w:val="22"/>
          <w:szCs w:val="22"/>
        </w:rPr>
        <w:t xml:space="preserve">Summary measures. The colorfulness index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rPr>
        <w:t xml:space="preserve"> of Hasler and Süsstrunk (2003) was computed, and a six-color dominant palette was extracted for each record by k-means clustering.</w:t>
      </w:r>
    </w:p>
    <w:p>
      <w:pPr>
        <w:spacing w:after="120" w:line="320"/>
        <w:jc w:val="both"/>
      </w:pPr>
      <w:r>
        <w:rPr>
          <w:rFonts w:ascii="Times New Roman" w:cs="Times New Roman" w:eastAsia="Times New Roman" w:hAnsi="Times New Roman"/>
          <w:i w:val="false"/>
          <w:iCs w:val="false"/>
          <w:sz w:val="24"/>
          <w:szCs w:val="24"/>
        </w:rPr>
        <w:t xml:space="preserve">Image-level values were averaged to the record level. Because scans before 2001 are sparse, the visual analysis distinguishes three phases: 1997–1998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2), 2001–2003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7) and 2004–2005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14). The measure describes printed pages, not the rooms themselves, and is sensitive to printing and scanning conditions. It is therefore used comparatively, within one magazine and one scanning protocol.</w:t>
      </w:r>
    </w:p>
    <w:p>
      <w:pPr>
        <w:pStyle w:val="Heading1"/>
        <w:keepNext/>
        <w:spacing w:after="120" w:before="300"/>
      </w:pPr>
      <w:r>
        <w:rPr>
          <w:rFonts w:ascii="Times New Roman" w:cs="Times New Roman" w:eastAsia="Times New Roman" w:hAnsi="Times New Roman"/>
          <w:b/>
          <w:bCs/>
          <w:i w:val="false"/>
          <w:iCs w:val="false"/>
          <w:sz w:val="26"/>
          <w:szCs w:val="26"/>
        </w:rPr>
        <w:t xml:space="preserve">S2.6 Statistical Treatment</w:t>
      </w:r>
    </w:p>
    <w:p>
      <w:pPr>
        <w:spacing w:after="120" w:line="320"/>
        <w:jc w:val="both"/>
      </w:pPr>
      <w:r>
        <w:rPr>
          <w:rFonts w:ascii="Times New Roman" w:cs="Times New Roman" w:eastAsia="Times New Roman" w:hAnsi="Times New Roman"/>
          <w:i w:val="false"/>
          <w:iCs w:val="false"/>
          <w:sz w:val="24"/>
          <w:szCs w:val="24"/>
        </w:rPr>
        <w:t xml:space="preserve">Given the small, census-type corpus, statistics are used descriptively and to test the robustness of the interpretive reading, not to generalize to a population. Theme prevalence was compared between the first (1993–1996,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22) and last (2001–2005,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21) periods with two-sided Fisher’s exact tests; the middle period (1997–2000,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3) is reported but not tested.</w:t>
      </w:r>
    </w:p>
    <w:p>
      <w:pPr>
        <w:spacing w:after="120" w:line="320"/>
        <w:jc w:val="both"/>
      </w:pPr>
      <w:r>
        <w:rPr>
          <w:rFonts w:ascii="Times New Roman" w:cs="Times New Roman" w:eastAsia="Times New Roman" w:hAnsi="Times New Roman"/>
          <w:i w:val="false"/>
          <w:iCs w:val="false"/>
          <w:sz w:val="24"/>
          <w:szCs w:val="24"/>
        </w:rPr>
        <w:t xml:space="preserve">The index covers 1997–2000 well (43 issues) but the early period poorly (14 issues, all from 1993–1994), so index-based shares were compared between 1997–2000 and 2001–2005. Thematic co-occurrence was summarized with the Jaccard index. Color indicators were compared across phases with Kruskal–Wallis tests, and between 2001–2003 and 2004–2005 with Mann–Whitney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 tests. All analyses were run in Python (pandas; SciPy, Virtanen et al. 2020); the coded dataset and scripts are deposited with the data (see the Data Availability Statement).</w:t>
      </w:r>
    </w:p>
    <w:p>
      <w:pPr>
        <w:pStyle w:val="Heading1"/>
        <w:keepNext/>
        <w:spacing w:after="120" w:before="300"/>
      </w:pPr>
      <w:r>
        <w:rPr>
          <w:rFonts w:ascii="Times New Roman" w:cs="Times New Roman" w:eastAsia="Times New Roman" w:hAnsi="Times New Roman"/>
          <w:b/>
          <w:bCs/>
          <w:i w:val="false"/>
          <w:iCs w:val="false"/>
          <w:sz w:val="26"/>
          <w:szCs w:val="26"/>
        </w:rPr>
        <w:t xml:space="preserve">S2.7 Journal Benchmarking</w:t>
      </w:r>
    </w:p>
    <w:p>
      <w:pPr>
        <w:spacing w:after="120" w:line="320"/>
        <w:jc w:val="both"/>
      </w:pPr>
      <w:r>
        <w:rPr>
          <w:rFonts w:ascii="Times New Roman" w:cs="Times New Roman" w:eastAsia="Times New Roman" w:hAnsi="Times New Roman"/>
          <w:i w:val="false"/>
          <w:iCs w:val="false"/>
          <w:sz w:val="24"/>
          <w:szCs w:val="24"/>
        </w:rPr>
        <w:t xml:space="preserve">To position the study, we benchmarked fifteen journals that publish on culture, childhood and architecture or design. Their full publication records (17,788 works) were retrieved from OpenAlex (Priem et al. 2022; accessed 16 October 2026), and titles and abstracts were searched for terms related to children, bedrooms, consumption and Turkey. Retrieved works were read by title and, where needed, abstract to identify studies directly concerned with children’s domestic space. Because OpenAlex abstract coverage is incomplete for older volumes, counts are conservative; the benchmark is used for positioning rather than as a bibliometric result in its own right (Table S2; Figure S1).</w:t>
      </w:r>
    </w:p>
    <w:p>
      <w:pPr>
        <w:keepNext/>
        <w:spacing w:after="120" w:line="300"/>
        <w:jc w:val="left"/>
      </w:pPr>
      <w:r>
        <w:rPr>
          <w:rFonts w:ascii="Times New Roman" w:cs="Times New Roman" w:eastAsia="Times New Roman" w:hAnsi="Times New Roman"/>
          <w:b/>
          <w:bCs/>
          <w:i w:val="false"/>
          <w:iCs w:val="false"/>
          <w:sz w:val="20"/>
          <w:szCs w:val="20"/>
        </w:rPr>
        <w:t xml:space="preserve">Table S2.</w:t>
      </w:r>
      <w:r>
        <w:rPr>
          <w:rFonts w:ascii="Times New Roman" w:cs="Times New Roman" w:eastAsia="Times New Roman" w:hAnsi="Times New Roman"/>
          <w:i w:val="false"/>
          <w:iCs w:val="false"/>
          <w:sz w:val="20"/>
          <w:szCs w:val="20"/>
        </w:rPr>
        <w:t xml:space="preserve"> Benchmarked journals: indexed works and works mentioning Turkey in title or abstract (OpenAlex).</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200"/>
        <w:gridCol w:w="1300"/>
        <w:gridCol w:w="1300"/>
        <w:gridCol w:w="1270"/>
      </w:tblGrid>
      <w:tr>
        <w:trPr>
          <w:tblHeader/>
        </w:trPr>
        <w:tc>
          <w:tcPr>
            <w:tcW w:type="dxa" w:w="52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pPr>
              <w:spacing w:after="0" w:line="240"/>
            </w:pPr>
            <w:r>
              <w:rPr>
                <w:rFonts w:ascii="Times New Roman" w:cs="Times New Roman" w:eastAsia="Times New Roman" w:hAnsi="Times New Roman"/>
                <w:b/>
                <w:bCs/>
                <w:i w:val="false"/>
                <w:iCs w:val="false"/>
                <w:sz w:val="18"/>
                <w:szCs w:val="18"/>
              </w:rPr>
              <w:t xml:space="preserve">Journal</w:t>
            </w:r>
          </w:p>
        </w:tc>
        <w:tc>
          <w:tcPr>
            <w:tcW w:type="dxa" w:w="13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pPr>
              <w:spacing w:after="0" w:line="240"/>
            </w:pPr>
            <w:r>
              <w:rPr>
                <w:rFonts w:ascii="Times New Roman" w:cs="Times New Roman" w:eastAsia="Times New Roman" w:hAnsi="Times New Roman"/>
                <w:b/>
                <w:bCs/>
                <w:i w:val="false"/>
                <w:iCs w:val="false"/>
                <w:sz w:val="18"/>
                <w:szCs w:val="18"/>
              </w:rPr>
              <w:t xml:space="preserve">Works (n)</w:t>
            </w:r>
          </w:p>
        </w:tc>
        <w:tc>
          <w:tcPr>
            <w:tcW w:type="dxa" w:w="13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pPr>
              <w:spacing w:after="0" w:line="240"/>
            </w:pPr>
            <w:r>
              <w:rPr>
                <w:rFonts w:ascii="Times New Roman" w:cs="Times New Roman" w:eastAsia="Times New Roman" w:hAnsi="Times New Roman"/>
                <w:b/>
                <w:bCs/>
                <w:i w:val="false"/>
                <w:iCs w:val="false"/>
                <w:sz w:val="18"/>
                <w:szCs w:val="18"/>
              </w:rPr>
              <w:t xml:space="preserve">Turkey (n)</w:t>
            </w:r>
          </w:p>
        </w:tc>
        <w:tc>
          <w:tcPr>
            <w:tcW w:type="dxa" w:w="127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pPr>
              <w:spacing w:after="0" w:line="240"/>
            </w:pPr>
            <w:r>
              <w:rPr>
                <w:rFonts w:ascii="Times New Roman" w:cs="Times New Roman" w:eastAsia="Times New Roman" w:hAnsi="Times New Roman"/>
                <w:b/>
                <w:bCs/>
                <w:i w:val="false"/>
                <w:iCs w:val="false"/>
                <w:sz w:val="18"/>
                <w:szCs w:val="18"/>
              </w:rPr>
              <w:t xml:space="preserve">Turkey (%)</w:t>
            </w:r>
          </w:p>
        </w:tc>
      </w:tr>
      <w:tr>
        <w:trPr>
          <w:cantSplit/>
        </w:trPr>
        <w:tc>
          <w:tcPr>
            <w:tcW w:type="dxa" w:w="5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iCs/>
                <w:sz w:val="18"/>
                <w:szCs w:val="18"/>
              </w:rPr>
              <w:t xml:space="preserve">Journal of the History of Childhood and Youth</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1,033</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2</w:t>
            </w:r>
          </w:p>
        </w:tc>
        <w:tc>
          <w:tcPr>
            <w:tcW w:type="dxa" w:w="127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0.19</w:t>
            </w:r>
          </w:p>
        </w:tc>
      </w:tr>
      <w:tr>
        <w:trPr>
          <w:cantSplit/>
        </w:trPr>
        <w:tc>
          <w:tcPr>
            <w:tcW w:type="dxa" w:w="5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iCs/>
                <w:sz w:val="18"/>
                <w:szCs w:val="18"/>
              </w:rPr>
              <w:t xml:space="preserve">Journal of Interior Design</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1,004</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4</w:t>
            </w:r>
          </w:p>
        </w:tc>
        <w:tc>
          <w:tcPr>
            <w:tcW w:type="dxa" w:w="127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0.40</w:t>
            </w:r>
          </w:p>
        </w:tc>
      </w:tr>
      <w:tr>
        <w:trPr>
          <w:cantSplit/>
        </w:trPr>
        <w:tc>
          <w:tcPr>
            <w:tcW w:type="dxa" w:w="5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iCs/>
                <w:sz w:val="18"/>
                <w:szCs w:val="18"/>
              </w:rPr>
              <w:t xml:space="preserve">Childhood</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1,224</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5</w:t>
            </w:r>
          </w:p>
        </w:tc>
        <w:tc>
          <w:tcPr>
            <w:tcW w:type="dxa" w:w="127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0.41</w:t>
            </w:r>
          </w:p>
        </w:tc>
      </w:tr>
      <w:tr>
        <w:trPr>
          <w:cantSplit/>
        </w:trPr>
        <w:tc>
          <w:tcPr>
            <w:tcW w:type="dxa" w:w="5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iCs/>
                <w:sz w:val="18"/>
                <w:szCs w:val="18"/>
              </w:rPr>
              <w:t xml:space="preserve">Journal of Design History</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1,997</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11</w:t>
            </w:r>
          </w:p>
        </w:tc>
        <w:tc>
          <w:tcPr>
            <w:tcW w:type="dxa" w:w="127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0.55</w:t>
            </w:r>
          </w:p>
        </w:tc>
      </w:tr>
      <w:tr>
        <w:trPr>
          <w:cantSplit/>
        </w:trPr>
        <w:tc>
          <w:tcPr>
            <w:tcW w:type="dxa" w:w="5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iCs/>
                <w:sz w:val="18"/>
                <w:szCs w:val="18"/>
              </w:rPr>
              <w:t xml:space="preserve">Journal of Family History</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1,543</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10</w:t>
            </w:r>
          </w:p>
        </w:tc>
        <w:tc>
          <w:tcPr>
            <w:tcW w:type="dxa" w:w="127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0.65</w:t>
            </w:r>
          </w:p>
        </w:tc>
      </w:tr>
      <w:tr>
        <w:trPr>
          <w:cantSplit/>
        </w:trPr>
        <w:tc>
          <w:tcPr>
            <w:tcW w:type="dxa" w:w="5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iCs/>
                <w:sz w:val="18"/>
                <w:szCs w:val="18"/>
              </w:rPr>
              <w:t xml:space="preserve">Design and Culture</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753</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5</w:t>
            </w:r>
          </w:p>
        </w:tc>
        <w:tc>
          <w:tcPr>
            <w:tcW w:type="dxa" w:w="127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0.66</w:t>
            </w:r>
          </w:p>
        </w:tc>
      </w:tr>
      <w:tr>
        <w:trPr>
          <w:cantSplit/>
        </w:trPr>
        <w:tc>
          <w:tcPr>
            <w:tcW w:type="dxa" w:w="5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iCs/>
                <w:sz w:val="18"/>
                <w:szCs w:val="18"/>
              </w:rPr>
              <w:t xml:space="preserve">Journal of Consumer Culture</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912</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7</w:t>
            </w:r>
          </w:p>
        </w:tc>
        <w:tc>
          <w:tcPr>
            <w:tcW w:type="dxa" w:w="127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0.77</w:t>
            </w:r>
          </w:p>
        </w:tc>
      </w:tr>
      <w:tr>
        <w:trPr>
          <w:cantSplit/>
        </w:trPr>
        <w:tc>
          <w:tcPr>
            <w:tcW w:type="dxa" w:w="5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iCs/>
                <w:sz w:val="18"/>
                <w:szCs w:val="18"/>
              </w:rPr>
              <w:t xml:space="preserve">Children’s Geographies</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1,315</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11</w:t>
            </w:r>
          </w:p>
        </w:tc>
        <w:tc>
          <w:tcPr>
            <w:tcW w:type="dxa" w:w="127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0.84</w:t>
            </w:r>
          </w:p>
        </w:tc>
      </w:tr>
      <w:tr>
        <w:trPr>
          <w:cantSplit/>
        </w:trPr>
        <w:tc>
          <w:tcPr>
            <w:tcW w:type="dxa" w:w="5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iCs/>
                <w:sz w:val="18"/>
                <w:szCs w:val="18"/>
              </w:rPr>
              <w:t xml:space="preserve">Interiors: Design, Architecture, Culture</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309</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3</w:t>
            </w:r>
          </w:p>
        </w:tc>
        <w:tc>
          <w:tcPr>
            <w:tcW w:type="dxa" w:w="127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0.97</w:t>
            </w:r>
          </w:p>
        </w:tc>
      </w:tr>
      <w:tr>
        <w:trPr>
          <w:cantSplit/>
        </w:trPr>
        <w:tc>
          <w:tcPr>
            <w:tcW w:type="dxa" w:w="5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iCs/>
                <w:sz w:val="18"/>
                <w:szCs w:val="18"/>
              </w:rPr>
              <w:t xml:space="preserve">Journal of Material Culture</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668</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7</w:t>
            </w:r>
          </w:p>
        </w:tc>
        <w:tc>
          <w:tcPr>
            <w:tcW w:type="dxa" w:w="127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1.05</w:t>
            </w:r>
          </w:p>
        </w:tc>
      </w:tr>
      <w:tr>
        <w:trPr>
          <w:cantSplit/>
        </w:trPr>
        <w:tc>
          <w:tcPr>
            <w:tcW w:type="dxa" w:w="5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iCs/>
                <w:sz w:val="18"/>
                <w:szCs w:val="18"/>
              </w:rPr>
              <w:t xml:space="preserve">Design Issues</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1,605</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17</w:t>
            </w:r>
          </w:p>
        </w:tc>
        <w:tc>
          <w:tcPr>
            <w:tcW w:type="dxa" w:w="127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1.06</w:t>
            </w:r>
          </w:p>
        </w:tc>
      </w:tr>
      <w:tr>
        <w:trPr>
          <w:cantSplit/>
        </w:trPr>
        <w:tc>
          <w:tcPr>
            <w:tcW w:type="dxa" w:w="5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iCs/>
                <w:sz w:val="18"/>
                <w:szCs w:val="18"/>
              </w:rPr>
              <w:t xml:space="preserve">The Journal of Architecture</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1,565</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21</w:t>
            </w:r>
          </w:p>
        </w:tc>
        <w:tc>
          <w:tcPr>
            <w:tcW w:type="dxa" w:w="127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1.34</w:t>
            </w:r>
          </w:p>
        </w:tc>
      </w:tr>
      <w:tr>
        <w:trPr>
          <w:cantSplit/>
        </w:trPr>
        <w:tc>
          <w:tcPr>
            <w:tcW w:type="dxa" w:w="5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iCs/>
                <w:sz w:val="18"/>
                <w:szCs w:val="18"/>
              </w:rPr>
              <w:t xml:space="preserve">Gender, Place &amp; Culture</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2,375</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43</w:t>
            </w:r>
          </w:p>
        </w:tc>
        <w:tc>
          <w:tcPr>
            <w:tcW w:type="dxa" w:w="127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1.81</w:t>
            </w:r>
          </w:p>
        </w:tc>
      </w:tr>
      <w:tr>
        <w:trPr>
          <w:cantSplit/>
        </w:trPr>
        <w:tc>
          <w:tcPr>
            <w:tcW w:type="dxa" w:w="5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iCs/>
                <w:sz w:val="18"/>
                <w:szCs w:val="18"/>
              </w:rPr>
              <w:t xml:space="preserve">Home Cultures</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365</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9</w:t>
            </w:r>
          </w:p>
        </w:tc>
        <w:tc>
          <w:tcPr>
            <w:tcW w:type="dxa" w:w="127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2.47</w:t>
            </w:r>
          </w:p>
        </w:tc>
      </w:tr>
      <w:tr>
        <w:trPr>
          <w:cantSplit/>
        </w:trPr>
        <w:tc>
          <w:tcPr>
            <w:tcW w:type="dxa" w:w="5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iCs/>
                <w:sz w:val="18"/>
                <w:szCs w:val="18"/>
              </w:rPr>
              <w:t xml:space="preserve">Space and Culture</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1,120</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31</w:t>
            </w:r>
          </w:p>
        </w:tc>
        <w:tc>
          <w:tcPr>
            <w:tcW w:type="dxa" w:w="127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val="false"/>
                <w:bCs w:val="false"/>
                <w:i w:val="false"/>
                <w:iCs w:val="false"/>
                <w:sz w:val="18"/>
                <w:szCs w:val="18"/>
              </w:rPr>
              <w:t xml:space="preserve">2.77</w:t>
            </w:r>
          </w:p>
        </w:tc>
      </w:tr>
      <w:tr>
        <w:trPr>
          <w:cantSplit/>
        </w:trPr>
        <w:tc>
          <w:tcPr>
            <w:tcW w:type="dxa" w:w="5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bCs/>
                <w:i w:val="false"/>
                <w:iCs w:val="false"/>
                <w:sz w:val="18"/>
                <w:szCs w:val="18"/>
              </w:rPr>
              <w:t xml:space="preserve">Total</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bCs/>
                <w:i w:val="false"/>
                <w:iCs w:val="false"/>
                <w:sz w:val="18"/>
                <w:szCs w:val="18"/>
              </w:rPr>
              <w:t xml:space="preserve">17,788</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bCs/>
                <w:i w:val="false"/>
                <w:iCs w:val="false"/>
                <w:sz w:val="18"/>
                <w:szCs w:val="18"/>
              </w:rPr>
              <w:t xml:space="preserve">186</w:t>
            </w:r>
          </w:p>
        </w:tc>
        <w:tc>
          <w:tcPr>
            <w:tcW w:type="dxa" w:w="127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Times New Roman" w:cs="Times New Roman" w:eastAsia="Times New Roman" w:hAnsi="Times New Roman"/>
                <w:b/>
                <w:bCs/>
                <w:i w:val="false"/>
                <w:iCs w:val="false"/>
                <w:sz w:val="18"/>
                <w:szCs w:val="18"/>
              </w:rPr>
              <w:t xml:space="preserve">1.05</w:t>
            </w:r>
          </w:p>
        </w:tc>
      </w:tr>
    </w:tbl>
    <w:p>
      <w:pPr>
        <w:spacing w:after="80" w:before="240"/>
        <w:jc w:val="center"/>
      </w:pPr>
      <w:r>
        <w:drawing>
          <wp:inline distT="0" distB="0" distL="0" distR="0">
            <wp:extent cx="5715000" cy="3076575"/>
            <wp:effectExtent t="0" r="0" b="0" l="0"/>
            <wp:docPr id="1" name="FigureS1" descr="Bar chart of the benchmarked journals by share of works mentioning Turkey." title="Figur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76575"/>
                    </a:xfrm>
                    <a:prstGeom prst="rect">
                      <a:avLst/>
                    </a:prstGeom>
                  </pic:spPr>
                </pic:pic>
              </a:graphicData>
            </a:graphic>
          </wp:inline>
        </w:drawing>
      </w:r>
    </w:p>
    <w:p>
      <w:pPr>
        <w:spacing w:after="120" w:line="300"/>
        <w:jc w:val="left"/>
      </w:pPr>
      <w:r>
        <w:rPr>
          <w:rFonts w:ascii="Times New Roman" w:cs="Times New Roman" w:eastAsia="Times New Roman" w:hAnsi="Times New Roman"/>
          <w:b/>
          <w:bCs/>
          <w:i w:val="false"/>
          <w:iCs w:val="false"/>
          <w:sz w:val="20"/>
          <w:szCs w:val="20"/>
        </w:rPr>
        <w:t xml:space="preserve">Figure S1.</w:t>
      </w:r>
      <w:r>
        <w:rPr>
          <w:rFonts w:ascii="Times New Roman" w:cs="Times New Roman" w:eastAsia="Times New Roman" w:hAnsi="Times New Roman"/>
          <w:i w:val="false"/>
          <w:iCs w:val="false"/>
          <w:sz w:val="20"/>
          <w:szCs w:val="20"/>
        </w:rPr>
        <w:t xml:space="preserve"> Benchmarked journals by number of indexed works and share of works mentioning Turkey. Authors’ analysis of OpenAlex data.</w:t>
      </w:r>
    </w:p>
    <w:p>
      <w:pPr>
        <w:pStyle w:val="Heading1"/>
        <w:keepNext/>
        <w:spacing w:after="120" w:before="300"/>
      </w:pPr>
      <w:r>
        <w:rPr>
          <w:rFonts w:ascii="Times New Roman" w:cs="Times New Roman" w:eastAsia="Times New Roman" w:hAnsi="Times New Roman"/>
          <w:b/>
          <w:bCs/>
          <w:i w:val="false"/>
          <w:iCs w:val="false"/>
          <w:sz w:val="26"/>
          <w:szCs w:val="26"/>
        </w:rPr>
        <w:t xml:space="preserve">References</w:t>
      </w:r>
    </w:p>
    <w:p>
      <w:pPr>
        <w:spacing w:after="80" w:line="280"/>
        <w:ind w:left="567" w:hanging="567"/>
      </w:pPr>
      <w:r>
        <w:rPr>
          <w:rFonts w:ascii="Times New Roman" w:cs="Times New Roman" w:eastAsia="Times New Roman" w:hAnsi="Times New Roman"/>
          <w:i w:val="false"/>
          <w:iCs w:val="false"/>
          <w:sz w:val="22"/>
          <w:szCs w:val="22"/>
        </w:rPr>
        <w:t xml:space="preserve">Brown, Nicole and Jane Collins. 2021. “Systematic Visuo-Textual Analysis: A Framework for Analysing Visual and Textual Data.” </w:t>
      </w:r>
      <w:r>
        <w:rPr>
          <w:rFonts w:ascii="Times New Roman" w:cs="Times New Roman" w:eastAsia="Times New Roman" w:hAnsi="Times New Roman"/>
          <w:i/>
          <w:iCs/>
          <w:sz w:val="22"/>
          <w:szCs w:val="22"/>
        </w:rPr>
        <w:t xml:space="preserve">The Qualitative Report</w:t>
      </w:r>
      <w:r>
        <w:rPr>
          <w:rFonts w:ascii="Times New Roman" w:cs="Times New Roman" w:eastAsia="Times New Roman" w:hAnsi="Times New Roman"/>
          <w:i w:val="false"/>
          <w:iCs w:val="false"/>
          <w:sz w:val="22"/>
          <w:szCs w:val="22"/>
        </w:rPr>
        <w:t xml:space="preserve"> 26(4): 1275–90. https://doi.org/10.46743/2160-3715/2021.4838</w:t>
      </w:r>
    </w:p>
    <w:p>
      <w:pPr>
        <w:spacing w:after="80" w:line="280"/>
        <w:ind w:left="567" w:hanging="567"/>
      </w:pPr>
      <w:r>
        <w:rPr>
          <w:rFonts w:ascii="Times New Roman" w:cs="Times New Roman" w:eastAsia="Times New Roman" w:hAnsi="Times New Roman"/>
          <w:i w:val="false"/>
          <w:iCs w:val="false"/>
          <w:sz w:val="22"/>
          <w:szCs w:val="22"/>
        </w:rPr>
        <w:t xml:space="preserve">Cohen, Jacob. 1960. “A Coefficient of Agreement for Nominal Scales.” </w:t>
      </w:r>
      <w:r>
        <w:rPr>
          <w:rFonts w:ascii="Times New Roman" w:cs="Times New Roman" w:eastAsia="Times New Roman" w:hAnsi="Times New Roman"/>
          <w:i/>
          <w:iCs/>
          <w:sz w:val="22"/>
          <w:szCs w:val="22"/>
        </w:rPr>
        <w:t xml:space="preserve">Educational and Psychological Measurement</w:t>
      </w:r>
      <w:r>
        <w:rPr>
          <w:rFonts w:ascii="Times New Roman" w:cs="Times New Roman" w:eastAsia="Times New Roman" w:hAnsi="Times New Roman"/>
          <w:i w:val="false"/>
          <w:iCs w:val="false"/>
          <w:sz w:val="22"/>
          <w:szCs w:val="22"/>
        </w:rPr>
        <w:t xml:space="preserve"> 20(1): 37–46. https://doi.org/10.1177/001316446002000104</w:t>
      </w:r>
    </w:p>
    <w:p>
      <w:pPr>
        <w:spacing w:after="80" w:line="280"/>
        <w:ind w:left="567" w:hanging="567"/>
      </w:pPr>
      <w:r>
        <w:rPr>
          <w:rFonts w:ascii="Times New Roman" w:cs="Times New Roman" w:eastAsia="Times New Roman" w:hAnsi="Times New Roman"/>
          <w:i w:val="false"/>
          <w:iCs w:val="false"/>
          <w:sz w:val="22"/>
          <w:szCs w:val="22"/>
        </w:rPr>
        <w:t xml:space="preserve">Hasler, David and Sabine Süsstrunk. 2003. “Measuring Colourfulness in Natural Images.” In Bernice E. Rogowitz and Thrasyvoulos N. Pappas (eds), </w:t>
      </w:r>
      <w:r>
        <w:rPr>
          <w:rFonts w:ascii="Times New Roman" w:cs="Times New Roman" w:eastAsia="Times New Roman" w:hAnsi="Times New Roman"/>
          <w:i/>
          <w:iCs/>
          <w:sz w:val="22"/>
          <w:szCs w:val="22"/>
        </w:rPr>
        <w:t xml:space="preserve">Human Vision and Electronic Imaging VIII</w:t>
      </w:r>
      <w:r>
        <w:rPr>
          <w:rFonts w:ascii="Times New Roman" w:cs="Times New Roman" w:eastAsia="Times New Roman" w:hAnsi="Times New Roman"/>
          <w:i w:val="false"/>
          <w:iCs w:val="false"/>
          <w:sz w:val="22"/>
          <w:szCs w:val="22"/>
        </w:rPr>
        <w:t xml:space="preserve">, Proceedings of SPIE 5007, pp. 87–95. Bellingham, WA: SPIE. https://doi.org/10.1117/12.477378</w:t>
      </w:r>
    </w:p>
    <w:p>
      <w:pPr>
        <w:spacing w:after="80" w:line="280"/>
        <w:ind w:left="567" w:hanging="567"/>
      </w:pPr>
      <w:r>
        <w:rPr>
          <w:rFonts w:ascii="Times New Roman" w:cs="Times New Roman" w:eastAsia="Times New Roman" w:hAnsi="Times New Roman"/>
          <w:i w:val="false"/>
          <w:iCs w:val="false"/>
          <w:sz w:val="22"/>
          <w:szCs w:val="22"/>
        </w:rPr>
        <w:t xml:space="preserve">Krippendorff, Klaus. 2018. </w:t>
      </w:r>
      <w:r>
        <w:rPr>
          <w:rFonts w:ascii="Times New Roman" w:cs="Times New Roman" w:eastAsia="Times New Roman" w:hAnsi="Times New Roman"/>
          <w:i/>
          <w:iCs/>
          <w:sz w:val="22"/>
          <w:szCs w:val="22"/>
        </w:rPr>
        <w:t xml:space="preserve">Content Analysis: An Introduction to Its Methodology</w:t>
      </w:r>
      <w:r>
        <w:rPr>
          <w:rFonts w:ascii="Times New Roman" w:cs="Times New Roman" w:eastAsia="Times New Roman" w:hAnsi="Times New Roman"/>
          <w:i w:val="false"/>
          <w:iCs w:val="false"/>
          <w:sz w:val="22"/>
          <w:szCs w:val="22"/>
        </w:rPr>
        <w:t xml:space="preserve">, 4th edn. Thousand Oaks, CA: SAGE.</w:t>
      </w:r>
    </w:p>
    <w:p>
      <w:pPr>
        <w:spacing w:after="80" w:line="280"/>
        <w:ind w:left="567" w:hanging="567"/>
      </w:pPr>
      <w:r>
        <w:rPr>
          <w:rFonts w:ascii="Times New Roman" w:cs="Times New Roman" w:eastAsia="Times New Roman" w:hAnsi="Times New Roman"/>
          <w:i w:val="false"/>
          <w:iCs w:val="false"/>
          <w:sz w:val="22"/>
          <w:szCs w:val="22"/>
        </w:rPr>
        <w:t xml:space="preserve">Priem, Jason, Heather Piwowar and Richard Orr. 2022. “OpenAlex: A Fully-Open Index of Scholarly Works, Authors, Venues, Institutions, and Concepts.” arXiv:2205.01833. https://doi.org/10.48550/arXiv.2205.01833</w:t>
      </w:r>
    </w:p>
    <w:p>
      <w:pPr>
        <w:spacing w:after="80" w:line="280"/>
        <w:ind w:left="567" w:hanging="567"/>
      </w:pPr>
      <w:r>
        <w:rPr>
          <w:rFonts w:ascii="Times New Roman" w:cs="Times New Roman" w:eastAsia="Times New Roman" w:hAnsi="Times New Roman"/>
          <w:i w:val="false"/>
          <w:iCs w:val="false"/>
          <w:sz w:val="22"/>
          <w:szCs w:val="22"/>
        </w:rPr>
        <w:t xml:space="preserve">Rose, Gillian. 2016. </w:t>
      </w:r>
      <w:r>
        <w:rPr>
          <w:rFonts w:ascii="Times New Roman" w:cs="Times New Roman" w:eastAsia="Times New Roman" w:hAnsi="Times New Roman"/>
          <w:i/>
          <w:iCs/>
          <w:sz w:val="22"/>
          <w:szCs w:val="22"/>
        </w:rPr>
        <w:t xml:space="preserve">Visual Methodologies: An Introduction to Researching with Visual Materials</w:t>
      </w:r>
      <w:r>
        <w:rPr>
          <w:rFonts w:ascii="Times New Roman" w:cs="Times New Roman" w:eastAsia="Times New Roman" w:hAnsi="Times New Roman"/>
          <w:i w:val="false"/>
          <w:iCs w:val="false"/>
          <w:sz w:val="22"/>
          <w:szCs w:val="22"/>
        </w:rPr>
        <w:t xml:space="preserve">, 4th edn. London: SAGE.</w:t>
      </w:r>
    </w:p>
    <w:p>
      <w:pPr>
        <w:spacing w:after="80" w:line="280"/>
        <w:ind w:left="567" w:hanging="567"/>
      </w:pPr>
      <w:r>
        <w:rPr>
          <w:rFonts w:ascii="Times New Roman" w:cs="Times New Roman" w:eastAsia="Times New Roman" w:hAnsi="Times New Roman"/>
          <w:i w:val="false"/>
          <w:iCs w:val="false"/>
          <w:sz w:val="22"/>
          <w:szCs w:val="22"/>
        </w:rPr>
        <w:t xml:space="preserve">Virtanen, Pauli, Ralf Gommers, Travis E. Oliphant, et al. 2020. “SciPy 1.0: Fundamental Algorithms for Scientific Computing in Python.” </w:t>
      </w:r>
      <w:r>
        <w:rPr>
          <w:rFonts w:ascii="Times New Roman" w:cs="Times New Roman" w:eastAsia="Times New Roman" w:hAnsi="Times New Roman"/>
          <w:i/>
          <w:iCs/>
          <w:sz w:val="22"/>
          <w:szCs w:val="22"/>
        </w:rPr>
        <w:t xml:space="preserve">Nature Methods</w:t>
      </w:r>
      <w:r>
        <w:rPr>
          <w:rFonts w:ascii="Times New Roman" w:cs="Times New Roman" w:eastAsia="Times New Roman" w:hAnsi="Times New Roman"/>
          <w:i w:val="false"/>
          <w:iCs w:val="false"/>
          <w:sz w:val="22"/>
          <w:szCs w:val="22"/>
        </w:rPr>
        <w:t xml:space="preserve"> 17: 261–72. https://doi.org/10.1038/s41592-019-0686-2</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Times New Roman" w:cs="Times New Roman" w:eastAsia="Times New Roman" w:hAnsi="Times New Roman"/>
      <w:b/>
      <w:bCs/>
      <w:sz w:val="26"/>
      <w:szCs w:val="26"/>
    </w:rPr>
  </w:style>
  <w:style w:type="paragraph" w:styleId="Heading2">
    <w:name w:val="Heading 2"/>
    <w:basedOn w:val="Normal"/>
    <w:next w:val="Normal"/>
    <w:pPr>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36ef7eeadf86345c0f32348a9faea3adfd0eb5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Supplementary_Material_S2_Methods.docx</dc:title>
  <dc:creator>Ayşan Ilgın Polat</dc:creator>
  <cp:lastModifiedBy>Un-named</cp:lastModifiedBy>
  <cp:revision>1</cp:revision>
  <dcterms:created xsi:type="dcterms:W3CDTF">2026-10-16T12:03:34.296Z</dcterms:created>
  <dcterms:modified xsi:type="dcterms:W3CDTF">2026-10-16T12:03:34.296Z</dcterms:modified>
</cp:coreProperties>
</file>

<file path=docProps/custom.xml><?xml version="1.0" encoding="utf-8"?>
<Properties xmlns="http://schemas.openxmlformats.org/officeDocument/2006/custom-properties" xmlns:vt="http://schemas.openxmlformats.org/officeDocument/2006/docPropsVTypes"/>
</file>