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footer1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72" w:type="dxa"/>
        <w:jc w:val="left"/>
        <w:tblInd w:w="0" w:type="dxa"/>
        <w:tblLayout w:type="fixed"/>
        <w:tblCellMar>
          <w:top w:w="0" w:type="dxa"/>
          <w:left w:w="108" w:type="dxa"/>
          <w:bottom w:w="0" w:type="dxa"/>
          <w:right w:w="108" w:type="dxa"/>
        </w:tblCellMar>
      </w:tblPr>
      <w:tblGrid>
        <w:gridCol w:w="4536"/>
        <w:gridCol w:w="4535"/>
      </w:tblGrid>
      <w:tr>
        <w:trPr/>
        <w:tc>
          <w:tcPr>
            <w:tcW w:w="4536" w:type="dxa"/>
            <w:tcBorders/>
          </w:tcPr>
          <w:p>
            <w:pPr>
              <w:pStyle w:val="Normal"/>
              <w:spacing w:lineRule="auto" w:line="276" w:before="0" w:after="0"/>
              <w:jc w:val="center"/>
              <w:rPr/>
            </w:pPr>
            <w:r>
              <w:rPr>
                <w:rFonts w:eastAsia="Times New Roman" w:cs="Times New Roman"/>
                <w:b/>
                <w:bCs/>
                <w:sz w:val="20"/>
                <w:szCs w:val="20"/>
              </w:rPr>
              <w:t>MINISTÈRE DE L’ÉDUCATION NATIONALE</w:t>
            </w:r>
          </w:p>
          <w:p>
            <w:pPr>
              <w:pStyle w:val="Normal"/>
              <w:spacing w:lineRule="auto" w:line="276" w:before="0" w:after="0"/>
              <w:jc w:val="center"/>
              <w:rPr/>
            </w:pPr>
            <w:r>
              <w:rPr>
                <w:rFonts w:eastAsia="Times New Roman" w:cs="Times New Roman"/>
                <w:sz w:val="20"/>
                <w:szCs w:val="20"/>
              </w:rPr>
              <w:t>----------</w:t>
            </w:r>
          </w:p>
          <w:p>
            <w:pPr>
              <w:pStyle w:val="Normal"/>
              <w:spacing w:lineRule="auto" w:line="276" w:before="0" w:after="0"/>
              <w:jc w:val="center"/>
              <w:rPr/>
            </w:pPr>
            <w:r>
              <w:rPr>
                <w:rFonts w:eastAsia="Times New Roman" w:cs="Times New Roman"/>
                <w:b/>
                <w:bCs/>
                <w:sz w:val="20"/>
                <w:szCs w:val="20"/>
              </w:rPr>
              <w:t>ÉCOLE NORMALE DE FORMATION DES PROFESSEURS D’ÉCOLE (ENFPE)</w:t>
            </w:r>
          </w:p>
        </w:tc>
        <w:tc>
          <w:tcPr>
            <w:tcW w:w="4535" w:type="dxa"/>
            <w:tcBorders/>
          </w:tcPr>
          <w:p>
            <w:pPr>
              <w:pStyle w:val="Normal"/>
              <w:spacing w:lineRule="auto" w:line="276" w:before="0" w:after="0"/>
              <w:jc w:val="center"/>
              <w:rPr/>
            </w:pPr>
            <w:r>
              <w:rPr>
                <w:rFonts w:eastAsia="Times New Roman" w:cs="Times New Roman"/>
                <w:b/>
                <w:bCs/>
                <w:sz w:val="20"/>
                <w:szCs w:val="20"/>
              </w:rPr>
              <w:t>RÉPUBLIQUE TOGOLAISE</w:t>
            </w:r>
          </w:p>
          <w:p>
            <w:pPr>
              <w:pStyle w:val="Normal"/>
              <w:spacing w:lineRule="auto" w:line="276" w:before="0" w:after="0"/>
              <w:jc w:val="center"/>
              <w:rPr/>
            </w:pPr>
            <w:r>
              <w:rPr>
                <w:rFonts w:eastAsia="Times New Roman" w:cs="Times New Roman"/>
                <w:i/>
                <w:iCs/>
                <w:sz w:val="20"/>
                <w:szCs w:val="20"/>
              </w:rPr>
              <w:t>Travail – Liberté – Patrie</w:t>
            </w:r>
          </w:p>
        </w:tc>
      </w:tr>
    </w:tbl>
    <w:p>
      <w:pPr>
        <w:pStyle w:val="Normal"/>
        <w:spacing w:lineRule="auto" w:line="276" w:before="1200" w:after="0"/>
        <w:jc w:val="center"/>
        <w:rPr/>
      </w:pPr>
      <w:r>
        <w:rPr>
          <w:rFonts w:eastAsia="Times New Roman" w:cs="Times New Roman"/>
          <w:sz w:val="24"/>
          <w:szCs w:val="24"/>
        </w:rPr>
        <w:t>Champ : Sciences et technologie</w:t>
      </w:r>
    </w:p>
    <w:p>
      <w:pPr>
        <w:pStyle w:val="Normal"/>
        <w:spacing w:lineRule="auto" w:line="276" w:before="60" w:after="0"/>
        <w:jc w:val="center"/>
        <w:rPr/>
      </w:pPr>
      <w:r>
        <w:rPr>
          <w:rFonts w:eastAsia="Times New Roman" w:cs="Times New Roman"/>
          <w:sz w:val="24"/>
          <w:szCs w:val="24"/>
        </w:rPr>
        <w:t>UE STE1275 : Corps humain et maladies</w:t>
      </w:r>
    </w:p>
    <w:p>
      <w:pPr>
        <w:pStyle w:val="Normal"/>
        <w:spacing w:lineRule="auto" w:line="276" w:before="60" w:after="0"/>
        <w:jc w:val="center"/>
        <w:rPr/>
      </w:pPr>
      <w:r>
        <w:rPr>
          <w:rFonts w:eastAsia="Times New Roman" w:cs="Times New Roman"/>
          <w:sz w:val="24"/>
          <w:szCs w:val="24"/>
        </w:rPr>
        <w:t>EC2 (2STE1275) : Maladies et hygiène – Semestre 2</w:t>
      </w:r>
    </w:p>
    <w:p>
      <w:pPr>
        <w:pStyle w:val="Normal"/>
        <w:pBdr>
          <w:top w:val="double" w:sz="6" w:space="8" w:color="1F3864"/>
          <w:left w:val="double" w:sz="6" w:space="8" w:color="1F3864"/>
          <w:bottom w:val="double" w:sz="6" w:space="8" w:color="1F3864"/>
          <w:right w:val="double" w:sz="6" w:space="8" w:color="1F3864"/>
        </w:pBdr>
        <w:spacing w:lineRule="auto" w:line="300" w:before="900" w:after="200"/>
        <w:ind w:left="300" w:right="300"/>
        <w:jc w:val="center"/>
        <w:rPr/>
      </w:pPr>
      <w:r>
        <w:rPr>
          <w:rFonts w:eastAsia="Times New Roman" w:cs="Times New Roman"/>
          <w:b/>
          <w:bCs/>
          <w:color w:val="1F3864"/>
          <w:sz w:val="30"/>
          <w:szCs w:val="30"/>
        </w:rPr>
        <w:t>CLARIFIER ET PURIFIER L’EAU AVEC LES GRAINES DE MORINGA</w:t>
      </w:r>
    </w:p>
    <w:p>
      <w:pPr>
        <w:pStyle w:val="Normal"/>
        <w:spacing w:lineRule="auto" w:line="276" w:before="240" w:after="0"/>
        <w:jc w:val="center"/>
        <w:rPr/>
      </w:pPr>
      <w:r>
        <w:rPr>
          <w:rFonts w:eastAsia="Times New Roman" w:cs="Times New Roman"/>
          <w:sz w:val="26"/>
          <w:szCs w:val="26"/>
        </w:rPr>
        <w:t>Expérience pratique artisanale n° 6 : démarche, illustration et schéma directeur (Freeplane)</w:t>
      </w:r>
    </w:p>
    <w:p>
      <w:pPr>
        <w:pStyle w:val="Normal"/>
        <w:spacing w:lineRule="auto" w:line="276" w:before="120" w:after="0"/>
        <w:jc w:val="center"/>
        <w:rPr/>
      </w:pPr>
      <w:r>
        <w:rPr>
          <w:rFonts w:eastAsia="Times New Roman" w:cs="Times New Roman"/>
          <w:b/>
          <w:bCs/>
          <w:sz w:val="24"/>
          <w:szCs w:val="24"/>
        </w:rPr>
        <w:t>Sans achat de matériel</w:t>
      </w:r>
    </w:p>
    <w:p>
      <w:pPr>
        <w:pStyle w:val="Normal"/>
        <w:spacing w:lineRule="auto" w:line="276" w:before="1400" w:after="0"/>
        <w:jc w:val="center"/>
        <w:rPr/>
        <w:sectPr>
          <w:type w:val="nextPage"/>
          <w:pgSz w:w="11906" w:h="16838"/>
          <w:pgMar w:left="1418" w:right="1418" w:gutter="0" w:header="0" w:top="1418" w:footer="0" w:bottom="1418"/>
          <w:pgNumType w:fmt="decimal"/>
          <w:formProt w:val="false"/>
          <w:textDirection w:val="lrTb"/>
          <w:docGrid w:type="default" w:linePitch="360" w:charSpace="0"/>
        </w:sectPr>
      </w:pPr>
      <w:r>
        <w:rPr>
          <w:rFonts w:eastAsia="Times New Roman" w:cs="Times New Roman"/>
          <w:sz w:val="24"/>
          <w:szCs w:val="24"/>
        </w:rPr>
        <w:t>Public cible : élèves-professeurs d’école (EPE)</w:t>
      </w:r>
      <w:r>
        <w:br w:type="page"/>
      </w:r>
    </w:p>
    <w:p>
      <w:pPr>
        <w:pStyle w:val="Heading1"/>
        <w:rPr/>
      </w:pPr>
      <w:r>
        <w:rPr>
          <w:rFonts w:eastAsia="Times New Roman" w:cs="Times New Roman" w:ascii="Times New Roman" w:hAnsi="Times New Roman"/>
        </w:rPr>
        <w:t>INTRODUCTION</w:t>
      </w:r>
    </w:p>
    <w:p>
      <w:pPr>
        <w:pStyle w:val="Normal"/>
        <w:spacing w:lineRule="auto" w:line="360" w:before="0" w:after="120"/>
        <w:ind w:firstLine="709"/>
        <w:jc w:val="both"/>
        <w:rPr/>
      </w:pPr>
      <w:r>
        <w:rPr>
          <w:rFonts w:eastAsia="Times New Roman" w:cs="Times New Roman"/>
        </w:rPr>
        <w:t>Le chapitre 5 du support de cours de l’EC2 « Maladies et hygiène » présente trois procédés de traitement de l’eau : la sédimentation, la filtration et la désinfection. La présente fiche complète les cinq expériences déjà proposées par une sixième, qui renforce l’étape de sédimentation grâce à une ressource végétale très répandue au Togo : les graines de moringa (</w:t>
      </w:r>
      <w:r>
        <w:rPr>
          <w:rFonts w:eastAsia="Times New Roman" w:cs="Times New Roman"/>
          <w:i/>
          <w:iCs/>
        </w:rPr>
        <w:t>Moringa oleifera</w:t>
      </w:r>
      <w:r>
        <w:rPr>
          <w:rFonts w:eastAsia="Times New Roman" w:cs="Times New Roman"/>
        </w:rPr>
        <w:t>). Broyées, ces graines agissent comme un coagulant naturel qui rassemble la boue en flocons, lesquels tombent au fond du récipient. L’eau ainsi clarifiée est ensuite filtrée sur un pagne, puis désinfectée au soleil ou par ébullition.</w:t>
      </w:r>
    </w:p>
    <w:p>
      <w:pPr>
        <w:pStyle w:val="Normal"/>
        <w:spacing w:lineRule="auto" w:line="360" w:before="0" w:after="120"/>
        <w:ind w:firstLine="709"/>
        <w:jc w:val="both"/>
        <w:rPr/>
        <w:sectPr>
          <w:footerReference w:type="even" r:id="rId2"/>
          <w:footerReference w:type="default" r:id="rId3"/>
          <w:type w:val="nextPage"/>
          <w:pgSz w:w="11906" w:h="16838"/>
          <w:pgMar w:left="1418" w:right="1418" w:gutter="0" w:header="0" w:top="1418" w:footer="567" w:bottom="1418"/>
          <w:pgNumType w:start="1" w:fmt="decimal"/>
          <w:formProt w:val="false"/>
          <w:textDirection w:val="lrTb"/>
          <w:docGrid w:type="default" w:linePitch="360" w:charSpace="0"/>
        </w:sectPr>
      </w:pPr>
      <w:r>
        <w:rPr>
          <w:rFonts w:eastAsia="Times New Roman" w:cs="Times New Roman"/>
        </w:rPr>
        <w:t>La fiche suit la même démarche d’investigation que les expériences précédentes : situation-problème, objectifs, matériel local, démarche pas à pas, observations, interprétation, sécurité et prolongements. Elle est complétée par une illustration du dispositif et par un schéma directeur réalisé dans Freeplane. Aucun achat n’est nécessaire.</w:t>
      </w:r>
    </w:p>
    <w:p>
      <w:pPr>
        <w:pStyle w:val="Heading1"/>
        <w:rPr/>
      </w:pPr>
      <w:r>
        <w:rPr>
          <w:rFonts w:eastAsia="Times New Roman" w:cs="Times New Roman" w:ascii="Times New Roman" w:hAnsi="Times New Roman"/>
        </w:rPr>
        <w:t>EXPÉRIENCE 6 : CLARIFIER ET PURIFIER UNE EAU BOUEUSE AVEC LES GRAINES DE MORINGA</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Fiche signalétique de l’expérience 6</w:t>
      </w:r>
    </w:p>
    <w:tbl>
      <w:tblPr>
        <w:tblW w:w="9072" w:type="dxa"/>
        <w:jc w:val="center"/>
        <w:tblInd w:w="0" w:type="dxa"/>
        <w:tblLayout w:type="fixed"/>
        <w:tblCellMar>
          <w:top w:w="40" w:type="dxa"/>
          <w:left w:w="80" w:type="dxa"/>
          <w:bottom w:w="40" w:type="dxa"/>
          <w:right w:w="80" w:type="dxa"/>
        </w:tblCellMar>
      </w:tblPr>
      <w:tblGrid>
        <w:gridCol w:w="2268"/>
        <w:gridCol w:w="6803"/>
      </w:tblGrid>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keepNext w:val="true"/>
              <w:spacing w:lineRule="auto" w:line="240"/>
              <w:jc w:val="left"/>
              <w:rPr/>
            </w:pPr>
            <w:r>
              <w:rPr>
                <w:rFonts w:eastAsia="Times New Roman" w:cs="Times New Roman"/>
                <w:b/>
                <w:bCs/>
                <w:sz w:val="22"/>
                <w:szCs w:val="22"/>
              </w:rPr>
              <w:t>Lien avec le cours</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b w:val="false"/>
                <w:bCs w:val="false"/>
                <w:sz w:val="22"/>
                <w:szCs w:val="22"/>
              </w:rPr>
              <w:t>Chapitre 5 (techniques de traitement de l’eau : sédimentation, filtration, désinfection) et chapitre 1 (amibiase, choléra, giardiase, fièvre typhoïde : maladies transmises par l’eau souillée)</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keepNext w:val="true"/>
              <w:spacing w:lineRule="auto" w:line="240"/>
              <w:jc w:val="left"/>
              <w:rPr/>
            </w:pPr>
            <w:r>
              <w:rPr>
                <w:rFonts w:eastAsia="Times New Roman" w:cs="Times New Roman"/>
                <w:b/>
                <w:bCs/>
                <w:sz w:val="22"/>
                <w:szCs w:val="22"/>
              </w:rPr>
              <w:t>Durée</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b w:val="false"/>
                <w:bCs w:val="false"/>
                <w:sz w:val="22"/>
                <w:szCs w:val="22"/>
              </w:rPr>
              <w:t>20 min de préparation ; 1 à 2 h de décantation ; 6 h au soleil pour la désinfection</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keepNext w:val="true"/>
              <w:spacing w:lineRule="auto" w:line="240"/>
              <w:jc w:val="left"/>
              <w:rPr/>
            </w:pPr>
            <w:r>
              <w:rPr>
                <w:rFonts w:eastAsia="Times New Roman" w:cs="Times New Roman"/>
                <w:b/>
                <w:bCs/>
                <w:sz w:val="22"/>
                <w:szCs w:val="22"/>
              </w:rPr>
              <w:t>Public</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b w:val="false"/>
                <w:bCs w:val="false"/>
                <w:sz w:val="22"/>
                <w:szCs w:val="22"/>
              </w:rPr>
              <w:t>Élèves-professeurs d’école ; transposable au CM1-CM2</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keepNext w:val="true"/>
              <w:spacing w:lineRule="auto" w:line="240"/>
              <w:jc w:val="left"/>
              <w:rPr/>
            </w:pPr>
            <w:r>
              <w:rPr>
                <w:rFonts w:eastAsia="Times New Roman" w:cs="Times New Roman"/>
                <w:b/>
                <w:bCs/>
                <w:sz w:val="22"/>
                <w:szCs w:val="22"/>
              </w:rPr>
              <w:t>Coût</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b w:val="false"/>
                <w:bCs w:val="false"/>
                <w:sz w:val="22"/>
                <w:szCs w:val="22"/>
              </w:rPr>
              <w:t>Aucun : matériel récupéré ou disponible à l’école</w:t>
            </w:r>
          </w:p>
        </w:tc>
      </w:tr>
    </w:tbl>
    <w:p>
      <w:pPr>
        <w:pStyle w:val="Normal"/>
        <w:spacing w:lineRule="auto" w:line="240" w:before="60" w:after="240"/>
        <w:rPr/>
      </w:pPr>
      <w:r>
        <w:rPr>
          <w:rFonts w:eastAsia="Times New Roman" w:cs="Times New Roman"/>
          <w:i/>
          <w:iCs/>
          <w:sz w:val="22"/>
          <w:szCs w:val="22"/>
        </w:rPr>
        <w:t>Source : Réalisation de l’auteur (2026), d’après le support de cours de l’EC2 (2STE1275).</w:t>
      </w:r>
    </w:p>
    <w:p>
      <w:pPr>
        <w:pStyle w:val="Heading2"/>
        <w:rPr/>
      </w:pPr>
      <w:r>
        <w:rPr>
          <w:rFonts w:eastAsia="Times New Roman" w:cs="Times New Roman" w:ascii="Times New Roman" w:hAnsi="Times New Roman"/>
        </w:rPr>
        <w:t>6.1. Situation-problème</w:t>
      </w:r>
    </w:p>
    <w:p>
      <w:pPr>
        <w:pStyle w:val="Normal"/>
        <w:spacing w:lineRule="auto" w:line="360" w:before="0" w:after="120"/>
        <w:ind w:firstLine="709"/>
        <w:jc w:val="both"/>
        <w:rPr/>
      </w:pPr>
      <w:r>
        <w:rPr>
          <w:rFonts w:eastAsia="Times New Roman" w:cs="Times New Roman"/>
        </w:rPr>
        <w:t>Au village, l’eau du marigot est si boueuse que les familles la laissent reposer toute une nuit dans la jarre, sans parvenir à la rendre claire. Une plante de la cour peut-elle aider à la clarifier et à la rendre plus sûre ?</w:t>
      </w:r>
    </w:p>
    <w:p>
      <w:pPr>
        <w:pStyle w:val="Heading2"/>
        <w:rPr/>
      </w:pPr>
      <w:r>
        <w:rPr>
          <w:rFonts w:eastAsia="Times New Roman" w:cs="Times New Roman" w:ascii="Times New Roman" w:hAnsi="Times New Roman"/>
        </w:rPr>
        <w:t>6.2. Objectifs</w:t>
      </w:r>
    </w:p>
    <w:p>
      <w:pPr>
        <w:pStyle w:val="ListParagraph"/>
        <w:numPr>
          <w:ilvl w:val="0"/>
          <w:numId w:val="8"/>
        </w:numPr>
        <w:spacing w:lineRule="auto" w:line="360" w:before="0" w:after="40"/>
        <w:jc w:val="both"/>
        <w:rPr/>
      </w:pPr>
      <w:r>
        <w:rPr>
          <w:rFonts w:eastAsia="Times New Roman" w:cs="Times New Roman"/>
        </w:rPr>
        <w:t>Utiliser les graines de moringa, une ressource végétale locale, pour clarifier une eau boueuse.</w:t>
      </w:r>
    </w:p>
    <w:p>
      <w:pPr>
        <w:pStyle w:val="ListParagraph"/>
        <w:numPr>
          <w:ilvl w:val="0"/>
          <w:numId w:val="1"/>
        </w:numPr>
        <w:spacing w:lineRule="auto" w:line="360" w:before="0" w:after="40"/>
        <w:jc w:val="both"/>
        <w:rPr/>
      </w:pPr>
      <w:r>
        <w:rPr>
          <w:rFonts w:eastAsia="Times New Roman" w:cs="Times New Roman"/>
        </w:rPr>
        <w:t>Comprendre les étapes du traitement : coagulation, floculation, décantation, filtration.</w:t>
      </w:r>
    </w:p>
    <w:p>
      <w:pPr>
        <w:pStyle w:val="ListParagraph"/>
        <w:numPr>
          <w:ilvl w:val="0"/>
          <w:numId w:val="1"/>
        </w:numPr>
        <w:spacing w:lineRule="auto" w:line="360" w:before="0" w:after="120"/>
        <w:jc w:val="both"/>
        <w:rPr/>
      </w:pPr>
      <w:r>
        <w:rPr>
          <w:rFonts w:eastAsia="Times New Roman" w:cs="Times New Roman"/>
        </w:rPr>
        <w:t>Montrer qu’une eau clarifiée doit encore être désinfectée avant d’être bue.</w:t>
      </w:r>
    </w:p>
    <w:p>
      <w:pPr>
        <w:pStyle w:val="Heading2"/>
        <w:rPr/>
      </w:pPr>
      <w:r>
        <w:rPr>
          <w:rFonts w:eastAsia="Times New Roman" w:cs="Times New Roman" w:ascii="Times New Roman" w:hAnsi="Times New Roman"/>
        </w:rPr>
        <w:t>6.3. Matériel et ressources locales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2</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Matériel de l’expérience 6 et où le trouver</w:t>
      </w:r>
    </w:p>
    <w:tbl>
      <w:tblPr>
        <w:tblW w:w="9072" w:type="dxa"/>
        <w:jc w:val="center"/>
        <w:tblInd w:w="0" w:type="dxa"/>
        <w:tblLayout w:type="fixed"/>
        <w:tblCellMar>
          <w:top w:w="40" w:type="dxa"/>
          <w:left w:w="80" w:type="dxa"/>
          <w:bottom w:w="40" w:type="dxa"/>
          <w:right w:w="80" w:type="dxa"/>
        </w:tblCellMar>
      </w:tblPr>
      <w:tblGrid>
        <w:gridCol w:w="4536"/>
        <w:gridCol w:w="4535"/>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keepNext w:val="true"/>
              <w:spacing w:lineRule="auto" w:line="240"/>
              <w:jc w:val="center"/>
              <w:rPr/>
            </w:pPr>
            <w:r>
              <w:rPr>
                <w:rFonts w:eastAsia="Times New Roman" w:cs="Times New Roman"/>
                <w:b/>
                <w:bCs/>
                <w:sz w:val="22"/>
                <w:szCs w:val="22"/>
              </w:rPr>
              <w:t>Matériel</w:t>
            </w:r>
          </w:p>
        </w:tc>
        <w:tc>
          <w:tcPr>
            <w:tcW w:w="45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keepNext w:val="true"/>
              <w:spacing w:lineRule="auto" w:line="240"/>
              <w:jc w:val="center"/>
              <w:rPr/>
            </w:pPr>
            <w:r>
              <w:rPr>
                <w:rFonts w:eastAsia="Times New Roman" w:cs="Times New Roman"/>
                <w:b/>
                <w:bCs/>
                <w:sz w:val="22"/>
                <w:szCs w:val="22"/>
              </w:rPr>
              <w:t>Où le trouver (sans achat)</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Gousses sèches de moringa (</w:t>
            </w:r>
            <w:r>
              <w:rPr>
                <w:rFonts w:eastAsia="Times New Roman" w:cs="Times New Roman"/>
                <w:i/>
                <w:iCs/>
                <w:sz w:val="22"/>
                <w:szCs w:val="22"/>
              </w:rPr>
              <w:t>Moringa oleifera</w:t>
            </w:r>
            <w:r>
              <w:rPr>
                <w:rFonts w:eastAsia="Times New Roman" w:cs="Times New Roman"/>
                <w:sz w:val="22"/>
                <w:szCs w:val="22"/>
              </w:rPr>
              <w:t>) : 6 graines pour l’expérience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Arbre de moringa de la cour, du quartier ou du jardin familial</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Deux pierres propres, ou un mortier et un pilon</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Cour de l’école, cuisine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Un petit flacon avec bouchon et un peu d’eau propre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Petite bouteille récupérée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Trois bouteilles transparentes de 1,5 L avec bouchon</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Bouteilles d’eau ou de boisson vides</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Eau boueuse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Marigot, rivière, flaque après la pluie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Un morceau de pagne propre, à tissage fin</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Vieux pagne lavé</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Une bouteille transparente propre et une tôle ondulée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jc w:val="left"/>
              <w:rPr/>
            </w:pPr>
            <w:r>
              <w:rPr>
                <w:rFonts w:eastAsia="Times New Roman" w:cs="Times New Roman"/>
                <w:sz w:val="22"/>
                <w:szCs w:val="22"/>
              </w:rPr>
              <w:t>Récupération ; toit ou tôle usée</w:t>
            </w:r>
          </w:p>
        </w:tc>
      </w:tr>
    </w:tbl>
    <w:p>
      <w:pPr>
        <w:pStyle w:val="Normal"/>
        <w:spacing w:lineRule="auto" w:line="240" w:before="60" w:after="240"/>
        <w:rPr/>
      </w:pPr>
      <w:r>
        <w:rPr>
          <w:rFonts w:eastAsia="Times New Roman" w:cs="Times New Roman"/>
          <w:i/>
          <w:iCs/>
          <w:sz w:val="22"/>
          <w:szCs w:val="22"/>
        </w:rPr>
        <w:t>Source : Réalisation de l’auteur (2026).</w:t>
      </w:r>
    </w:p>
    <w:p>
      <w:pPr>
        <w:pStyle w:val="Heading2"/>
        <w:rPr/>
      </w:pPr>
      <w:r>
        <w:rPr>
          <w:rFonts w:eastAsia="Times New Roman" w:cs="Times New Roman" w:ascii="Times New Roman" w:hAnsi="Times New Roman"/>
        </w:rPr>
        <w:t>6.4. Démarche</w:t>
      </w:r>
    </w:p>
    <w:p>
      <w:pPr>
        <w:pStyle w:val="ListParagraph"/>
        <w:numPr>
          <w:ilvl w:val="0"/>
          <w:numId w:val="9"/>
        </w:numPr>
        <w:spacing w:lineRule="auto" w:line="360" w:before="0" w:after="40"/>
        <w:jc w:val="both"/>
        <w:rPr/>
      </w:pPr>
      <w:r>
        <w:rPr>
          <w:rFonts w:eastAsia="Times New Roman" w:cs="Times New Roman"/>
        </w:rPr>
        <w:t>Récolter des gousses mûres et sèches (brunes). Extraire les graines et retirer leur enveloppe ailée pour obtenir l’amande blanche.</w:t>
      </w:r>
    </w:p>
    <w:p>
      <w:pPr>
        <w:pStyle w:val="ListParagraph"/>
        <w:numPr>
          <w:ilvl w:val="0"/>
          <w:numId w:val="2"/>
        </w:numPr>
        <w:spacing w:lineRule="auto" w:line="360" w:before="0" w:after="40"/>
        <w:jc w:val="both"/>
        <w:rPr/>
      </w:pPr>
      <w:r>
        <w:rPr>
          <w:rFonts w:eastAsia="Times New Roman" w:cs="Times New Roman"/>
        </w:rPr>
        <w:t>Écraser finement 3 amandes entre deux pierres propres ou au mortier, jusqu’à obtenir une poudre blanche. Préparer ainsi deux doses de 3 amandes (une dose pour 1,5 L d’eau très boueuse ; 2 amandes suffisent si l’eau est peu trouble).</w:t>
      </w:r>
    </w:p>
    <w:p>
      <w:pPr>
        <w:pStyle w:val="ListParagraph"/>
        <w:numPr>
          <w:ilvl w:val="0"/>
          <w:numId w:val="2"/>
        </w:numPr>
        <w:spacing w:lineRule="auto" w:line="360" w:before="0" w:after="40"/>
        <w:jc w:val="both"/>
        <w:rPr/>
      </w:pPr>
      <w:r>
        <w:rPr>
          <w:rFonts w:eastAsia="Times New Roman" w:cs="Times New Roman"/>
        </w:rPr>
        <w:t>Mélanger chaque dose de poudre avec un peu d’eau propre dans le petit flacon fermé et agiter 1 minute : on obtient une pâte laiteuse.</w:t>
      </w:r>
    </w:p>
    <w:p>
      <w:pPr>
        <w:pStyle w:val="ListParagraph"/>
        <w:numPr>
          <w:ilvl w:val="0"/>
          <w:numId w:val="2"/>
        </w:numPr>
        <w:spacing w:lineRule="auto" w:line="360" w:before="0" w:after="40"/>
        <w:jc w:val="both"/>
        <w:rPr/>
      </w:pPr>
      <w:r>
        <w:rPr>
          <w:rFonts w:eastAsia="Times New Roman" w:cs="Times New Roman"/>
        </w:rPr>
        <w:t>Remplir les trois bouteilles avec la même eau boueuse, bien mélangée. Bouteille A : témoin, sans rien. Bouteilles B et C : verser une dose de pâte dans chacune.</w:t>
      </w:r>
    </w:p>
    <w:p>
      <w:pPr>
        <w:pStyle w:val="ListParagraph"/>
        <w:numPr>
          <w:ilvl w:val="0"/>
          <w:numId w:val="2"/>
        </w:numPr>
        <w:spacing w:lineRule="auto" w:line="360" w:before="0" w:after="40"/>
        <w:jc w:val="both"/>
        <w:rPr/>
      </w:pPr>
      <w:r>
        <w:rPr>
          <w:rFonts w:eastAsia="Times New Roman" w:cs="Times New Roman"/>
        </w:rPr>
        <w:t>Fermer les bouteilles B et C, les agiter vigoureusement 1 minute (mélange rapide), puis les retourner lentement 15 à 20 fois pendant 5 minutes (mélange lent) : de petits flocons se forment.</w:t>
      </w:r>
    </w:p>
    <w:p>
      <w:pPr>
        <w:pStyle w:val="ListParagraph"/>
        <w:numPr>
          <w:ilvl w:val="0"/>
          <w:numId w:val="2"/>
        </w:numPr>
        <w:spacing w:lineRule="auto" w:line="360" w:before="0" w:after="40"/>
        <w:jc w:val="both"/>
        <w:rPr/>
      </w:pPr>
      <w:r>
        <w:rPr>
          <w:rFonts w:eastAsia="Times New Roman" w:cs="Times New Roman"/>
        </w:rPr>
        <w:t>Poser les trois bouteilles côte à côte, sans les bouger, pendant 1 à 2 h. Comparer leur aspect toutes les 15 minutes.</w:t>
      </w:r>
    </w:p>
    <w:p>
      <w:pPr>
        <w:pStyle w:val="ListParagraph"/>
        <w:numPr>
          <w:ilvl w:val="0"/>
          <w:numId w:val="2"/>
        </w:numPr>
        <w:spacing w:lineRule="auto" w:line="360" w:before="0" w:after="40"/>
        <w:jc w:val="both"/>
        <w:rPr/>
      </w:pPr>
      <w:r>
        <w:rPr>
          <w:rFonts w:eastAsia="Times New Roman" w:cs="Times New Roman"/>
        </w:rPr>
        <w:t>Verser doucement l’eau claire du haut de la bouteille C à travers le pagne plié en quatre, dans la bouteille propre, sans remuer le dépôt du fond.</w:t>
      </w:r>
    </w:p>
    <w:p>
      <w:pPr>
        <w:pStyle w:val="ListParagraph"/>
        <w:numPr>
          <w:ilvl w:val="0"/>
          <w:numId w:val="2"/>
        </w:numPr>
        <w:spacing w:lineRule="auto" w:line="360" w:before="0" w:after="120"/>
        <w:jc w:val="both"/>
        <w:rPr/>
      </w:pPr>
      <w:r>
        <w:rPr>
          <w:rFonts w:eastAsia="Times New Roman" w:cs="Times New Roman"/>
        </w:rPr>
        <w:t>Désinfecter l’eau obtenue : la coucher sur la tôle en plein soleil pendant 6 h, ou la faire bouillir au moins 1 minute. La consommer dans les 24 h.</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1</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Dispositif de l’expérience 6 : eau clarifiée au moringa</w:t>
      </w:r>
    </w:p>
    <w:p>
      <w:pPr>
        <w:pStyle w:val="Normal"/>
        <w:keepNext w:val="true"/>
        <w:spacing w:lineRule="auto" w:line="240"/>
        <w:jc w:val="center"/>
        <w:rPr/>
      </w:pPr>
      <w:r>
        <w:rPr/>
        <w:drawing>
          <wp:inline distT="0" distB="0" distL="0" distR="0">
            <wp:extent cx="5400675" cy="50387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5400675" cy="5038725"/>
                    </a:xfrm>
                    <a:prstGeom prst="rect">
                      <a:avLst/>
                    </a:prstGeom>
                  </pic:spPr>
                </pic:pic>
              </a:graphicData>
            </a:graphic>
          </wp:inline>
        </w:drawing>
      </w:r>
    </w:p>
    <w:p>
      <w:pPr>
        <w:pStyle w:val="Normal"/>
        <w:spacing w:lineRule="auto" w:line="240" w:before="60" w:after="240"/>
        <w:rPr/>
      </w:pPr>
      <w:r>
        <w:rPr>
          <w:rFonts w:eastAsia="Times New Roman" w:cs="Times New Roman"/>
          <w:i/>
          <w:iCs/>
          <w:sz w:val="22"/>
          <w:szCs w:val="22"/>
        </w:rPr>
        <w:t>Source : Réalisation de l’auteur (2026), d’après le support de cours de l’EC2 « Maladies et hygiène » (2STE1275).</w:t>
      </w:r>
    </w:p>
    <w:p>
      <w:pPr>
        <w:pStyle w:val="Heading2"/>
        <w:rPr/>
      </w:pPr>
      <w:r>
        <w:rPr>
          <w:rFonts w:eastAsia="Times New Roman" w:cs="Times New Roman" w:ascii="Times New Roman" w:hAnsi="Times New Roman"/>
        </w:rPr>
        <w:t>6.5. Observations attendues</w:t>
      </w:r>
    </w:p>
    <w:p>
      <w:pPr>
        <w:pStyle w:val="ListParagraph"/>
        <w:numPr>
          <w:ilvl w:val="0"/>
          <w:numId w:val="10"/>
        </w:numPr>
        <w:spacing w:lineRule="auto" w:line="360" w:before="0" w:after="40"/>
        <w:jc w:val="both"/>
        <w:rPr/>
      </w:pPr>
      <w:r>
        <w:rPr>
          <w:rFonts w:eastAsia="Times New Roman" w:cs="Times New Roman"/>
        </w:rPr>
        <w:t>Quelques minutes après le mélange, de petits flocons apparaissent dans les bouteilles B et C.</w:t>
      </w:r>
    </w:p>
    <w:p>
      <w:pPr>
        <w:pStyle w:val="ListParagraph"/>
        <w:numPr>
          <w:ilvl w:val="0"/>
          <w:numId w:val="11"/>
        </w:numPr>
        <w:spacing w:lineRule="auto" w:line="360" w:before="0" w:after="40"/>
        <w:jc w:val="both"/>
        <w:rPr/>
      </w:pPr>
      <w:r>
        <w:rPr>
          <w:rFonts w:eastAsia="Times New Roman" w:cs="Times New Roman"/>
        </w:rPr>
        <w:t>Après 1 à 2 h, les bouteilles B et C sont claires, avec un dépôt de boue au fond ; la bouteille A reste trouble.</w:t>
      </w:r>
    </w:p>
    <w:p>
      <w:pPr>
        <w:pStyle w:val="ListParagraph"/>
        <w:numPr>
          <w:ilvl w:val="0"/>
          <w:numId w:val="12"/>
        </w:numPr>
        <w:spacing w:lineRule="auto" w:line="360" w:before="0" w:after="120"/>
        <w:jc w:val="both"/>
        <w:rPr/>
      </w:pPr>
      <w:r>
        <w:rPr>
          <w:rFonts w:eastAsia="Times New Roman" w:cs="Times New Roman"/>
        </w:rPr>
        <w:t>L’eau de la bouteille C, passée au pagne, est limpide.</w:t>
      </w:r>
    </w:p>
    <w:p>
      <w:pPr>
        <w:pStyle w:val="Heading2"/>
        <w:rPr/>
      </w:pPr>
      <w:r>
        <w:rPr>
          <w:rFonts w:eastAsia="Times New Roman" w:cs="Times New Roman" w:ascii="Times New Roman" w:hAnsi="Times New Roman"/>
        </w:rPr>
        <w:t>6.6. Interprétation et conclusion</w:t>
      </w:r>
    </w:p>
    <w:p>
      <w:pPr>
        <w:pStyle w:val="ListParagraph"/>
        <w:numPr>
          <w:ilvl w:val="0"/>
          <w:numId w:val="13"/>
        </w:numPr>
        <w:spacing w:lineRule="auto" w:line="360" w:before="0" w:after="40"/>
        <w:jc w:val="both"/>
        <w:rPr/>
      </w:pPr>
      <w:r>
        <w:rPr>
          <w:rFonts w:eastAsia="Times New Roman" w:cs="Times New Roman"/>
        </w:rPr>
        <w:t>Les graines de moringa contiennent des protéines qui attirent les fines particules d’argile en suspension : les particules s’agglomèrent (coagulation), forment des flocons (floculation) qui, plus lourds, tombent au fond (décantation).</w:t>
      </w:r>
    </w:p>
    <w:p>
      <w:pPr>
        <w:pStyle w:val="ListParagraph"/>
        <w:numPr>
          <w:ilvl w:val="0"/>
          <w:numId w:val="14"/>
        </w:numPr>
        <w:spacing w:lineRule="auto" w:line="360" w:before="0" w:after="40"/>
        <w:jc w:val="both"/>
        <w:rPr/>
      </w:pPr>
      <w:r>
        <w:rPr>
          <w:rFonts w:eastAsia="Times New Roman" w:cs="Times New Roman"/>
        </w:rPr>
        <w:t>Ce traitement élimine la plus grande partie de la boue et une partie des bactéries fixées aux particules, mais pas tous les microbes.</w:t>
      </w:r>
    </w:p>
    <w:p>
      <w:pPr>
        <w:pStyle w:val="ListParagraph"/>
        <w:numPr>
          <w:ilvl w:val="0"/>
          <w:numId w:val="15"/>
        </w:numPr>
        <w:spacing w:lineRule="auto" w:line="360" w:before="0" w:after="40"/>
        <w:jc w:val="both"/>
        <w:rPr/>
      </w:pPr>
      <w:r>
        <w:rPr>
          <w:rFonts w:eastAsia="Times New Roman" w:cs="Times New Roman"/>
        </w:rPr>
        <w:t>La désinfection au soleil ou par ébullition reste donc indispensable : on retrouve les trois étapes du cours (sédimentation, filtration, désinfection).</w:t>
      </w:r>
    </w:p>
    <w:p>
      <w:pPr>
        <w:pStyle w:val="ListParagraph"/>
        <w:numPr>
          <w:ilvl w:val="0"/>
          <w:numId w:val="16"/>
        </w:numPr>
        <w:spacing w:lineRule="auto" w:line="360" w:before="0" w:after="120"/>
        <w:jc w:val="both"/>
        <w:rPr/>
      </w:pPr>
      <w:r>
        <w:rPr>
          <w:rFonts w:eastAsia="Times New Roman" w:cs="Times New Roman"/>
        </w:rPr>
        <w:t>Le moringa remplace gratuitement les produits chimiques (sulfate d’aluminium) utilisés dans les stations de traitement de l’eau.</w:t>
      </w:r>
    </w:p>
    <w:p>
      <w:pPr>
        <w:pStyle w:val="Heading2"/>
        <w:rPr/>
      </w:pPr>
      <w:r>
        <w:rPr>
          <w:rFonts w:eastAsia="Times New Roman" w:cs="Times New Roman" w:ascii="Times New Roman" w:hAnsi="Times New Roman"/>
        </w:rPr>
        <w:t>6.7. Précautions de sécurité</w:t>
      </w:r>
    </w:p>
    <w:p>
      <w:pPr>
        <w:pStyle w:val="ListParagraph"/>
        <w:numPr>
          <w:ilvl w:val="0"/>
          <w:numId w:val="17"/>
        </w:numPr>
        <w:spacing w:lineRule="auto" w:line="360" w:before="0" w:after="40"/>
        <w:jc w:val="both"/>
        <w:rPr/>
      </w:pPr>
      <w:r>
        <w:rPr>
          <w:rFonts w:eastAsia="Times New Roman" w:cs="Times New Roman"/>
        </w:rPr>
        <w:t>Ne jamais boire l’eau seulement clarifiée : toujours la désinfecter.</w:t>
      </w:r>
    </w:p>
    <w:p>
      <w:pPr>
        <w:pStyle w:val="ListParagraph"/>
        <w:numPr>
          <w:ilvl w:val="0"/>
          <w:numId w:val="18"/>
        </w:numPr>
        <w:spacing w:lineRule="auto" w:line="360" w:before="0" w:after="40"/>
        <w:jc w:val="both"/>
        <w:rPr/>
      </w:pPr>
      <w:r>
        <w:rPr>
          <w:rFonts w:eastAsia="Times New Roman" w:cs="Times New Roman"/>
        </w:rPr>
        <w:t>Utiliser des graines saines, sèches et non moisies ; préparer la pâte le jour même.</w:t>
      </w:r>
    </w:p>
    <w:p>
      <w:pPr>
        <w:pStyle w:val="ListParagraph"/>
        <w:numPr>
          <w:ilvl w:val="0"/>
          <w:numId w:val="19"/>
        </w:numPr>
        <w:spacing w:lineRule="auto" w:line="360" w:before="0" w:after="40"/>
        <w:jc w:val="both"/>
        <w:rPr/>
      </w:pPr>
      <w:r>
        <w:rPr>
          <w:rFonts w:eastAsia="Times New Roman" w:cs="Times New Roman"/>
        </w:rPr>
        <w:t>Ne pas dépasser la dose : trop de poudre trouble de nouveau l’eau et favorise le retour des microbes.</w:t>
      </w:r>
    </w:p>
    <w:p>
      <w:pPr>
        <w:pStyle w:val="ListParagraph"/>
        <w:numPr>
          <w:ilvl w:val="0"/>
          <w:numId w:val="20"/>
        </w:numPr>
        <w:spacing w:lineRule="auto" w:line="360" w:before="0" w:after="40"/>
        <w:jc w:val="both"/>
        <w:rPr/>
      </w:pPr>
      <w:r>
        <w:rPr>
          <w:rFonts w:eastAsia="Times New Roman" w:cs="Times New Roman"/>
        </w:rPr>
        <w:t>Consommer l’eau traitée dans les 24 h et la conserver dans un récipient propre et couvert.</w:t>
      </w:r>
    </w:p>
    <w:p>
      <w:pPr>
        <w:pStyle w:val="ListParagraph"/>
        <w:numPr>
          <w:ilvl w:val="0"/>
          <w:numId w:val="21"/>
        </w:numPr>
        <w:spacing w:lineRule="auto" w:line="360" w:before="0" w:after="120"/>
        <w:jc w:val="both"/>
        <w:rPr/>
      </w:pPr>
      <w:r>
        <w:rPr>
          <w:rFonts w:eastAsia="Times New Roman" w:cs="Times New Roman"/>
        </w:rPr>
        <w:t>Se laver les mains au savon après avoir manipulé l’eau du marigot.</w:t>
      </w:r>
    </w:p>
    <w:p>
      <w:pPr>
        <w:pStyle w:val="Heading2"/>
        <w:rPr/>
      </w:pPr>
      <w:r>
        <w:rPr>
          <w:rFonts w:eastAsia="Times New Roman" w:cs="Times New Roman" w:ascii="Times New Roman" w:hAnsi="Times New Roman"/>
        </w:rPr>
        <w:t>6.8. Prolongements</w:t>
      </w:r>
    </w:p>
    <w:p>
      <w:pPr>
        <w:pStyle w:val="ListParagraph"/>
        <w:numPr>
          <w:ilvl w:val="0"/>
          <w:numId w:val="22"/>
        </w:numPr>
        <w:spacing w:lineRule="auto" w:line="360" w:before="0" w:after="40"/>
        <w:jc w:val="both"/>
        <w:rPr/>
      </w:pPr>
      <w:r>
        <w:rPr>
          <w:rFonts w:eastAsia="Times New Roman" w:cs="Times New Roman"/>
        </w:rPr>
        <w:t>Tester plusieurs doses (1, 2, 3 et 4 amandes par litre) pour trouver la dose la plus efficace pour l’eau du marigot local.</w:t>
      </w:r>
    </w:p>
    <w:p>
      <w:pPr>
        <w:pStyle w:val="ListParagraph"/>
        <w:numPr>
          <w:ilvl w:val="0"/>
          <w:numId w:val="23"/>
        </w:numPr>
        <w:spacing w:lineRule="auto" w:line="360" w:before="0" w:after="40"/>
        <w:jc w:val="both"/>
        <w:rPr/>
      </w:pPr>
      <w:r>
        <w:rPr>
          <w:rFonts w:eastAsia="Times New Roman" w:cs="Times New Roman"/>
        </w:rPr>
        <w:t>Combiner le moringa avec le filtre à sable et à charbon de l’expérience 1.</w:t>
      </w:r>
    </w:p>
    <w:p>
      <w:pPr>
        <w:pStyle w:val="ListParagraph"/>
        <w:numPr>
          <w:ilvl w:val="0"/>
          <w:numId w:val="24"/>
        </w:numPr>
        <w:spacing w:lineRule="auto" w:line="360" w:before="0" w:after="120"/>
        <w:jc w:val="both"/>
        <w:rPr/>
        <w:sectPr>
          <w:footerReference w:type="even" r:id="rId5"/>
          <w:footerReference w:type="default" r:id="rId6"/>
          <w:footerReference w:type="first" r:id="rId7"/>
          <w:type w:val="nextPage"/>
          <w:pgSz w:w="11906" w:h="16838"/>
          <w:pgMar w:left="1418" w:right="1418" w:gutter="0" w:header="0" w:top="1418" w:footer="567" w:bottom="1418"/>
          <w:pgNumType w:fmt="decimal"/>
          <w:formProt w:val="false"/>
          <w:textDirection w:val="lrTb"/>
          <w:docGrid w:type="default" w:linePitch="360" w:charSpace="0"/>
        </w:sectPr>
      </w:pPr>
      <w:r>
        <w:rPr>
          <w:rFonts w:eastAsia="Times New Roman" w:cs="Times New Roman"/>
        </w:rPr>
        <w:t>Planter des moringa dans le jardin scolaire : leurs feuilles sont aussi riches en éléments nutritifs.</w:t>
      </w:r>
    </w:p>
    <w:p>
      <w:pPr>
        <w:pStyle w:val="Heading2"/>
        <w:rPr/>
      </w:pPr>
      <w:r>
        <w:rPr>
          <w:rFonts w:eastAsia="Times New Roman" w:cs="Times New Roman" w:ascii="Times New Roman" w:hAnsi="Times New Roman"/>
        </w:rPr>
        <w:t>6.9. Schéma directeur (Freeplane)</w:t>
      </w:r>
    </w:p>
    <w:p>
      <w:pPr>
        <w:pStyle w:val="Normal"/>
        <w:spacing w:lineRule="auto" w:line="360" w:before="0" w:after="120"/>
        <w:jc w:val="both"/>
        <w:rPr/>
      </w:pPr>
      <w:r>
        <w:rPr>
          <w:rFonts w:eastAsia="Times New Roman" w:cs="Times New Roman"/>
        </w:rPr>
        <w:t xml:space="preserve">Fichier source : </w:t>
      </w:r>
      <w:r>
        <w:rPr>
          <w:rFonts w:eastAsia="Times New Roman" w:cs="Times New Roman"/>
          <w:i/>
          <w:iCs/>
        </w:rPr>
        <w:t>exp6_schema_directeur.mm</w:t>
      </w:r>
      <w:r>
        <w:rPr>
          <w:rFonts w:eastAsia="Times New Roman" w:cs="Times New Roman"/>
        </w:rPr>
        <w:t>, à ouvrir avec Freeplane.</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2</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Schéma directeur de l’expérience 6 : eau clarifiée au moringa</w:t>
      </w:r>
    </w:p>
    <w:p>
      <w:pPr>
        <w:pStyle w:val="Normal"/>
        <w:keepNext w:val="true"/>
        <w:spacing w:lineRule="auto" w:line="240"/>
        <w:jc w:val="center"/>
        <w:rPr/>
      </w:pPr>
      <w:r>
        <w:rPr/>
        <w:drawing>
          <wp:inline distT="0" distB="0" distL="0" distR="0">
            <wp:extent cx="8810625" cy="42386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8"/>
                    <a:stretch>
                      <a:fillRect/>
                    </a:stretch>
                  </pic:blipFill>
                  <pic:spPr bwMode="auto">
                    <a:xfrm>
                      <a:off x="0" y="0"/>
                      <a:ext cx="8810625" cy="4238625"/>
                    </a:xfrm>
                    <a:prstGeom prst="rect">
                      <a:avLst/>
                    </a:prstGeom>
                  </pic:spPr>
                </pic:pic>
              </a:graphicData>
            </a:graphic>
          </wp:inline>
        </w:drawing>
      </w:r>
    </w:p>
    <w:p>
      <w:pPr>
        <w:pStyle w:val="Normal"/>
        <w:spacing w:lineRule="auto" w:line="240" w:before="60" w:after="240"/>
        <w:rPr/>
        <w:sectPr>
          <w:footerReference w:type="even" r:id="rId9"/>
          <w:footerReference w:type="default" r:id="rId10"/>
          <w:footerReference w:type="first" r:id="rId11"/>
          <w:type w:val="nextPage"/>
          <w:pgSz w:orient="landscape" w:w="16838" w:h="11906"/>
          <w:pgMar w:left="1418" w:right="1418" w:gutter="0" w:header="0" w:top="1418" w:footer="567" w:bottom="1418"/>
          <w:pgNumType w:fmt="decimal"/>
          <w:formProt w:val="false"/>
          <w:textDirection w:val="lrTb"/>
          <w:docGrid w:type="default" w:linePitch="360" w:charSpace="0"/>
        </w:sectPr>
      </w:pPr>
      <w:r>
        <w:rPr>
          <w:rFonts w:eastAsia="Times New Roman" w:cs="Times New Roman"/>
          <w:i/>
          <w:iCs/>
          <w:sz w:val="22"/>
          <w:szCs w:val="22"/>
        </w:rPr>
        <w:t>Source : Réalisation de l’auteur (2026) avec Freeplane, d’après le support de cours de l’EC2 (2STE1275).</w:t>
      </w:r>
    </w:p>
    <w:p>
      <w:pPr>
        <w:pStyle w:val="Heading1"/>
        <w:rPr/>
      </w:pPr>
      <w:r>
        <w:rPr>
          <w:rFonts w:eastAsia="Times New Roman" w:cs="Times New Roman" w:ascii="Times New Roman" w:hAnsi="Times New Roman"/>
        </w:rPr>
        <w:t>CONCLUSION</w:t>
      </w:r>
    </w:p>
    <w:p>
      <w:pPr>
        <w:pStyle w:val="Normal"/>
        <w:spacing w:lineRule="auto" w:line="360" w:before="0" w:after="120"/>
        <w:ind w:firstLine="709"/>
        <w:jc w:val="both"/>
        <w:rPr/>
      </w:pPr>
      <w:r>
        <w:rPr>
          <w:rFonts w:eastAsia="Times New Roman" w:cs="Times New Roman"/>
        </w:rPr>
        <w:t>Cette expérience montre qu’une ressource végétale locale et gratuite, la graine de moringa, peut clarifier en une à deux heures une eau très boueuse que la simple décantation ne parvient pas à éclaircir. Elle illustre concrètement les étapes du traitement de l’eau étudiées au chapitre 5 et rappelle un principe essentiel : une eau claire n’est pas forcément potable. Associée à la filtration et à la désinfection solaire ou à l’ébullition, elle constitue un moyen simple de prévenir les maladies transmises par l’eau (choléra, amibiase, giardiase, fièvre typhoïde) dans les familles et les écoles.</w:t>
      </w:r>
    </w:p>
    <w:p>
      <w:pPr>
        <w:pStyle w:val="Heading1"/>
        <w:rPr/>
      </w:pPr>
      <w:r>
        <w:rPr>
          <w:rFonts w:eastAsia="Times New Roman" w:cs="Times New Roman" w:ascii="Times New Roman" w:hAnsi="Times New Roman"/>
        </w:rPr>
        <w:t>RÉFÉRENCES</w:t>
      </w:r>
    </w:p>
    <w:p>
      <w:pPr>
        <w:pStyle w:val="Normal"/>
        <w:spacing w:lineRule="auto" w:line="360" w:before="0" w:after="120"/>
        <w:ind w:hanging="720" w:left="720"/>
        <w:rPr/>
      </w:pPr>
      <w:r>
        <w:rPr>
          <w:rFonts w:eastAsia="Times New Roman" w:cs="Times New Roman"/>
        </w:rPr>
        <w:t xml:space="preserve">ENFPE. (s.d.). </w:t>
      </w:r>
      <w:r>
        <w:rPr>
          <w:rFonts w:eastAsia="Times New Roman" w:cs="Times New Roman"/>
          <w:i/>
          <w:iCs/>
        </w:rPr>
        <w:t>UE STE1275 – EC2 (2STE1275) : Maladies et hygiène</w:t>
      </w:r>
      <w:r>
        <w:rPr>
          <w:rFonts w:eastAsia="Times New Roman" w:cs="Times New Roman"/>
        </w:rPr>
        <w:t xml:space="preserve"> [Support de cours]. Champ Sciences et technologie.</w:t>
      </w:r>
    </w:p>
    <w:p>
      <w:pPr>
        <w:pStyle w:val="Normal"/>
        <w:spacing w:lineRule="auto" w:line="360" w:before="0" w:after="120"/>
        <w:ind w:hanging="720" w:left="720"/>
        <w:rPr/>
      </w:pPr>
      <w:r>
        <w:rPr>
          <w:rFonts w:eastAsia="Times New Roman" w:cs="Times New Roman"/>
        </w:rPr>
        <w:t xml:space="preserve">Folkard, G., et Sutherland, J. (1996). </w:t>
      </w:r>
      <w:r>
        <w:rPr>
          <w:rFonts w:eastAsia="Times New Roman" w:cs="Times New Roman"/>
          <w:i/>
          <w:iCs/>
        </w:rPr>
        <w:t>Moringa oleifera</w:t>
      </w:r>
      <w:r>
        <w:rPr>
          <w:rFonts w:eastAsia="Times New Roman" w:cs="Times New Roman"/>
        </w:rPr>
        <w:t xml:space="preserve">: A tree with enormous potential. </w:t>
      </w:r>
      <w:r>
        <w:rPr>
          <w:rFonts w:eastAsia="Times New Roman" w:cs="Times New Roman"/>
          <w:i/>
          <w:iCs/>
        </w:rPr>
        <w:t>Agroforestry Today, 8</w:t>
      </w:r>
      <w:r>
        <w:rPr>
          <w:rFonts w:eastAsia="Times New Roman" w:cs="Times New Roman"/>
        </w:rPr>
        <w:t>(3), 5-8.</w:t>
      </w:r>
    </w:p>
    <w:p>
      <w:pPr>
        <w:pStyle w:val="Normal"/>
        <w:spacing w:lineRule="auto" w:line="360" w:before="0" w:after="120"/>
        <w:ind w:hanging="720" w:left="720"/>
        <w:rPr/>
      </w:pPr>
      <w:r>
        <w:rPr>
          <w:rFonts w:eastAsia="Times New Roman" w:cs="Times New Roman"/>
        </w:rPr>
        <w:t xml:space="preserve">Ndabigengesere, A., et Narasiah, K. S. (1998). Quality of water treated by coagulation using </w:t>
      </w:r>
      <w:r>
        <w:rPr>
          <w:rFonts w:eastAsia="Times New Roman" w:cs="Times New Roman"/>
          <w:i/>
          <w:iCs/>
        </w:rPr>
        <w:t>Moringa oleifera</w:t>
      </w:r>
      <w:r>
        <w:rPr>
          <w:rFonts w:eastAsia="Times New Roman" w:cs="Times New Roman"/>
        </w:rPr>
        <w:t xml:space="preserve"> seeds. </w:t>
      </w:r>
      <w:r>
        <w:rPr>
          <w:rFonts w:eastAsia="Times New Roman" w:cs="Times New Roman"/>
          <w:i/>
          <w:iCs/>
        </w:rPr>
        <w:t>Water Research, 32</w:t>
      </w:r>
      <w:r>
        <w:rPr>
          <w:rFonts w:eastAsia="Times New Roman" w:cs="Times New Roman"/>
        </w:rPr>
        <w:t>(3), 781-791.</w:t>
      </w:r>
    </w:p>
    <w:p>
      <w:pPr>
        <w:pStyle w:val="Normal"/>
        <w:spacing w:lineRule="auto" w:line="360" w:before="0" w:after="120"/>
        <w:ind w:hanging="720" w:left="720"/>
        <w:rPr/>
      </w:pPr>
      <w:r>
        <w:rPr>
          <w:rFonts w:eastAsia="Times New Roman" w:cs="Times New Roman"/>
        </w:rPr>
        <w:t xml:space="preserve">Organisation mondiale de la santé. (2017). </w:t>
      </w:r>
      <w:r>
        <w:rPr>
          <w:rFonts w:eastAsia="Times New Roman" w:cs="Times New Roman"/>
          <w:i/>
          <w:iCs/>
        </w:rPr>
        <w:t>Directives de qualité pour l’eau de boisson</w:t>
      </w:r>
      <w:r>
        <w:rPr>
          <w:rFonts w:eastAsia="Times New Roman" w:cs="Times New Roman"/>
        </w:rPr>
        <w:t xml:space="preserve"> (4e éd.). OMS.</w:t>
      </w:r>
    </w:p>
    <w:sectPr>
      <w:footerReference w:type="even" r:id="rId12"/>
      <w:footerReference w:type="default" r:id="rId13"/>
      <w:footerReference w:type="first" r:id="rId14"/>
      <w:type w:val="nextPage"/>
      <w:pgSz w:w="11906" w:h="16838"/>
      <w:pgMar w:left="1418" w:right="1418" w:gutter="0" w:header="0" w:top="1418" w:footer="567"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swiss"/>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7</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09" w:hanging="354"/>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lvlOverride w:ilvl="0">
      <w:startOverride w:val="1"/>
    </w:lvlOverride>
  </w:num>
  <w:num w:numId="10">
    <w:abstractNumId w:val="1"/>
    <w:lvlOverride w:ilvl="0">
      <w:startOverride w:val="1"/>
    </w:lvlOverride>
  </w:num>
  <w:num w:numId="11">
    <w:abstractNumId w:val="1"/>
  </w:num>
  <w:num w:numId="12">
    <w:abstractNumId w:val="1"/>
  </w:num>
  <w:num w:numId="13">
    <w:abstractNumId w:val="1"/>
    <w:lvlOverride w:ilvl="0">
      <w:startOverride w:val="1"/>
    </w:lvlOverride>
  </w:num>
  <w:num w:numId="14">
    <w:abstractNumId w:val="1"/>
  </w:num>
  <w:num w:numId="15">
    <w:abstractNumId w:val="1"/>
  </w:num>
  <w:num w:numId="16">
    <w:abstractNumId w:val="1"/>
  </w:num>
  <w:num w:numId="17">
    <w:abstractNumId w:val="1"/>
    <w:lvlOverride w:ilvl="0">
      <w:startOverride w:val="1"/>
    </w:lvlOverride>
  </w:num>
  <w:num w:numId="18">
    <w:abstractNumId w:val="1"/>
  </w:num>
  <w:num w:numId="19">
    <w:abstractNumId w:val="1"/>
  </w:num>
  <w:num w:numId="20">
    <w:abstractNumId w:val="1"/>
  </w:num>
  <w:num w:numId="21">
    <w:abstractNumId w:val="1"/>
  </w:num>
  <w:num w:numId="22">
    <w:abstractNumId w:val="1"/>
    <w:lvlOverride w:ilvl="0">
      <w:startOverride w:val="1"/>
    </w:lvlOverride>
  </w:num>
  <w:num w:numId="23">
    <w:abstractNumId w:val="1"/>
  </w:num>
  <w:num w:numId="24">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spacing w:lineRule="auto" w:line="360" w:before="0" w:after="360"/>
      <w:jc w:val="center"/>
      <w:outlineLvl w:val="0"/>
    </w:pPr>
    <w:rPr>
      <w:rFonts w:ascii="Times New Roman" w:hAnsi="Times New Roman" w:eastAsia="Times New Roman" w:cs="Times New Roman"/>
      <w:b/>
      <w:bCs/>
      <w:color w:val="1F3864"/>
      <w:sz w:val="28"/>
      <w:szCs w:val="28"/>
    </w:rPr>
  </w:style>
  <w:style w:type="paragraph" w:styleId="Heading2">
    <w:name w:val="Heading 2"/>
    <w:basedOn w:val="Heading"/>
    <w:qFormat/>
    <w:pPr>
      <w:keepNext w:val="true"/>
      <w:spacing w:lineRule="auto" w:line="360" w:before="280" w:after="120"/>
      <w:outlineLvl w:val="1"/>
    </w:pPr>
    <w:rPr>
      <w:rFonts w:ascii="Times New Roman" w:hAnsi="Times New Roman" w:eastAsia="Times New Roman" w:cs="Times New Roman"/>
      <w:b/>
      <w:bCs/>
      <w:color w:val="1F3864"/>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rPr>
      <w:rFonts w:ascii="Times New Roman" w:hAnsi="Times New Roman" w:eastAsia="Times New Roman" w:cs="Times New Roman"/>
      <w:sz w:val="22"/>
      <w:szCs w:val="22"/>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360"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reliminaire">
    <w:name w:val="Titre liminaire"/>
    <w:qFormat/>
    <w:pPr>
      <w:widowControl/>
      <w:bidi w:val="0"/>
      <w:spacing w:before="0" w:after="360" w:lineRule="auto" w:line="360"/>
      <w:jc w:val="center"/>
    </w:pPr>
    <w:rPr>
      <w:rFonts w:ascii="Times New Roman" w:hAnsi="Times New Roman" w:eastAsia="Times New Roman" w:cs="Times New Roman"/>
      <w:b/>
      <w:bCs/>
      <w:color w:val="1F3864"/>
      <w:kern w:val="0"/>
      <w:sz w:val="28"/>
      <w:szCs w:val="28"/>
      <w:lang w:val="en-US" w:eastAsia="zh-CN" w:bidi="hi-IN"/>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image" Target="media/image2.png"/><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footer" Target="footer10.xml"/><Relationship Id="rId14" Type="http://schemas.openxmlformats.org/officeDocument/2006/relationships/footer" Target="footer1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Pages>
  <Words>1294</Words>
  <Characters>6720</Characters>
  <CharactersWithSpaces>7896</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2026-09-23T11:19:58Z</dcterms:created>
  <dc:creator>ENFPE</dc:creator>
  <dc:description/>
  <dc:language>en-US</dc:language>
  <cp:lastModifiedBy/>
  <dcterms:modified xsi:type="dcterms:W3CDTF">2026-09-23T11:19:58Z</dcterms:modified>
  <cp:revision>2</cp:revision>
  <dc:subject/>
  <dc:title>Clarifier et purifier l’eau avec les graines de moringa – EC2 Maladies et hygiène</dc:title>
</cp:coreProperties>
</file>