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oter26.xml" ContentType="application/vnd.openxmlformats-officedocument.wordprocessingml.footer+xml"/>
  <Override PartName="/word/fontTable.xml" ContentType="application/vnd.openxmlformats-officedocument.wordprocessingml.fontTable+xml"/>
  <Override PartName="/word/footer25.xml" ContentType="application/vnd.openxmlformats-officedocument.wordprocessingml.footer+xml"/>
  <Override PartName="/word/footer24.xml" ContentType="application/vnd.openxmlformats-officedocument.wordprocessingml.footer+xml"/>
  <Override PartName="/word/footer23.xml" ContentType="application/vnd.openxmlformats-officedocument.wordprocessingml.footer+xml"/>
  <Override PartName="/word/footer21.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18.xml" ContentType="application/vnd.openxmlformats-officedocument.wordprocessingml.footer+xml"/>
  <Override PartName="/word/footer17.xml" ContentType="application/vnd.openxmlformats-officedocument.wordprocessingml.footer+xml"/>
  <Override PartName="/word/footer16.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footer7.xml" ContentType="application/vnd.openxmlformats-officedocument.wordprocessingml.footer+xml"/>
  <Override PartName="/word/footer31.xml" ContentType="application/vnd.openxmlformats-officedocument.wordprocessingml.footer+xml"/>
  <Override PartName="/word/footer29.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33.xml" ContentType="application/vnd.openxmlformats-officedocument.wordprocessingml.footer+xml"/>
  <Override PartName="/word/theme/theme1.xml" ContentType="application/vnd.openxmlformats-officedocument.theme+xml"/>
  <Override PartName="/word/footer9.xml" ContentType="application/vnd.openxmlformats-officedocument.wordprocessingml.footer+xml"/>
  <Override PartName="/word/footer35.xml" ContentType="application/vnd.openxmlformats-officedocument.wordprocessingml.footer+xml"/>
  <Override PartName="/word/footer2.xml" ContentType="application/vnd.openxmlformats-officedocument.wordprocessingml.footer+xml"/>
  <Override PartName="/word/footer10.xml" ContentType="application/vnd.openxmlformats-officedocument.wordprocessingml.footer+xml"/>
  <Override PartName="/word/footer34.xml" ContentType="application/vnd.openxmlformats-officedocument.wordprocessingml.footer+xml"/>
  <Override PartName="/word/footer1.xml" ContentType="application/vnd.openxmlformats-officedocument.wordprocessingml.footer+xml"/>
  <Override PartName="/word/numbering.xml" ContentType="application/vnd.openxmlformats-officedocument.wordprocessingml.numbering+xml"/>
  <Override PartName="/word/footer1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5.xml" ContentType="application/vnd.openxmlformats-officedocument.wordprocessingml.footer+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8.png" ContentType="image/png"/>
  <Override PartName="/word/media/image9.png" ContentType="image/png"/>
  <Override PartName="/word/footer32.xml" ContentType="application/vnd.openxmlformats-officedocument.wordprocessingml.footer+xml"/>
  <Override PartName="/word/footer8.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6.xml" ContentType="application/vnd.openxmlformats-officedocument.wordprocessingml.footer+xml"/>
  <Override PartName="/word/styles.xml" ContentType="application/vnd.openxmlformats-officedocument.wordprocessingml.styles+xml"/>
  <Override PartName="/word/footer22.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72" w:type="dxa"/>
        <w:jc w:val="left"/>
        <w:tblInd w:w="0" w:type="dxa"/>
        <w:tblLayout w:type="fixed"/>
        <w:tblCellMar>
          <w:top w:w="0" w:type="dxa"/>
          <w:left w:w="108" w:type="dxa"/>
          <w:bottom w:w="0" w:type="dxa"/>
          <w:right w:w="108" w:type="dxa"/>
        </w:tblCellMar>
      </w:tblPr>
      <w:tblGrid>
        <w:gridCol w:w="4536"/>
        <w:gridCol w:w="4535"/>
      </w:tblGrid>
      <w:tr>
        <w:trPr/>
        <w:tc>
          <w:tcPr>
            <w:tcW w:w="4536" w:type="dxa"/>
            <w:tcBorders/>
          </w:tcPr>
          <w:p>
            <w:pPr>
              <w:pStyle w:val="Normal"/>
              <w:spacing w:lineRule="auto" w:line="276" w:before="0" w:after="0"/>
              <w:jc w:val="center"/>
              <w:rPr/>
            </w:pPr>
            <w:r>
              <w:rPr>
                <w:rFonts w:eastAsia="Times New Roman" w:cs="Times New Roman"/>
                <w:b/>
                <w:bCs/>
                <w:sz w:val="20"/>
                <w:szCs w:val="20"/>
              </w:rPr>
              <w:t>MINISTÈRE DE L’ÉDUCATION NATIONALE</w:t>
            </w:r>
          </w:p>
          <w:p>
            <w:pPr>
              <w:pStyle w:val="Normal"/>
              <w:spacing w:lineRule="auto" w:line="276" w:before="0" w:after="0"/>
              <w:jc w:val="center"/>
              <w:rPr/>
            </w:pPr>
            <w:r>
              <w:rPr>
                <w:rFonts w:eastAsia="Times New Roman" w:cs="Times New Roman"/>
                <w:sz w:val="20"/>
                <w:szCs w:val="20"/>
              </w:rPr>
              <w:t>----------</w:t>
            </w:r>
          </w:p>
          <w:p>
            <w:pPr>
              <w:pStyle w:val="Normal"/>
              <w:spacing w:lineRule="auto" w:line="276" w:before="0" w:after="0"/>
              <w:jc w:val="center"/>
              <w:rPr/>
            </w:pPr>
            <w:r>
              <w:rPr>
                <w:rFonts w:eastAsia="Times New Roman" w:cs="Times New Roman"/>
                <w:b/>
                <w:bCs/>
                <w:sz w:val="20"/>
                <w:szCs w:val="20"/>
              </w:rPr>
              <w:t>ÉCOLE NORMALE DE FORMATION DES PROFESSEURS D’ÉCOLE (ENFPE)</w:t>
            </w:r>
          </w:p>
        </w:tc>
        <w:tc>
          <w:tcPr>
            <w:tcW w:w="4535" w:type="dxa"/>
            <w:tcBorders/>
          </w:tcPr>
          <w:p>
            <w:pPr>
              <w:pStyle w:val="Normal"/>
              <w:spacing w:lineRule="auto" w:line="276" w:before="0" w:after="0"/>
              <w:jc w:val="center"/>
              <w:rPr/>
            </w:pPr>
            <w:r>
              <w:rPr>
                <w:rFonts w:eastAsia="Times New Roman" w:cs="Times New Roman"/>
                <w:b/>
                <w:bCs/>
                <w:sz w:val="20"/>
                <w:szCs w:val="20"/>
              </w:rPr>
              <w:t>RÉPUBLIQUE TOGOLAISE</w:t>
            </w:r>
          </w:p>
          <w:p>
            <w:pPr>
              <w:pStyle w:val="Normal"/>
              <w:spacing w:lineRule="auto" w:line="276" w:before="0" w:after="0"/>
              <w:jc w:val="center"/>
              <w:rPr/>
            </w:pPr>
            <w:r>
              <w:rPr>
                <w:rFonts w:eastAsia="Times New Roman" w:cs="Times New Roman"/>
                <w:i/>
                <w:iCs/>
                <w:sz w:val="20"/>
                <w:szCs w:val="20"/>
              </w:rPr>
              <w:t>Travail – Liberté – Patrie</w:t>
            </w:r>
          </w:p>
        </w:tc>
      </w:tr>
    </w:tbl>
    <w:p>
      <w:pPr>
        <w:pStyle w:val="Normal"/>
        <w:spacing w:lineRule="auto" w:line="276" w:before="1200" w:after="0"/>
        <w:jc w:val="center"/>
        <w:rPr/>
      </w:pPr>
      <w:r>
        <w:rPr>
          <w:rFonts w:eastAsia="Times New Roman" w:cs="Times New Roman"/>
          <w:sz w:val="24"/>
          <w:szCs w:val="24"/>
        </w:rPr>
        <w:t>Champ : Sciences et technologie</w:t>
      </w:r>
    </w:p>
    <w:p>
      <w:pPr>
        <w:pStyle w:val="Normal"/>
        <w:spacing w:lineRule="auto" w:line="276" w:before="60" w:after="0"/>
        <w:jc w:val="center"/>
        <w:rPr/>
      </w:pPr>
      <w:r>
        <w:rPr>
          <w:rFonts w:eastAsia="Times New Roman" w:cs="Times New Roman"/>
          <w:sz w:val="24"/>
          <w:szCs w:val="24"/>
        </w:rPr>
        <w:t>UE STE1275 : Corps humain et maladies</w:t>
      </w:r>
    </w:p>
    <w:p>
      <w:pPr>
        <w:pStyle w:val="Normal"/>
        <w:spacing w:lineRule="auto" w:line="276" w:before="60" w:after="0"/>
        <w:jc w:val="center"/>
        <w:rPr/>
      </w:pPr>
      <w:r>
        <w:rPr>
          <w:rFonts w:eastAsia="Times New Roman" w:cs="Times New Roman"/>
          <w:sz w:val="24"/>
          <w:szCs w:val="24"/>
        </w:rPr>
        <w:t>EC2 (2STE1275) : Maladies et hygiène – Semestre 2</w:t>
      </w:r>
    </w:p>
    <w:p>
      <w:pPr>
        <w:pStyle w:val="Normal"/>
        <w:pBdr>
          <w:top w:val="double" w:sz="6" w:space="8" w:color="1F3864"/>
          <w:left w:val="double" w:sz="6" w:space="8" w:color="1F3864"/>
          <w:bottom w:val="double" w:sz="6" w:space="8" w:color="1F3864"/>
          <w:right w:val="double" w:sz="6" w:space="8" w:color="1F3864"/>
        </w:pBdr>
        <w:spacing w:lineRule="auto" w:line="300" w:before="900" w:after="200"/>
        <w:ind w:left="300" w:right="300"/>
        <w:jc w:val="center"/>
        <w:rPr/>
      </w:pPr>
      <w:r>
        <w:rPr>
          <w:rFonts w:eastAsia="Times New Roman" w:cs="Times New Roman"/>
          <w:b/>
          <w:bCs/>
          <w:color w:val="1F3864"/>
          <w:sz w:val="30"/>
          <w:szCs w:val="30"/>
        </w:rPr>
        <w:t>CINQ EXPÉRIENCES PRATIQUES ARTISANALES RÉALISÉES AVEC LES RESSOURCES LOCALES DU TOGO</w:t>
      </w:r>
    </w:p>
    <w:p>
      <w:pPr>
        <w:pStyle w:val="Normal"/>
        <w:spacing w:lineRule="auto" w:line="276" w:before="240" w:after="0"/>
        <w:jc w:val="center"/>
        <w:rPr/>
      </w:pPr>
      <w:r>
        <w:rPr>
          <w:rFonts w:eastAsia="Times New Roman" w:cs="Times New Roman"/>
          <w:sz w:val="26"/>
          <w:szCs w:val="26"/>
        </w:rPr>
        <w:t>Démarches, illustrations et schémas directeurs (Freeplane)</w:t>
      </w:r>
    </w:p>
    <w:p>
      <w:pPr>
        <w:pStyle w:val="Normal"/>
        <w:spacing w:lineRule="auto" w:line="276" w:before="120" w:after="0"/>
        <w:jc w:val="center"/>
        <w:rPr/>
      </w:pPr>
      <w:r>
        <w:rPr>
          <w:rFonts w:eastAsia="Times New Roman" w:cs="Times New Roman"/>
          <w:b/>
          <w:bCs/>
          <w:sz w:val="24"/>
          <w:szCs w:val="24"/>
        </w:rPr>
        <w:t>Sans achat de matériel</w:t>
      </w:r>
    </w:p>
    <w:p>
      <w:pPr>
        <w:pStyle w:val="Normal"/>
        <w:spacing w:lineRule="auto" w:line="276" w:before="1400" w:after="0"/>
        <w:jc w:val="center"/>
        <w:rPr/>
        <w:sectPr>
          <w:type w:val="nextPage"/>
          <w:pgSz w:w="11906" w:h="16838"/>
          <w:pgMar w:left="1418" w:right="1418" w:gutter="0" w:header="0" w:top="1418" w:footer="0" w:bottom="1418"/>
          <w:pgNumType w:fmt="decimal"/>
          <w:formProt w:val="false"/>
          <w:textDirection w:val="lrTb"/>
          <w:docGrid w:type="default" w:linePitch="360" w:charSpace="0"/>
        </w:sectPr>
      </w:pPr>
      <w:r>
        <w:rPr>
          <w:rFonts w:eastAsia="Times New Roman" w:cs="Times New Roman"/>
          <w:sz w:val="24"/>
          <w:szCs w:val="24"/>
        </w:rPr>
        <w:t>Public cible : élèves-professeurs d’école (EPE)</w:t>
      </w:r>
      <w:r>
        <w:br w:type="page"/>
      </w:r>
    </w:p>
    <w:p>
      <w:pPr>
        <w:pStyle w:val="Titreliminaire"/>
        <w:rPr/>
      </w:pPr>
      <w:r>
        <w:rPr>
          <w:rFonts w:eastAsia="Times New Roman" w:cs="Times New Roman"/>
        </w:rPr>
        <w:t>SOMMAIRE</w:t>
      </w:r>
    </w:p>
    <w:sdt>
      <w:sdtPr>
        <w:docPartObj>
          <w:docPartGallery w:val="Table of Contents"/>
          <w:docPartUnique w:val="true"/>
        </w:docPartObj>
      </w:sdtPr>
      <w:sdtContent>
        <w:p>
          <w:pPr>
            <w:pStyle w:val="TOC1"/>
            <w:tabs>
              <w:tab w:val="clear" w:pos="9070"/>
              <w:tab w:val="right" w:pos="9069" w:leader="dot"/>
            </w:tabs>
            <w:rPr/>
          </w:pPr>
          <w:r>
            <w:fldChar w:fldCharType="begin"/>
          </w:r>
          <w:r>
            <w:rPr>
              <w:rStyle w:val="IndexLink"/>
            </w:rPr>
            <w:instrText xml:space="preserve"> TOC \o "1-2" \h</w:instrText>
          </w:r>
          <w:r>
            <w:rPr>
              <w:rStyle w:val="IndexLink"/>
            </w:rPr>
            <w:fldChar w:fldCharType="separate"/>
          </w:r>
          <w:hyperlink w:anchor="__RefHeading___Toc955_346879323">
            <w:r>
              <w:rPr>
                <w:rStyle w:val="IndexLink"/>
              </w:rPr>
              <w:t>INTRODUCTION</w:t>
              <w:tab/>
              <w:t>3</w:t>
            </w:r>
          </w:hyperlink>
        </w:p>
        <w:p>
          <w:pPr>
            <w:pStyle w:val="TOC2"/>
            <w:tabs>
              <w:tab w:val="clear" w:pos="8787"/>
              <w:tab w:val="right" w:pos="9069" w:leader="dot"/>
            </w:tabs>
            <w:rPr/>
          </w:pPr>
          <w:hyperlink w:anchor="__RefHeading___Toc957_346879323">
            <w:r>
              <w:rPr>
                <w:rStyle w:val="IndexLink"/>
              </w:rPr>
              <w:t>Consignes générales de sécurité</w:t>
              <w:tab/>
              <w:t>3</w:t>
            </w:r>
          </w:hyperlink>
        </w:p>
        <w:p>
          <w:pPr>
            <w:pStyle w:val="TOC2"/>
            <w:tabs>
              <w:tab w:val="clear" w:pos="8787"/>
              <w:tab w:val="right" w:pos="9069" w:leader="dot"/>
            </w:tabs>
            <w:rPr/>
          </w:pPr>
          <w:hyperlink w:anchor="__RefHeading___Toc959_346879323">
            <w:r>
              <w:rPr>
                <w:rStyle w:val="IndexLink"/>
              </w:rPr>
              <w:t>Utilisation des schémas directeurs Freeplane</w:t>
              <w:tab/>
              <w:t>4</w:t>
            </w:r>
          </w:hyperlink>
        </w:p>
        <w:p>
          <w:pPr>
            <w:pStyle w:val="TOC1"/>
            <w:tabs>
              <w:tab w:val="clear" w:pos="9070"/>
              <w:tab w:val="right" w:pos="9069" w:leader="dot"/>
            </w:tabs>
            <w:rPr/>
          </w:pPr>
          <w:hyperlink w:anchor="__RefHeading___Toc961_346879323">
            <w:r>
              <w:rPr>
                <w:rStyle w:val="IndexLink"/>
              </w:rPr>
              <w:t>EXPÉRIENCE 1 : FABRIQUER UN FILTRE À EAU ARTISANAL ET DÉSINFECTER L’EAU AU SOLEIL</w:t>
              <w:tab/>
              <w:t>5</w:t>
            </w:r>
          </w:hyperlink>
        </w:p>
        <w:p>
          <w:pPr>
            <w:pStyle w:val="TOC2"/>
            <w:tabs>
              <w:tab w:val="clear" w:pos="8787"/>
              <w:tab w:val="right" w:pos="9069" w:leader="dot"/>
            </w:tabs>
            <w:rPr/>
          </w:pPr>
          <w:hyperlink w:anchor="__RefHeading___Toc963_346879323">
            <w:r>
              <w:rPr>
                <w:rStyle w:val="IndexLink"/>
              </w:rPr>
              <w:t>1.1. Situation-problème</w:t>
              <w:tab/>
              <w:t>5</w:t>
            </w:r>
          </w:hyperlink>
        </w:p>
        <w:p>
          <w:pPr>
            <w:pStyle w:val="TOC2"/>
            <w:tabs>
              <w:tab w:val="clear" w:pos="8787"/>
              <w:tab w:val="right" w:pos="9069" w:leader="dot"/>
            </w:tabs>
            <w:rPr/>
          </w:pPr>
          <w:hyperlink w:anchor="__RefHeading___Toc965_346879323">
            <w:r>
              <w:rPr>
                <w:rStyle w:val="IndexLink"/>
              </w:rPr>
              <w:t>1.2. Objectifs</w:t>
              <w:tab/>
              <w:t>5</w:t>
            </w:r>
          </w:hyperlink>
        </w:p>
        <w:p>
          <w:pPr>
            <w:pStyle w:val="TOC2"/>
            <w:tabs>
              <w:tab w:val="clear" w:pos="8787"/>
              <w:tab w:val="right" w:pos="9069" w:leader="dot"/>
            </w:tabs>
            <w:rPr/>
          </w:pPr>
          <w:hyperlink w:anchor="__RefHeading___Toc967_346879323">
            <w:r>
              <w:rPr>
                <w:rStyle w:val="IndexLink"/>
              </w:rPr>
              <w:t>1.3. Matériel et ressources locales</w:t>
              <w:tab/>
              <w:t>5</w:t>
            </w:r>
          </w:hyperlink>
        </w:p>
        <w:p>
          <w:pPr>
            <w:pStyle w:val="TOC2"/>
            <w:tabs>
              <w:tab w:val="clear" w:pos="8787"/>
              <w:tab w:val="right" w:pos="9069" w:leader="dot"/>
            </w:tabs>
            <w:rPr/>
          </w:pPr>
          <w:hyperlink w:anchor="__RefHeading___Toc969_346879323">
            <w:r>
              <w:rPr>
                <w:rStyle w:val="IndexLink"/>
              </w:rPr>
              <w:t>1.4. Démarche</w:t>
              <w:tab/>
              <w:t>6</w:t>
            </w:r>
          </w:hyperlink>
        </w:p>
        <w:p>
          <w:pPr>
            <w:pStyle w:val="TOC2"/>
            <w:tabs>
              <w:tab w:val="clear" w:pos="8787"/>
              <w:tab w:val="right" w:pos="9069" w:leader="dot"/>
            </w:tabs>
            <w:rPr/>
          </w:pPr>
          <w:hyperlink w:anchor="__RefHeading___Toc971_346879323">
            <w:r>
              <w:rPr>
                <w:rStyle w:val="IndexLink"/>
              </w:rPr>
              <w:t>1.5. Observations attendues</w:t>
              <w:tab/>
              <w:t>7</w:t>
            </w:r>
          </w:hyperlink>
        </w:p>
        <w:p>
          <w:pPr>
            <w:pStyle w:val="TOC2"/>
            <w:tabs>
              <w:tab w:val="clear" w:pos="8787"/>
              <w:tab w:val="right" w:pos="9069" w:leader="dot"/>
            </w:tabs>
            <w:rPr/>
          </w:pPr>
          <w:hyperlink w:anchor="__RefHeading___Toc973_346879323">
            <w:r>
              <w:rPr>
                <w:rStyle w:val="IndexLink"/>
              </w:rPr>
              <w:t>1.6. Interprétation et conclusion</w:t>
              <w:tab/>
              <w:t>7</w:t>
            </w:r>
          </w:hyperlink>
        </w:p>
        <w:p>
          <w:pPr>
            <w:pStyle w:val="TOC2"/>
            <w:tabs>
              <w:tab w:val="clear" w:pos="8787"/>
              <w:tab w:val="right" w:pos="9069" w:leader="dot"/>
            </w:tabs>
            <w:rPr/>
          </w:pPr>
          <w:hyperlink w:anchor="__RefHeading___Toc975_346879323">
            <w:r>
              <w:rPr>
                <w:rStyle w:val="IndexLink"/>
              </w:rPr>
              <w:t>1.7. Précautions de sécurité</w:t>
              <w:tab/>
              <w:t>8</w:t>
            </w:r>
          </w:hyperlink>
        </w:p>
        <w:p>
          <w:pPr>
            <w:pStyle w:val="TOC2"/>
            <w:tabs>
              <w:tab w:val="clear" w:pos="8787"/>
              <w:tab w:val="right" w:pos="9069" w:leader="dot"/>
            </w:tabs>
            <w:rPr/>
          </w:pPr>
          <w:hyperlink w:anchor="__RefHeading___Toc977_346879323">
            <w:r>
              <w:rPr>
                <w:rStyle w:val="IndexLink"/>
              </w:rPr>
              <w:t>1.8. Prolongements</w:t>
              <w:tab/>
              <w:t>8</w:t>
            </w:r>
          </w:hyperlink>
        </w:p>
        <w:p>
          <w:pPr>
            <w:pStyle w:val="TOC2"/>
            <w:tabs>
              <w:tab w:val="clear" w:pos="8787"/>
              <w:tab w:val="right" w:pos="9069" w:leader="dot"/>
            </w:tabs>
            <w:rPr/>
          </w:pPr>
          <w:hyperlink w:anchor="__RefHeading___Toc979_346879323">
            <w:r>
              <w:rPr>
                <w:rStyle w:val="IndexLink"/>
              </w:rPr>
              <w:t>1.9. Schéma directeur (Freeplane)</w:t>
              <w:tab/>
              <w:t>9</w:t>
            </w:r>
          </w:hyperlink>
        </w:p>
        <w:p>
          <w:pPr>
            <w:pStyle w:val="TOC1"/>
            <w:tabs>
              <w:tab w:val="clear" w:pos="9070"/>
              <w:tab w:val="right" w:pos="9069" w:leader="dot"/>
            </w:tabs>
            <w:rPr/>
          </w:pPr>
          <w:hyperlink w:anchor="__RefHeading___Toc981_346879323">
            <w:r>
              <w:rPr>
                <w:rStyle w:val="IndexLink"/>
              </w:rPr>
              <w:t>EXPÉRIENCE 2 : METTRE EN ÉVIDENCE LE GOUDRON DU TABAC AVEC UNE « MACHINE À FUMER »</w:t>
              <w:tab/>
              <w:t>10</w:t>
            </w:r>
          </w:hyperlink>
        </w:p>
        <w:p>
          <w:pPr>
            <w:pStyle w:val="TOC2"/>
            <w:tabs>
              <w:tab w:val="clear" w:pos="8787"/>
              <w:tab w:val="right" w:pos="9069" w:leader="dot"/>
            </w:tabs>
            <w:rPr/>
          </w:pPr>
          <w:hyperlink w:anchor="__RefHeading___Toc983_346879323">
            <w:r>
              <w:rPr>
                <w:rStyle w:val="IndexLink"/>
              </w:rPr>
              <w:t>2.1. Situation-problème</w:t>
              <w:tab/>
              <w:t>10</w:t>
            </w:r>
          </w:hyperlink>
        </w:p>
        <w:p>
          <w:pPr>
            <w:pStyle w:val="TOC2"/>
            <w:tabs>
              <w:tab w:val="clear" w:pos="8787"/>
              <w:tab w:val="right" w:pos="9069" w:leader="dot"/>
            </w:tabs>
            <w:rPr/>
          </w:pPr>
          <w:hyperlink w:anchor="__RefHeading___Toc985_346879323">
            <w:r>
              <w:rPr>
                <w:rStyle w:val="IndexLink"/>
              </w:rPr>
              <w:t>2.2. Objectifs</w:t>
              <w:tab/>
              <w:t>10</w:t>
            </w:r>
          </w:hyperlink>
        </w:p>
        <w:p>
          <w:pPr>
            <w:pStyle w:val="TOC2"/>
            <w:tabs>
              <w:tab w:val="clear" w:pos="8787"/>
              <w:tab w:val="right" w:pos="9069" w:leader="dot"/>
            </w:tabs>
            <w:rPr/>
          </w:pPr>
          <w:hyperlink w:anchor="__RefHeading___Toc987_346879323">
            <w:r>
              <w:rPr>
                <w:rStyle w:val="IndexLink"/>
              </w:rPr>
              <w:t>2.3. Matériel et ressources locales</w:t>
              <w:tab/>
              <w:t>10</w:t>
            </w:r>
          </w:hyperlink>
        </w:p>
        <w:p>
          <w:pPr>
            <w:pStyle w:val="TOC2"/>
            <w:tabs>
              <w:tab w:val="clear" w:pos="8787"/>
              <w:tab w:val="right" w:pos="9069" w:leader="dot"/>
            </w:tabs>
            <w:rPr/>
          </w:pPr>
          <w:hyperlink w:anchor="__RefHeading___Toc989_346879323">
            <w:r>
              <w:rPr>
                <w:rStyle w:val="IndexLink"/>
              </w:rPr>
              <w:t>2.4. Démarche</w:t>
              <w:tab/>
              <w:t>11</w:t>
            </w:r>
          </w:hyperlink>
        </w:p>
        <w:p>
          <w:pPr>
            <w:pStyle w:val="TOC2"/>
            <w:tabs>
              <w:tab w:val="clear" w:pos="8787"/>
              <w:tab w:val="right" w:pos="9069" w:leader="dot"/>
            </w:tabs>
            <w:rPr/>
          </w:pPr>
          <w:hyperlink w:anchor="__RefHeading___Toc991_346879323">
            <w:r>
              <w:rPr>
                <w:rStyle w:val="IndexLink"/>
              </w:rPr>
              <w:t>2.5. Observations attendues</w:t>
              <w:tab/>
              <w:t>12</w:t>
            </w:r>
          </w:hyperlink>
        </w:p>
        <w:p>
          <w:pPr>
            <w:pStyle w:val="TOC2"/>
            <w:tabs>
              <w:tab w:val="clear" w:pos="8787"/>
              <w:tab w:val="right" w:pos="9069" w:leader="dot"/>
            </w:tabs>
            <w:rPr/>
          </w:pPr>
          <w:hyperlink w:anchor="__RefHeading___Toc993_346879323">
            <w:r>
              <w:rPr>
                <w:rStyle w:val="IndexLink"/>
              </w:rPr>
              <w:t>2.6. Interprétation et conclusion</w:t>
              <w:tab/>
              <w:t>12</w:t>
            </w:r>
          </w:hyperlink>
        </w:p>
        <w:p>
          <w:pPr>
            <w:pStyle w:val="TOC2"/>
            <w:tabs>
              <w:tab w:val="clear" w:pos="8787"/>
              <w:tab w:val="right" w:pos="9069" w:leader="dot"/>
            </w:tabs>
            <w:rPr/>
          </w:pPr>
          <w:hyperlink w:anchor="__RefHeading___Toc995_346879323">
            <w:r>
              <w:rPr>
                <w:rStyle w:val="IndexLink"/>
              </w:rPr>
              <w:t>2.7. Précautions de sécurité</w:t>
              <w:tab/>
              <w:t>12</w:t>
            </w:r>
          </w:hyperlink>
        </w:p>
        <w:p>
          <w:pPr>
            <w:pStyle w:val="TOC2"/>
            <w:tabs>
              <w:tab w:val="clear" w:pos="8787"/>
              <w:tab w:val="right" w:pos="9069" w:leader="dot"/>
            </w:tabs>
            <w:rPr/>
          </w:pPr>
          <w:hyperlink w:anchor="__RefHeading___Toc997_346879323">
            <w:r>
              <w:rPr>
                <w:rStyle w:val="IndexLink"/>
              </w:rPr>
              <w:t>2.8. Prolongements</w:t>
              <w:tab/>
              <w:t>12</w:t>
            </w:r>
          </w:hyperlink>
        </w:p>
        <w:p>
          <w:pPr>
            <w:pStyle w:val="TOC2"/>
            <w:tabs>
              <w:tab w:val="clear" w:pos="8787"/>
              <w:tab w:val="right" w:pos="9069" w:leader="dot"/>
            </w:tabs>
            <w:rPr/>
          </w:pPr>
          <w:hyperlink w:anchor="__RefHeading___Toc999_346879323">
            <w:r>
              <w:rPr>
                <w:rStyle w:val="IndexLink"/>
              </w:rPr>
              <w:t>2.9. Schéma directeur (Freeplane)</w:t>
              <w:tab/>
              <w:t>13</w:t>
            </w:r>
          </w:hyperlink>
        </w:p>
        <w:p>
          <w:pPr>
            <w:pStyle w:val="TOC1"/>
            <w:tabs>
              <w:tab w:val="clear" w:pos="9070"/>
              <w:tab w:val="right" w:pos="9069" w:leader="dot"/>
            </w:tabs>
            <w:rPr/>
          </w:pPr>
          <w:hyperlink w:anchor="__RefHeading___Toc1001_346879323">
            <w:r>
              <w:rPr>
                <w:rStyle w:val="IndexLink"/>
              </w:rPr>
              <w:t>EXPÉRIENCE 3 : RENDRE VISIBLES LES MICROBES DES MAINS SALES</w:t>
              <w:tab/>
              <w:t>14</w:t>
            </w:r>
          </w:hyperlink>
        </w:p>
        <w:p>
          <w:pPr>
            <w:pStyle w:val="TOC2"/>
            <w:tabs>
              <w:tab w:val="clear" w:pos="8787"/>
              <w:tab w:val="right" w:pos="9069" w:leader="dot"/>
            </w:tabs>
            <w:rPr/>
          </w:pPr>
          <w:hyperlink w:anchor="__RefHeading___Toc1003_346879323">
            <w:r>
              <w:rPr>
                <w:rStyle w:val="IndexLink"/>
              </w:rPr>
              <w:t>3.1. Situation-problème</w:t>
              <w:tab/>
              <w:t>14</w:t>
            </w:r>
          </w:hyperlink>
        </w:p>
        <w:p>
          <w:pPr>
            <w:pStyle w:val="TOC2"/>
            <w:tabs>
              <w:tab w:val="clear" w:pos="8787"/>
              <w:tab w:val="right" w:pos="9069" w:leader="dot"/>
            </w:tabs>
            <w:rPr/>
          </w:pPr>
          <w:hyperlink w:anchor="__RefHeading___Toc1005_346879323">
            <w:r>
              <w:rPr>
                <w:rStyle w:val="IndexLink"/>
              </w:rPr>
              <w:t>3.2. Objectifs</w:t>
              <w:tab/>
              <w:t>14</w:t>
            </w:r>
          </w:hyperlink>
        </w:p>
        <w:p>
          <w:pPr>
            <w:pStyle w:val="TOC2"/>
            <w:tabs>
              <w:tab w:val="clear" w:pos="8787"/>
              <w:tab w:val="right" w:pos="9069" w:leader="dot"/>
            </w:tabs>
            <w:rPr/>
          </w:pPr>
          <w:hyperlink w:anchor="__RefHeading___Toc1007_346879323">
            <w:r>
              <w:rPr>
                <w:rStyle w:val="IndexLink"/>
              </w:rPr>
              <w:t>3.3. Matériel et ressources locales</w:t>
              <w:tab/>
              <w:t>14</w:t>
            </w:r>
          </w:hyperlink>
        </w:p>
        <w:p>
          <w:pPr>
            <w:pStyle w:val="TOC2"/>
            <w:tabs>
              <w:tab w:val="clear" w:pos="8787"/>
              <w:tab w:val="right" w:pos="9069" w:leader="dot"/>
            </w:tabs>
            <w:rPr/>
          </w:pPr>
          <w:hyperlink w:anchor="__RefHeading___Toc1009_346879323">
            <w:r>
              <w:rPr>
                <w:rStyle w:val="IndexLink"/>
              </w:rPr>
              <w:t>3.4. Démarche</w:t>
              <w:tab/>
              <w:t>15</w:t>
            </w:r>
          </w:hyperlink>
        </w:p>
        <w:p>
          <w:pPr>
            <w:pStyle w:val="TOC2"/>
            <w:tabs>
              <w:tab w:val="clear" w:pos="8787"/>
              <w:tab w:val="right" w:pos="9069" w:leader="dot"/>
            </w:tabs>
            <w:rPr/>
          </w:pPr>
          <w:hyperlink w:anchor="__RefHeading___Toc1011_346879323">
            <w:r>
              <w:rPr>
                <w:rStyle w:val="IndexLink"/>
              </w:rPr>
              <w:t>3.5. Observations attendues</w:t>
              <w:tab/>
              <w:t>15</w:t>
            </w:r>
          </w:hyperlink>
        </w:p>
        <w:p>
          <w:pPr>
            <w:pStyle w:val="TOC2"/>
            <w:tabs>
              <w:tab w:val="clear" w:pos="8787"/>
              <w:tab w:val="right" w:pos="9069" w:leader="dot"/>
            </w:tabs>
            <w:rPr/>
          </w:pPr>
          <w:hyperlink w:anchor="__RefHeading___Toc1013_346879323">
            <w:r>
              <w:rPr>
                <w:rStyle w:val="IndexLink"/>
              </w:rPr>
              <w:t>3.6. Interprétation et conclusion</w:t>
              <w:tab/>
              <w:t>16</w:t>
            </w:r>
          </w:hyperlink>
        </w:p>
        <w:p>
          <w:pPr>
            <w:pStyle w:val="TOC2"/>
            <w:tabs>
              <w:tab w:val="clear" w:pos="8787"/>
              <w:tab w:val="right" w:pos="9069" w:leader="dot"/>
            </w:tabs>
            <w:rPr/>
          </w:pPr>
          <w:hyperlink w:anchor="__RefHeading___Toc1015_346879323">
            <w:r>
              <w:rPr>
                <w:rStyle w:val="IndexLink"/>
              </w:rPr>
              <w:t>3.7. Précautions de sécurité</w:t>
              <w:tab/>
              <w:t>16</w:t>
            </w:r>
          </w:hyperlink>
        </w:p>
        <w:p>
          <w:pPr>
            <w:pStyle w:val="TOC2"/>
            <w:tabs>
              <w:tab w:val="clear" w:pos="8787"/>
              <w:tab w:val="right" w:pos="9069" w:leader="dot"/>
            </w:tabs>
            <w:rPr/>
          </w:pPr>
          <w:hyperlink w:anchor="__RefHeading___Toc1017_346879323">
            <w:r>
              <w:rPr>
                <w:rStyle w:val="IndexLink"/>
              </w:rPr>
              <w:t>3.8. Prolongements</w:t>
              <w:tab/>
              <w:t>16</w:t>
            </w:r>
          </w:hyperlink>
        </w:p>
        <w:p>
          <w:pPr>
            <w:pStyle w:val="TOC2"/>
            <w:tabs>
              <w:tab w:val="clear" w:pos="8787"/>
              <w:tab w:val="right" w:pos="9069" w:leader="dot"/>
            </w:tabs>
            <w:rPr/>
          </w:pPr>
          <w:hyperlink w:anchor="__RefHeading___Toc1019_346879323">
            <w:r>
              <w:rPr>
                <w:rStyle w:val="IndexLink"/>
              </w:rPr>
              <w:t>3.9. Schéma directeur (Freeplane)</w:t>
              <w:tab/>
              <w:t>17</w:t>
            </w:r>
          </w:hyperlink>
        </w:p>
        <w:p>
          <w:pPr>
            <w:pStyle w:val="TOC1"/>
            <w:tabs>
              <w:tab w:val="clear" w:pos="9070"/>
              <w:tab w:val="right" w:pos="9069" w:leader="dot"/>
            </w:tabs>
            <w:rPr/>
          </w:pPr>
          <w:hyperlink w:anchor="__RefHeading___Toc1021_346879323">
            <w:r>
              <w:rPr>
                <w:rStyle w:val="IndexLink"/>
              </w:rPr>
              <w:t>EXPÉRIENCE 4 : OBSERVER LE DÉVELOPPEMENT DES LARVES DE MOUSTIQUES ET DÉTRUIRE LEURS GÎTES</w:t>
              <w:tab/>
              <w:t>18</w:t>
            </w:r>
          </w:hyperlink>
        </w:p>
        <w:p>
          <w:pPr>
            <w:pStyle w:val="TOC2"/>
            <w:tabs>
              <w:tab w:val="clear" w:pos="8787"/>
              <w:tab w:val="right" w:pos="9069" w:leader="dot"/>
            </w:tabs>
            <w:rPr/>
          </w:pPr>
          <w:hyperlink w:anchor="__RefHeading___Toc1023_346879323">
            <w:r>
              <w:rPr>
                <w:rStyle w:val="IndexLink"/>
              </w:rPr>
              <w:t>4.1. Situation-problème</w:t>
              <w:tab/>
              <w:t>18</w:t>
            </w:r>
          </w:hyperlink>
        </w:p>
        <w:p>
          <w:pPr>
            <w:pStyle w:val="TOC2"/>
            <w:tabs>
              <w:tab w:val="clear" w:pos="8787"/>
              <w:tab w:val="right" w:pos="9069" w:leader="dot"/>
            </w:tabs>
            <w:rPr/>
          </w:pPr>
          <w:hyperlink w:anchor="__RefHeading___Toc1025_346879323">
            <w:r>
              <w:rPr>
                <w:rStyle w:val="IndexLink"/>
              </w:rPr>
              <w:t>4.2. Objectifs</w:t>
              <w:tab/>
              <w:t>18</w:t>
            </w:r>
          </w:hyperlink>
        </w:p>
        <w:p>
          <w:pPr>
            <w:pStyle w:val="TOC2"/>
            <w:tabs>
              <w:tab w:val="clear" w:pos="8787"/>
              <w:tab w:val="right" w:pos="9069" w:leader="dot"/>
            </w:tabs>
            <w:rPr/>
          </w:pPr>
          <w:hyperlink w:anchor="__RefHeading___Toc1027_346879323">
            <w:r>
              <w:rPr>
                <w:rStyle w:val="IndexLink"/>
              </w:rPr>
              <w:t>4.3. Matériel et ressources locales</w:t>
              <w:tab/>
              <w:t>18</w:t>
            </w:r>
          </w:hyperlink>
        </w:p>
        <w:p>
          <w:pPr>
            <w:pStyle w:val="TOC2"/>
            <w:tabs>
              <w:tab w:val="clear" w:pos="8787"/>
              <w:tab w:val="right" w:pos="9069" w:leader="dot"/>
            </w:tabs>
            <w:rPr/>
          </w:pPr>
          <w:hyperlink w:anchor="__RefHeading___Toc1029_346879323">
            <w:r>
              <w:rPr>
                <w:rStyle w:val="IndexLink"/>
              </w:rPr>
              <w:t>4.4. Démarche</w:t>
              <w:tab/>
              <w:t>18</w:t>
            </w:r>
          </w:hyperlink>
        </w:p>
        <w:p>
          <w:pPr>
            <w:pStyle w:val="TOC2"/>
            <w:tabs>
              <w:tab w:val="clear" w:pos="8787"/>
              <w:tab w:val="right" w:pos="9069" w:leader="dot"/>
            </w:tabs>
            <w:rPr/>
          </w:pPr>
          <w:hyperlink w:anchor="__RefHeading___Toc1031_346879323">
            <w:r>
              <w:rPr>
                <w:rStyle w:val="IndexLink"/>
              </w:rPr>
              <w:t>4.5. Observations attendues</w:t>
              <w:tab/>
              <w:t>20</w:t>
            </w:r>
          </w:hyperlink>
        </w:p>
        <w:p>
          <w:pPr>
            <w:pStyle w:val="TOC2"/>
            <w:tabs>
              <w:tab w:val="clear" w:pos="8787"/>
              <w:tab w:val="right" w:pos="9069" w:leader="dot"/>
            </w:tabs>
            <w:rPr/>
          </w:pPr>
          <w:hyperlink w:anchor="__RefHeading___Toc1033_346879323">
            <w:r>
              <w:rPr>
                <w:rStyle w:val="IndexLink"/>
              </w:rPr>
              <w:t>4.6. Interprétation et conclusion</w:t>
              <w:tab/>
              <w:t>20</w:t>
            </w:r>
          </w:hyperlink>
        </w:p>
        <w:p>
          <w:pPr>
            <w:pStyle w:val="TOC2"/>
            <w:tabs>
              <w:tab w:val="clear" w:pos="8787"/>
              <w:tab w:val="right" w:pos="9069" w:leader="dot"/>
            </w:tabs>
            <w:rPr/>
          </w:pPr>
          <w:hyperlink w:anchor="__RefHeading___Toc1035_346879323">
            <w:r>
              <w:rPr>
                <w:rStyle w:val="IndexLink"/>
              </w:rPr>
              <w:t>4.7. Précautions de sécurité</w:t>
              <w:tab/>
              <w:t>20</w:t>
            </w:r>
          </w:hyperlink>
        </w:p>
        <w:p>
          <w:pPr>
            <w:pStyle w:val="TOC2"/>
            <w:tabs>
              <w:tab w:val="clear" w:pos="8787"/>
              <w:tab w:val="right" w:pos="9069" w:leader="dot"/>
            </w:tabs>
            <w:rPr/>
          </w:pPr>
          <w:hyperlink w:anchor="__RefHeading___Toc1037_346879323">
            <w:r>
              <w:rPr>
                <w:rStyle w:val="IndexLink"/>
              </w:rPr>
              <w:t>4.8. Prolongements</w:t>
              <w:tab/>
              <w:t>20</w:t>
            </w:r>
          </w:hyperlink>
        </w:p>
        <w:p>
          <w:pPr>
            <w:pStyle w:val="TOC2"/>
            <w:tabs>
              <w:tab w:val="clear" w:pos="8787"/>
              <w:tab w:val="right" w:pos="9069" w:leader="dot"/>
            </w:tabs>
            <w:rPr/>
          </w:pPr>
          <w:hyperlink w:anchor="__RefHeading___Toc1039_346879323">
            <w:r>
              <w:rPr>
                <w:rStyle w:val="IndexLink"/>
              </w:rPr>
              <w:t>4.9. Schéma directeur (Freeplane)</w:t>
              <w:tab/>
              <w:t>21</w:t>
            </w:r>
          </w:hyperlink>
        </w:p>
        <w:p>
          <w:pPr>
            <w:pStyle w:val="TOC1"/>
            <w:tabs>
              <w:tab w:val="clear" w:pos="9070"/>
              <w:tab w:val="right" w:pos="9069" w:leader="dot"/>
            </w:tabs>
            <w:rPr/>
          </w:pPr>
          <w:hyperlink w:anchor="__RefHeading___Toc1041_346879323">
            <w:r>
              <w:rPr>
                <w:rStyle w:val="IndexLink"/>
              </w:rPr>
              <w:t>EXPÉRIENCE 5 : BIODÉGRADABLE OU NON ? ENFOUIR ET COMPARER LES DÉCHETS</w:t>
              <w:tab/>
              <w:t>22</w:t>
            </w:r>
          </w:hyperlink>
        </w:p>
        <w:p>
          <w:pPr>
            <w:pStyle w:val="TOC2"/>
            <w:tabs>
              <w:tab w:val="clear" w:pos="8787"/>
              <w:tab w:val="right" w:pos="9069" w:leader="dot"/>
            </w:tabs>
            <w:rPr/>
          </w:pPr>
          <w:hyperlink w:anchor="__RefHeading___Toc1043_346879323">
            <w:r>
              <w:rPr>
                <w:rStyle w:val="IndexLink"/>
              </w:rPr>
              <w:t>5.1. Situation-problème</w:t>
              <w:tab/>
              <w:t>22</w:t>
            </w:r>
          </w:hyperlink>
        </w:p>
        <w:p>
          <w:pPr>
            <w:pStyle w:val="TOC2"/>
            <w:tabs>
              <w:tab w:val="clear" w:pos="8787"/>
              <w:tab w:val="right" w:pos="9069" w:leader="dot"/>
            </w:tabs>
            <w:rPr/>
          </w:pPr>
          <w:hyperlink w:anchor="__RefHeading___Toc1045_346879323">
            <w:r>
              <w:rPr>
                <w:rStyle w:val="IndexLink"/>
              </w:rPr>
              <w:t>5.2. Objectifs</w:t>
              <w:tab/>
              <w:t>22</w:t>
            </w:r>
          </w:hyperlink>
        </w:p>
        <w:p>
          <w:pPr>
            <w:pStyle w:val="TOC2"/>
            <w:tabs>
              <w:tab w:val="clear" w:pos="8787"/>
              <w:tab w:val="right" w:pos="9069" w:leader="dot"/>
            </w:tabs>
            <w:rPr/>
          </w:pPr>
          <w:hyperlink w:anchor="__RefHeading___Toc1047_346879323">
            <w:r>
              <w:rPr>
                <w:rStyle w:val="IndexLink"/>
              </w:rPr>
              <w:t>5.3. Matériel et ressources locales</w:t>
              <w:tab/>
              <w:t>22</w:t>
            </w:r>
          </w:hyperlink>
        </w:p>
        <w:p>
          <w:pPr>
            <w:pStyle w:val="TOC2"/>
            <w:tabs>
              <w:tab w:val="clear" w:pos="8787"/>
              <w:tab w:val="right" w:pos="9069" w:leader="dot"/>
            </w:tabs>
            <w:rPr/>
          </w:pPr>
          <w:hyperlink w:anchor="__RefHeading___Toc1049_346879323">
            <w:r>
              <w:rPr>
                <w:rStyle w:val="IndexLink"/>
              </w:rPr>
              <w:t>5.4. Démarche</w:t>
              <w:tab/>
              <w:t>22</w:t>
            </w:r>
          </w:hyperlink>
        </w:p>
        <w:p>
          <w:pPr>
            <w:pStyle w:val="TOC2"/>
            <w:tabs>
              <w:tab w:val="clear" w:pos="8787"/>
              <w:tab w:val="right" w:pos="9069" w:leader="dot"/>
            </w:tabs>
            <w:rPr/>
          </w:pPr>
          <w:hyperlink w:anchor="__RefHeading___Toc1051_346879323">
            <w:r>
              <w:rPr>
                <w:rStyle w:val="IndexLink"/>
              </w:rPr>
              <w:t>5.5. Observations attendues</w:t>
              <w:tab/>
              <w:t>23</w:t>
            </w:r>
          </w:hyperlink>
        </w:p>
        <w:p>
          <w:pPr>
            <w:pStyle w:val="TOC2"/>
            <w:tabs>
              <w:tab w:val="clear" w:pos="8787"/>
              <w:tab w:val="right" w:pos="9069" w:leader="dot"/>
            </w:tabs>
            <w:rPr/>
          </w:pPr>
          <w:hyperlink w:anchor="__RefHeading___Toc1053_346879323">
            <w:r>
              <w:rPr>
                <w:rStyle w:val="IndexLink"/>
              </w:rPr>
              <w:t>5.6. Interprétation et conclusion</w:t>
              <w:tab/>
              <w:t>24</w:t>
            </w:r>
          </w:hyperlink>
        </w:p>
        <w:p>
          <w:pPr>
            <w:pStyle w:val="TOC2"/>
            <w:tabs>
              <w:tab w:val="clear" w:pos="8787"/>
              <w:tab w:val="right" w:pos="9069" w:leader="dot"/>
            </w:tabs>
            <w:rPr/>
          </w:pPr>
          <w:hyperlink w:anchor="__RefHeading___Toc1055_346879323">
            <w:r>
              <w:rPr>
                <w:rStyle w:val="IndexLink"/>
              </w:rPr>
              <w:t>5.7. Précautions de sécurité</w:t>
              <w:tab/>
              <w:t>24</w:t>
            </w:r>
          </w:hyperlink>
        </w:p>
        <w:p>
          <w:pPr>
            <w:pStyle w:val="TOC2"/>
            <w:tabs>
              <w:tab w:val="clear" w:pos="8787"/>
              <w:tab w:val="right" w:pos="9069" w:leader="dot"/>
            </w:tabs>
            <w:rPr/>
          </w:pPr>
          <w:hyperlink w:anchor="__RefHeading___Toc1057_346879323">
            <w:r>
              <w:rPr>
                <w:rStyle w:val="IndexLink"/>
              </w:rPr>
              <w:t>5.8. Prolongements</w:t>
              <w:tab/>
              <w:t>24</w:t>
            </w:r>
          </w:hyperlink>
        </w:p>
        <w:p>
          <w:pPr>
            <w:pStyle w:val="TOC2"/>
            <w:tabs>
              <w:tab w:val="clear" w:pos="8787"/>
              <w:tab w:val="right" w:pos="9069" w:leader="dot"/>
            </w:tabs>
            <w:rPr/>
          </w:pPr>
          <w:hyperlink w:anchor="__RefHeading___Toc1059_346879323">
            <w:r>
              <w:rPr>
                <w:rStyle w:val="IndexLink"/>
              </w:rPr>
              <w:t>5.9. Schéma directeur (Freeplane)</w:t>
              <w:tab/>
              <w:t>25</w:t>
            </w:r>
          </w:hyperlink>
        </w:p>
        <w:p>
          <w:pPr>
            <w:pStyle w:val="TOC1"/>
            <w:tabs>
              <w:tab w:val="clear" w:pos="9070"/>
              <w:tab w:val="right" w:pos="9069" w:leader="dot"/>
            </w:tabs>
            <w:rPr/>
          </w:pPr>
          <w:hyperlink w:anchor="__RefHeading___Toc1061_346879323">
            <w:r>
              <w:rPr>
                <w:rStyle w:val="IndexLink"/>
              </w:rPr>
              <w:t>CONCLUSION</w:t>
              <w:tab/>
              <w:t>26</w:t>
            </w:r>
          </w:hyperlink>
        </w:p>
        <w:p>
          <w:pPr>
            <w:pStyle w:val="TOC1"/>
            <w:tabs>
              <w:tab w:val="clear" w:pos="9070"/>
              <w:tab w:val="right" w:pos="9069" w:leader="dot"/>
            </w:tabs>
            <w:rPr/>
          </w:pPr>
          <w:hyperlink w:anchor="__RefHeading___Toc1063_346879323">
            <w:r>
              <w:rPr>
                <w:rStyle w:val="IndexLink"/>
              </w:rPr>
              <w:t>RÉFÉRENCES</w:t>
              <w:tab/>
              <w:t>26</w:t>
            </w:r>
          </w:hyperlink>
          <w:r>
            <w:rPr>
              <w:rStyle w:val="IndexLink"/>
            </w:rPr>
            <w:fldChar w:fldCharType="end"/>
          </w:r>
        </w:p>
      </w:sdtContent>
    </w:sdt>
    <w:p>
      <w:pPr>
        <w:pStyle w:val="Normal"/>
        <w:rPr/>
      </w:pPr>
      <w:r>
        <w:rPr/>
      </w:r>
      <w:r>
        <w:br w:type="page"/>
      </w:r>
    </w:p>
    <w:p>
      <w:pPr>
        <w:pStyle w:val="Heading1"/>
        <w:rPr/>
      </w:pPr>
      <w:bookmarkStart w:id="0" w:name="__RefHeading___Toc955_346879323"/>
      <w:bookmarkEnd w:id="0"/>
      <w:r>
        <w:rPr>
          <w:rFonts w:eastAsia="Times New Roman" w:cs="Times New Roman" w:ascii="Times New Roman" w:hAnsi="Times New Roman"/>
        </w:rPr>
        <w:t>INTRODUCTION</w:t>
      </w:r>
    </w:p>
    <w:p>
      <w:pPr>
        <w:pStyle w:val="Normal"/>
        <w:spacing w:lineRule="auto" w:line="360" w:before="0" w:after="120"/>
        <w:ind w:firstLine="709"/>
        <w:jc w:val="both"/>
        <w:rPr/>
      </w:pPr>
      <w:r>
        <w:rPr>
          <w:rFonts w:eastAsia="Times New Roman" w:cs="Times New Roman"/>
        </w:rPr>
        <w:t>Le support de cours de l’EC2 « Maladies et hygiène » prévoit plusieurs travaux pratiques : fabrication d’un filtre à eau, mise en évidence du goudron du tabac, élaboration de la planche du cycle du paludisme et d’affiches sur l’hygiène et l’environnement. Le présent document propose cinq expériences qui rendent ces savoirs concrets et observables, en s’appuyant uniquement sur des ressources disponibles au Togo : objets de récupération, matériaux naturels, matériel de la cuisine, du jardin ou de la salle de classe. Aucune dépense n’est nécessaire.</w:t>
      </w:r>
    </w:p>
    <w:p>
      <w:pPr>
        <w:pStyle w:val="Normal"/>
        <w:spacing w:lineRule="auto" w:line="360" w:before="0" w:after="120"/>
        <w:ind w:firstLine="709"/>
        <w:jc w:val="both"/>
        <w:rPr/>
      </w:pPr>
      <w:r>
        <w:rPr>
          <w:rFonts w:eastAsia="Times New Roman" w:cs="Times New Roman"/>
        </w:rPr>
        <w:t>Chaque expérience suit la même démarche d’investigation : une situation-problème tirée de la vie quotidienne, un objectif, la liste du matériel avec le lieu où le trouver, la démarche pas à pas, les observations attendues, leur interprétation en lien avec le cours, les précautions de sécurité et des pistes de prolongement. Une illustration du dispositif et un schéma directeur réalisé dans Freeplane complètent chaque fiche. Le tableau 1 présente une vue d’ensemble des cinq expériences.</w:t>
      </w:r>
    </w:p>
    <w:p>
      <w:pPr>
        <w:pStyle w:val="Caption"/>
        <w:keepNext w:val="true"/>
        <w:spacing w:lineRule="auto" w:line="240" w:before="200" w:after="100"/>
        <w:jc w:val="center"/>
        <w:rPr/>
      </w:pPr>
      <w:r>
        <w:rPr>
          <w:rFonts w:eastAsia="Times New Roman" w:cs="Times New Roman"/>
          <w:b/>
          <w:bCs/>
          <w:sz w:val="22"/>
          <w:szCs w:val="22"/>
        </w:rPr>
        <w:t xml:space="preserve">Tableau </w:t>
      </w:r>
      <w:r>
        <w:rPr>
          <w:rFonts w:cs="Times New Roman"/>
          <w:b/>
          <w:bCs/>
          <w:sz w:val="22"/>
          <w:szCs w:val="22"/>
        </w:rPr>
        <w:fldChar w:fldCharType="begin"/>
      </w:r>
      <w:r>
        <w:rPr>
          <w:sz w:val="22"/>
          <w:b/>
          <w:szCs w:val="22"/>
          <w:bCs/>
          <w:rFonts w:cs="Times New Roman"/>
        </w:rPr>
        <w:instrText xml:space="preserve"> SEQ Tableau \* ARABIC </w:instrText>
      </w:r>
      <w:r>
        <w:rPr>
          <w:sz w:val="22"/>
          <w:b/>
          <w:szCs w:val="22"/>
          <w:bCs/>
          <w:rFonts w:cs="Times New Roman"/>
        </w:rPr>
        <w:fldChar w:fldCharType="separate"/>
      </w:r>
      <w:r>
        <w:rPr>
          <w:sz w:val="22"/>
          <w:b/>
          <w:szCs w:val="22"/>
          <w:bCs/>
          <w:rFonts w:cs="Times New Roman"/>
        </w:rPr>
        <w:t>1</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Vue d’ensemble des cinq expériences</w:t>
      </w:r>
    </w:p>
    <w:tbl>
      <w:tblPr>
        <w:tblW w:w="9072" w:type="dxa"/>
        <w:jc w:val="center"/>
        <w:tblInd w:w="0" w:type="dxa"/>
        <w:tblLayout w:type="fixed"/>
        <w:tblCellMar>
          <w:top w:w="40" w:type="dxa"/>
          <w:left w:w="80" w:type="dxa"/>
          <w:bottom w:w="40" w:type="dxa"/>
          <w:right w:w="80" w:type="dxa"/>
        </w:tblCellMar>
      </w:tblPr>
      <w:tblGrid>
        <w:gridCol w:w="567"/>
        <w:gridCol w:w="3628"/>
        <w:gridCol w:w="1928"/>
        <w:gridCol w:w="2948"/>
      </w:tblGrid>
      <w:tr>
        <w:trPr>
          <w:tblHeader w:val="true"/>
          <w:cantSplit w:val="true"/>
        </w:trPr>
        <w:tc>
          <w:tcPr>
            <w:tcW w:w="56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jc w:val="center"/>
              <w:rPr/>
            </w:pPr>
            <w:r>
              <w:rPr>
                <w:rFonts w:eastAsia="Times New Roman" w:cs="Times New Roman"/>
                <w:b/>
                <w:bCs/>
                <w:sz w:val="22"/>
                <w:szCs w:val="22"/>
              </w:rPr>
              <w:t>N°</w:t>
            </w:r>
          </w:p>
        </w:tc>
        <w:tc>
          <w:tcPr>
            <w:tcW w:w="362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jc w:val="center"/>
              <w:rPr/>
            </w:pPr>
            <w:r>
              <w:rPr>
                <w:rFonts w:eastAsia="Times New Roman" w:cs="Times New Roman"/>
                <w:b/>
                <w:bCs/>
                <w:sz w:val="22"/>
                <w:szCs w:val="22"/>
              </w:rPr>
              <w:t>Expérience</w:t>
            </w:r>
          </w:p>
        </w:tc>
        <w:tc>
          <w:tcPr>
            <w:tcW w:w="192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jc w:val="center"/>
              <w:rPr/>
            </w:pPr>
            <w:r>
              <w:rPr>
                <w:rFonts w:eastAsia="Times New Roman" w:cs="Times New Roman"/>
                <w:b/>
                <w:bCs/>
                <w:sz w:val="22"/>
                <w:szCs w:val="22"/>
              </w:rPr>
              <w:t>Chapitre du cours</w:t>
            </w:r>
          </w:p>
        </w:tc>
        <w:tc>
          <w:tcPr>
            <w:tcW w:w="294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jc w:val="center"/>
              <w:rPr/>
            </w:pPr>
            <w:r>
              <w:rPr>
                <w:rFonts w:eastAsia="Times New Roman" w:cs="Times New Roman"/>
                <w:b/>
                <w:bCs/>
                <w:sz w:val="22"/>
                <w:szCs w:val="22"/>
              </w:rPr>
              <w:t>Durée</w:t>
            </w:r>
          </w:p>
        </w:tc>
      </w:tr>
      <w:tr>
        <w:trPr>
          <w:cantSplit w:val="true"/>
        </w:trPr>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1</w:t>
            </w:r>
          </w:p>
        </w:tc>
        <w:tc>
          <w:tcPr>
            <w:tcW w:w="36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Fabriquer un filtre à eau artisanal et désinfecter l’eau au soleil</w:t>
            </w:r>
          </w:p>
        </w:tc>
        <w:tc>
          <w:tcPr>
            <w:tcW w:w="19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Chapitres 5 et 1</w:t>
            </w:r>
          </w:p>
        </w:tc>
        <w:tc>
          <w:tcPr>
            <w:tcW w:w="29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1 h pour la fabrication ; 6 h d’exposition au soleil pour la désinfection</w:t>
            </w:r>
          </w:p>
        </w:tc>
      </w:tr>
      <w:tr>
        <w:trPr>
          <w:cantSplit w:val="true"/>
        </w:trPr>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2</w:t>
            </w:r>
          </w:p>
        </w:tc>
        <w:tc>
          <w:tcPr>
            <w:tcW w:w="36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Mettre en évidence le goudron du tabac avec une « machine à fumer »</w:t>
            </w:r>
          </w:p>
        </w:tc>
        <w:tc>
          <w:tcPr>
            <w:tcW w:w="19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Chapitre 4</w:t>
            </w:r>
          </w:p>
        </w:tc>
        <w:tc>
          <w:tcPr>
            <w:tcW w:w="29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30 min</w:t>
            </w:r>
          </w:p>
        </w:tc>
      </w:tr>
      <w:tr>
        <w:trPr>
          <w:cantSplit w:val="true"/>
        </w:trPr>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3</w:t>
            </w:r>
          </w:p>
        </w:tc>
        <w:tc>
          <w:tcPr>
            <w:tcW w:w="36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Rendre visibles les microbes des mains sales</w:t>
            </w:r>
          </w:p>
        </w:tc>
        <w:tc>
          <w:tcPr>
            <w:tcW w:w="19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Chapitres 1 et 3</w:t>
            </w:r>
          </w:p>
        </w:tc>
        <w:tc>
          <w:tcPr>
            <w:tcW w:w="29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20 min de préparation ; 5 à 7 jours d’observation</w:t>
            </w:r>
          </w:p>
        </w:tc>
      </w:tr>
      <w:tr>
        <w:trPr>
          <w:cantSplit w:val="true"/>
        </w:trPr>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4</w:t>
            </w:r>
          </w:p>
        </w:tc>
        <w:tc>
          <w:tcPr>
            <w:tcW w:w="36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Observer le développement des larves de moustiques et détruire leurs gîtes</w:t>
            </w:r>
          </w:p>
        </w:tc>
        <w:tc>
          <w:tcPr>
            <w:tcW w:w="19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Chapitre 1</w:t>
            </w:r>
          </w:p>
        </w:tc>
        <w:tc>
          <w:tcPr>
            <w:tcW w:w="29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1 h de sortie ; 7 jours d’observation au plus</w:t>
            </w:r>
          </w:p>
        </w:tc>
      </w:tr>
      <w:tr>
        <w:trPr>
          <w:cantSplit w:val="true"/>
        </w:trPr>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5</w:t>
            </w:r>
          </w:p>
        </w:tc>
        <w:tc>
          <w:tcPr>
            <w:tcW w:w="36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Biodégradable ou non ? Enfouir et comparer les déchets</w:t>
            </w:r>
          </w:p>
        </w:tc>
        <w:tc>
          <w:tcPr>
            <w:tcW w:w="192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Chapitres 6 et 5</w:t>
            </w:r>
          </w:p>
        </w:tc>
        <w:tc>
          <w:tcPr>
            <w:tcW w:w="29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1 h de mise en place ; 3 à 4 semaines d’attente</w:t>
            </w:r>
          </w:p>
        </w:tc>
      </w:tr>
    </w:tbl>
    <w:p>
      <w:pPr>
        <w:pStyle w:val="Normal"/>
        <w:spacing w:lineRule="auto" w:line="240" w:before="60" w:after="240"/>
        <w:rPr/>
      </w:pPr>
      <w:r>
        <w:rPr>
          <w:rFonts w:eastAsia="Times New Roman" w:cs="Times New Roman"/>
          <w:i/>
          <w:iCs/>
          <w:sz w:val="22"/>
          <w:szCs w:val="22"/>
        </w:rPr>
        <w:t>Source : Réalisation de l’auteur (2026).</w:t>
      </w:r>
    </w:p>
    <w:p>
      <w:pPr>
        <w:pStyle w:val="Heading2"/>
        <w:rPr/>
      </w:pPr>
      <w:bookmarkStart w:id="1" w:name="__RefHeading___Toc957_346879323"/>
      <w:bookmarkEnd w:id="1"/>
      <w:r>
        <w:rPr>
          <w:rFonts w:eastAsia="Times New Roman" w:cs="Times New Roman" w:ascii="Times New Roman" w:hAnsi="Times New Roman"/>
        </w:rPr>
        <w:t>Consignes générales de sécurité</w:t>
      </w:r>
    </w:p>
    <w:p>
      <w:pPr>
        <w:pStyle w:val="ListParagraph"/>
        <w:numPr>
          <w:ilvl w:val="0"/>
          <w:numId w:val="33"/>
        </w:numPr>
        <w:spacing w:lineRule="auto" w:line="360" w:before="0" w:after="40"/>
        <w:jc w:val="both"/>
        <w:rPr/>
      </w:pPr>
      <w:r>
        <w:rPr>
          <w:rFonts w:eastAsia="Times New Roman" w:cs="Times New Roman"/>
        </w:rPr>
        <w:t>Les découpes, le feu et la cigarette sont manipulés uniquement par le formateur.</w:t>
      </w:r>
    </w:p>
    <w:p>
      <w:pPr>
        <w:pStyle w:val="ListParagraph"/>
        <w:numPr>
          <w:ilvl w:val="0"/>
          <w:numId w:val="1"/>
        </w:numPr>
        <w:spacing w:lineRule="auto" w:line="360" w:before="0" w:after="40"/>
        <w:jc w:val="both"/>
        <w:rPr/>
      </w:pPr>
      <w:r>
        <w:rPr>
          <w:rFonts w:eastAsia="Times New Roman" w:cs="Times New Roman"/>
        </w:rPr>
        <w:t>Les élèves ne goûtent, ne boivent et n’inhalent jamais un produit issu d’une expérience.</w:t>
      </w:r>
    </w:p>
    <w:p>
      <w:pPr>
        <w:pStyle w:val="ListParagraph"/>
        <w:numPr>
          <w:ilvl w:val="0"/>
          <w:numId w:val="1"/>
        </w:numPr>
        <w:spacing w:lineRule="auto" w:line="360" w:before="0" w:after="40"/>
        <w:jc w:val="both"/>
        <w:rPr/>
      </w:pPr>
      <w:r>
        <w:rPr>
          <w:rFonts w:eastAsia="Times New Roman" w:cs="Times New Roman"/>
        </w:rPr>
        <w:t>Les échantillons biologiques (aliments moisis, larves) restent fermés ou couverts, puis sont détruits à la fin.</w:t>
      </w:r>
    </w:p>
    <w:p>
      <w:pPr>
        <w:pStyle w:val="ListParagraph"/>
        <w:numPr>
          <w:ilvl w:val="0"/>
          <w:numId w:val="1"/>
        </w:numPr>
        <w:spacing w:lineRule="auto" w:line="360" w:before="0" w:after="120"/>
        <w:jc w:val="both"/>
        <w:rPr/>
      </w:pPr>
      <w:r>
        <w:rPr>
          <w:rFonts w:eastAsia="Times New Roman" w:cs="Times New Roman"/>
        </w:rPr>
        <w:t>Chaque séance se termine par un lavage des mains à l’eau et au savon.</w:t>
      </w:r>
    </w:p>
    <w:p>
      <w:pPr>
        <w:pStyle w:val="Heading2"/>
        <w:rPr/>
      </w:pPr>
      <w:bookmarkStart w:id="2" w:name="__RefHeading___Toc959_346879323"/>
      <w:bookmarkEnd w:id="2"/>
      <w:r>
        <w:rPr>
          <w:rFonts w:eastAsia="Times New Roman" w:cs="Times New Roman" w:ascii="Times New Roman" w:hAnsi="Times New Roman"/>
        </w:rPr>
        <w:t>Utilisation des schémas directeurs Freeplane</w:t>
      </w:r>
    </w:p>
    <w:p>
      <w:pPr>
        <w:pStyle w:val="Normal"/>
        <w:spacing w:lineRule="auto" w:line="360" w:before="0" w:after="120"/>
        <w:ind w:firstLine="709"/>
        <w:jc w:val="both"/>
        <w:rPr/>
        <w:sectPr>
          <w:footerReference w:type="even" r:id="rId2"/>
          <w:footerReference w:type="default" r:id="rId3"/>
          <w:type w:val="nextPage"/>
          <w:pgSz w:w="11906" w:h="16838"/>
          <w:pgMar w:left="1418" w:right="1418" w:gutter="0" w:header="0" w:top="1418" w:footer="567" w:bottom="1418"/>
          <w:pgNumType w:start="1" w:fmt="decimal"/>
          <w:formProt w:val="false"/>
          <w:textDirection w:val="lrTb"/>
          <w:docGrid w:type="default" w:linePitch="360" w:charSpace="0"/>
        </w:sectPr>
      </w:pPr>
      <w:r>
        <w:rPr>
          <w:rFonts w:eastAsia="Times New Roman" w:cs="Times New Roman"/>
        </w:rPr>
        <w:t>Les schémas directeurs sont fournis au format Freeplane (fichiers .mm), à ouvrir avec le logiciel libre et gratuit Freeplane (www.freeplane.org). Chaque carte part de l’expérience, au centre, et se divise en sept branches : objectifs, matériel local, démarche, observations, interprétation, sécurité et lien avec le cours. Elles peuvent être projetées en classe, complétées par les élèves-professeurs ou exportées en image (menu Fichier → Exporter).</w:t>
      </w:r>
    </w:p>
    <w:p>
      <w:pPr>
        <w:pStyle w:val="Heading1"/>
        <w:rPr/>
      </w:pPr>
      <w:bookmarkStart w:id="3" w:name="__RefHeading___Toc961_346879323"/>
      <w:bookmarkEnd w:id="3"/>
      <w:r>
        <w:rPr>
          <w:rFonts w:eastAsia="Times New Roman" w:cs="Times New Roman" w:ascii="Times New Roman" w:hAnsi="Times New Roman"/>
        </w:rPr>
        <w:t>EXPÉRIENCE 1 : FABRIQUER UN FILTRE À EAU ARTISANAL ET DÉSINFECTER L’EAU AU SOLEIL</w:t>
      </w:r>
    </w:p>
    <w:p>
      <w:pPr>
        <w:pStyle w:val="Caption"/>
        <w:keepNext w:val="true"/>
        <w:spacing w:lineRule="auto" w:line="240" w:before="200" w:after="100"/>
        <w:jc w:val="center"/>
        <w:rPr/>
      </w:pPr>
      <w:r>
        <w:rPr>
          <w:rFonts w:eastAsia="Times New Roman" w:cs="Times New Roman"/>
          <w:b/>
          <w:bCs/>
          <w:sz w:val="22"/>
          <w:szCs w:val="22"/>
        </w:rPr>
        <w:t xml:space="preserve">Tableau </w:t>
      </w:r>
      <w:r>
        <w:rPr>
          <w:rFonts w:cs="Times New Roman"/>
          <w:b/>
          <w:bCs/>
          <w:sz w:val="22"/>
          <w:szCs w:val="22"/>
        </w:rPr>
        <w:fldChar w:fldCharType="begin"/>
      </w:r>
      <w:r>
        <w:rPr>
          <w:sz w:val="22"/>
          <w:b/>
          <w:szCs w:val="22"/>
          <w:bCs/>
          <w:rFonts w:cs="Times New Roman"/>
        </w:rPr>
        <w:instrText xml:space="preserve"> SEQ Tableau \* ARABIC </w:instrText>
      </w:r>
      <w:r>
        <w:rPr>
          <w:sz w:val="22"/>
          <w:b/>
          <w:szCs w:val="22"/>
          <w:bCs/>
          <w:rFonts w:cs="Times New Roman"/>
        </w:rPr>
        <w:fldChar w:fldCharType="separate"/>
      </w:r>
      <w:r>
        <w:rPr>
          <w:sz w:val="22"/>
          <w:b/>
          <w:szCs w:val="22"/>
          <w:bCs/>
          <w:rFonts w:cs="Times New Roman"/>
        </w:rPr>
        <w:t>2</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Fiche signalétique de l’expérience 1</w:t>
      </w:r>
    </w:p>
    <w:tbl>
      <w:tblPr>
        <w:tblW w:w="9072" w:type="dxa"/>
        <w:jc w:val="center"/>
        <w:tblInd w:w="0" w:type="dxa"/>
        <w:tblLayout w:type="fixed"/>
        <w:tblCellMar>
          <w:top w:w="40" w:type="dxa"/>
          <w:left w:w="80" w:type="dxa"/>
          <w:bottom w:w="40" w:type="dxa"/>
          <w:right w:w="80" w:type="dxa"/>
        </w:tblCellMar>
      </w:tblPr>
      <w:tblGrid>
        <w:gridCol w:w="2268"/>
        <w:gridCol w:w="6803"/>
      </w:tblGrid>
      <w:tr>
        <w:trPr>
          <w:cantSplit w:val="true"/>
        </w:trPr>
        <w:tc>
          <w:tcPr>
            <w:tcW w:w="226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jc w:val="left"/>
              <w:rPr/>
            </w:pPr>
            <w:r>
              <w:rPr>
                <w:rFonts w:eastAsia="Times New Roman" w:cs="Times New Roman"/>
                <w:b/>
                <w:bCs/>
                <w:sz w:val="22"/>
                <w:szCs w:val="22"/>
              </w:rPr>
              <w:t>Lien avec le cours</w:t>
            </w:r>
          </w:p>
        </w:tc>
        <w:tc>
          <w:tcPr>
            <w:tcW w:w="68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b w:val="false"/>
                <w:bCs w:val="false"/>
                <w:sz w:val="22"/>
                <w:szCs w:val="22"/>
              </w:rPr>
              <w:t>Chapitre 5 (techniques de traitement de l’eau ; fabrication d’un filtre à eau) et chapitre 1 (amibiase, choléra, giardiase : maladies transmises par l’eau souillée)</w:t>
            </w:r>
          </w:p>
        </w:tc>
      </w:tr>
      <w:tr>
        <w:trPr>
          <w:cantSplit w:val="true"/>
        </w:trPr>
        <w:tc>
          <w:tcPr>
            <w:tcW w:w="226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jc w:val="left"/>
              <w:rPr/>
            </w:pPr>
            <w:r>
              <w:rPr>
                <w:rFonts w:eastAsia="Times New Roman" w:cs="Times New Roman"/>
                <w:b/>
                <w:bCs/>
                <w:sz w:val="22"/>
                <w:szCs w:val="22"/>
              </w:rPr>
              <w:t>Durée</w:t>
            </w:r>
          </w:p>
        </w:tc>
        <w:tc>
          <w:tcPr>
            <w:tcW w:w="68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b w:val="false"/>
                <w:bCs w:val="false"/>
                <w:sz w:val="22"/>
                <w:szCs w:val="22"/>
              </w:rPr>
              <w:t>1 h pour la fabrication ; 6 h d’exposition au soleil pour la désinfection</w:t>
            </w:r>
          </w:p>
        </w:tc>
      </w:tr>
      <w:tr>
        <w:trPr>
          <w:cantSplit w:val="true"/>
        </w:trPr>
        <w:tc>
          <w:tcPr>
            <w:tcW w:w="226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jc w:val="left"/>
              <w:rPr/>
            </w:pPr>
            <w:r>
              <w:rPr>
                <w:rFonts w:eastAsia="Times New Roman" w:cs="Times New Roman"/>
                <w:b/>
                <w:bCs/>
                <w:sz w:val="22"/>
                <w:szCs w:val="22"/>
              </w:rPr>
              <w:t>Public</w:t>
            </w:r>
          </w:p>
        </w:tc>
        <w:tc>
          <w:tcPr>
            <w:tcW w:w="68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b w:val="false"/>
                <w:bCs w:val="false"/>
                <w:sz w:val="22"/>
                <w:szCs w:val="22"/>
              </w:rPr>
              <w:t>Élèves-professeurs d’école ; transposable au CM1-CM2</w:t>
            </w:r>
          </w:p>
        </w:tc>
      </w:tr>
      <w:tr>
        <w:trPr>
          <w:cantSplit w:val="true"/>
        </w:trPr>
        <w:tc>
          <w:tcPr>
            <w:tcW w:w="226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jc w:val="left"/>
              <w:rPr/>
            </w:pPr>
            <w:r>
              <w:rPr>
                <w:rFonts w:eastAsia="Times New Roman" w:cs="Times New Roman"/>
                <w:b/>
                <w:bCs/>
                <w:sz w:val="22"/>
                <w:szCs w:val="22"/>
              </w:rPr>
              <w:t>Coût</w:t>
            </w:r>
          </w:p>
        </w:tc>
        <w:tc>
          <w:tcPr>
            <w:tcW w:w="68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b w:val="false"/>
                <w:bCs w:val="false"/>
                <w:sz w:val="22"/>
                <w:szCs w:val="22"/>
              </w:rPr>
              <w:t>Aucun : matériel récupéré ou disponible à l’école</w:t>
            </w:r>
          </w:p>
        </w:tc>
      </w:tr>
    </w:tbl>
    <w:p>
      <w:pPr>
        <w:pStyle w:val="Normal"/>
        <w:spacing w:lineRule="auto" w:line="240" w:before="60" w:after="240"/>
        <w:rPr/>
      </w:pPr>
      <w:r>
        <w:rPr>
          <w:rFonts w:eastAsia="Times New Roman" w:cs="Times New Roman"/>
          <w:i/>
          <w:iCs/>
          <w:sz w:val="22"/>
          <w:szCs w:val="22"/>
        </w:rPr>
        <w:t>Source : Réalisation de l’auteur (2026), d’après le support de cours de l’EC2 (2STE1275).</w:t>
      </w:r>
    </w:p>
    <w:p>
      <w:pPr>
        <w:pStyle w:val="Heading2"/>
        <w:rPr/>
      </w:pPr>
      <w:bookmarkStart w:id="4" w:name="__RefHeading___Toc963_346879323"/>
      <w:bookmarkEnd w:id="4"/>
      <w:r>
        <w:rPr>
          <w:rFonts w:eastAsia="Times New Roman" w:cs="Times New Roman" w:ascii="Times New Roman" w:hAnsi="Times New Roman"/>
        </w:rPr>
        <w:t>1.1. Situation-problème</w:t>
      </w:r>
    </w:p>
    <w:p>
      <w:pPr>
        <w:pStyle w:val="Normal"/>
        <w:spacing w:lineRule="auto" w:line="360" w:before="0" w:after="120"/>
        <w:ind w:firstLine="709"/>
        <w:jc w:val="both"/>
        <w:rPr/>
      </w:pPr>
      <w:r>
        <w:rPr>
          <w:rFonts w:eastAsia="Times New Roman" w:cs="Times New Roman"/>
        </w:rPr>
        <w:t>Dans un village, les familles boivent l’eau du marigot et plusieurs enfants souffrent de diarrhée. Comment rendre cette eau propre à la consommation sans rien acheter ?</w:t>
      </w:r>
    </w:p>
    <w:p>
      <w:pPr>
        <w:pStyle w:val="Heading2"/>
        <w:rPr/>
      </w:pPr>
      <w:bookmarkStart w:id="5" w:name="__RefHeading___Toc965_346879323"/>
      <w:bookmarkEnd w:id="5"/>
      <w:r>
        <w:rPr>
          <w:rFonts w:eastAsia="Times New Roman" w:cs="Times New Roman" w:ascii="Times New Roman" w:hAnsi="Times New Roman"/>
        </w:rPr>
        <w:t>1.2. Objectifs</w:t>
      </w:r>
    </w:p>
    <w:p>
      <w:pPr>
        <w:pStyle w:val="ListParagraph"/>
        <w:numPr>
          <w:ilvl w:val="0"/>
          <w:numId w:val="34"/>
        </w:numPr>
        <w:spacing w:lineRule="auto" w:line="360" w:before="0" w:after="40"/>
        <w:jc w:val="both"/>
        <w:rPr/>
      </w:pPr>
      <w:r>
        <w:rPr>
          <w:rFonts w:eastAsia="Times New Roman" w:cs="Times New Roman"/>
        </w:rPr>
        <w:t>Fabriquer un filtre à eau avec des matériaux récupérés dans le milieu.</w:t>
      </w:r>
    </w:p>
    <w:p>
      <w:pPr>
        <w:pStyle w:val="ListParagraph"/>
        <w:numPr>
          <w:ilvl w:val="0"/>
          <w:numId w:val="35"/>
        </w:numPr>
        <w:spacing w:lineRule="auto" w:line="360" w:before="0" w:after="40"/>
        <w:jc w:val="both"/>
        <w:rPr/>
      </w:pPr>
      <w:r>
        <w:rPr>
          <w:rFonts w:eastAsia="Times New Roman" w:cs="Times New Roman"/>
        </w:rPr>
        <w:t>Constater que la filtration clarifie l’eau, mais ne suffit pas à la rendre potable.</w:t>
      </w:r>
    </w:p>
    <w:p>
      <w:pPr>
        <w:pStyle w:val="ListParagraph"/>
        <w:numPr>
          <w:ilvl w:val="0"/>
          <w:numId w:val="36"/>
        </w:numPr>
        <w:spacing w:lineRule="auto" w:line="360" w:before="0" w:after="120"/>
        <w:jc w:val="both"/>
        <w:rPr/>
      </w:pPr>
      <w:r>
        <w:rPr>
          <w:rFonts w:eastAsia="Times New Roman" w:cs="Times New Roman"/>
        </w:rPr>
        <w:t>Appliquer une méthode de désinfection gratuite : l’exposition au soleil (ou l’ébullition).</w:t>
      </w:r>
    </w:p>
    <w:p>
      <w:pPr>
        <w:pStyle w:val="Heading2"/>
        <w:rPr/>
      </w:pPr>
      <w:bookmarkStart w:id="6" w:name="__RefHeading___Toc967_346879323"/>
      <w:bookmarkEnd w:id="6"/>
      <w:r>
        <w:rPr>
          <w:rFonts w:eastAsia="Times New Roman" w:cs="Times New Roman" w:ascii="Times New Roman" w:hAnsi="Times New Roman"/>
        </w:rPr>
        <w:t>1.3. Matériel et ressources locales</w:t>
      </w:r>
    </w:p>
    <w:p>
      <w:pPr>
        <w:pStyle w:val="Caption"/>
        <w:keepNext w:val="true"/>
        <w:spacing w:lineRule="auto" w:line="240" w:before="200" w:after="100"/>
        <w:jc w:val="center"/>
        <w:rPr/>
      </w:pPr>
      <w:r>
        <w:rPr>
          <w:rFonts w:eastAsia="Times New Roman" w:cs="Times New Roman"/>
          <w:b/>
          <w:bCs/>
          <w:sz w:val="22"/>
          <w:szCs w:val="22"/>
        </w:rPr>
        <w:t xml:space="preserve">Tableau </w:t>
      </w:r>
      <w:r>
        <w:rPr>
          <w:rFonts w:cs="Times New Roman"/>
          <w:b/>
          <w:bCs/>
          <w:sz w:val="22"/>
          <w:szCs w:val="22"/>
        </w:rPr>
        <w:fldChar w:fldCharType="begin"/>
      </w:r>
      <w:r>
        <w:rPr>
          <w:sz w:val="22"/>
          <w:b/>
          <w:szCs w:val="22"/>
          <w:bCs/>
          <w:rFonts w:cs="Times New Roman"/>
        </w:rPr>
        <w:instrText xml:space="preserve"> SEQ Tableau \* ARABIC </w:instrText>
      </w:r>
      <w:r>
        <w:rPr>
          <w:sz w:val="22"/>
          <w:b/>
          <w:szCs w:val="22"/>
          <w:bCs/>
          <w:rFonts w:cs="Times New Roman"/>
        </w:rPr>
        <w:fldChar w:fldCharType="separate"/>
      </w:r>
      <w:r>
        <w:rPr>
          <w:sz w:val="22"/>
          <w:b/>
          <w:szCs w:val="22"/>
          <w:bCs/>
          <w:rFonts w:cs="Times New Roman"/>
        </w:rPr>
        <w:t>3</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Matériel de l’expérience 1 et où le trouver</w:t>
      </w:r>
    </w:p>
    <w:tbl>
      <w:tblPr>
        <w:tblW w:w="9072" w:type="dxa"/>
        <w:jc w:val="center"/>
        <w:tblInd w:w="0" w:type="dxa"/>
        <w:tblLayout w:type="fixed"/>
        <w:tblCellMar>
          <w:top w:w="40" w:type="dxa"/>
          <w:left w:w="80" w:type="dxa"/>
          <w:bottom w:w="40" w:type="dxa"/>
          <w:right w:w="80" w:type="dxa"/>
        </w:tblCellMar>
      </w:tblPr>
      <w:tblGrid>
        <w:gridCol w:w="4536"/>
        <w:gridCol w:w="4535"/>
      </w:tblGrid>
      <w:tr>
        <w:trPr>
          <w:tblHeader w:val="true"/>
          <w:cantSplit w:val="true"/>
        </w:trPr>
        <w:tc>
          <w:tcPr>
            <w:tcW w:w="453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jc w:val="center"/>
              <w:rPr/>
            </w:pPr>
            <w:r>
              <w:rPr>
                <w:rFonts w:eastAsia="Times New Roman" w:cs="Times New Roman"/>
                <w:b/>
                <w:bCs/>
                <w:sz w:val="22"/>
                <w:szCs w:val="22"/>
              </w:rPr>
              <w:t>Matériel</w:t>
            </w:r>
          </w:p>
        </w:tc>
        <w:tc>
          <w:tcPr>
            <w:tcW w:w="453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jc w:val="center"/>
              <w:rPr/>
            </w:pPr>
            <w:r>
              <w:rPr>
                <w:rFonts w:eastAsia="Times New Roman" w:cs="Times New Roman"/>
                <w:b/>
                <w:bCs/>
                <w:sz w:val="22"/>
                <w:szCs w:val="22"/>
              </w:rPr>
              <w:t>Où le trouver (sans achat)</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Deux bouteilles plastiques transparentes de 1,5 L</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Bouteilles d’eau ou de boisson vides récupérées</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Un morceau de pagne usé ou de moustiquaire usée</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Vieux vêtements, moustiquaire déchirée de la maison</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Un élastique découpé dans une chambre à air</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Chambre à air usée (réparateur de vélos ou de motos)</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Charbon de bois concassé</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Foyer ou cuisine (restes de charbon)</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Sable fin, gravier et petits cailloux</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Cour de l’école, bord de rivière, chantier voisin</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Eau boueuse</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Marigot, flaque, caniveau propre après la pluie</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Calebasse, seau ou bouteille coupée</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Cuisine de l’école ou de la maison</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Tôle ondulée</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Toit ou morceau de tôle usée</w:t>
            </w:r>
          </w:p>
        </w:tc>
      </w:tr>
    </w:tbl>
    <w:p>
      <w:pPr>
        <w:pStyle w:val="Normal"/>
        <w:spacing w:lineRule="auto" w:line="240" w:before="60" w:after="240"/>
        <w:rPr/>
      </w:pPr>
      <w:r>
        <w:rPr>
          <w:rFonts w:eastAsia="Times New Roman" w:cs="Times New Roman"/>
          <w:i/>
          <w:iCs/>
          <w:sz w:val="22"/>
          <w:szCs w:val="22"/>
        </w:rPr>
        <w:t>Source : Réalisation de l’auteur (2026).</w:t>
      </w:r>
    </w:p>
    <w:p>
      <w:pPr>
        <w:pStyle w:val="Heading2"/>
        <w:rPr/>
      </w:pPr>
      <w:bookmarkStart w:id="7" w:name="__RefHeading___Toc969_346879323"/>
      <w:bookmarkEnd w:id="7"/>
      <w:r>
        <w:rPr>
          <w:rFonts w:eastAsia="Times New Roman" w:cs="Times New Roman" w:ascii="Times New Roman" w:hAnsi="Times New Roman"/>
        </w:rPr>
        <w:t>1.4. Démarche</w:t>
      </w:r>
    </w:p>
    <w:p>
      <w:pPr>
        <w:pStyle w:val="ListParagraph"/>
        <w:numPr>
          <w:ilvl w:val="0"/>
          <w:numId w:val="37"/>
        </w:numPr>
        <w:spacing w:lineRule="auto" w:line="360" w:before="0" w:after="40"/>
        <w:jc w:val="both"/>
        <w:rPr/>
      </w:pPr>
      <w:r>
        <w:rPr>
          <w:rFonts w:eastAsia="Times New Roman" w:cs="Times New Roman"/>
        </w:rPr>
        <w:t>Le formateur découpe le fond d’une bouteille avec un couteau de cuisine, puis la retourne : le goulot est en bas.</w:t>
      </w:r>
    </w:p>
    <w:p>
      <w:pPr>
        <w:pStyle w:val="ListParagraph"/>
        <w:numPr>
          <w:ilvl w:val="0"/>
          <w:numId w:val="3"/>
        </w:numPr>
        <w:spacing w:lineRule="auto" w:line="360" w:before="0" w:after="40"/>
        <w:jc w:val="both"/>
        <w:rPr/>
      </w:pPr>
      <w:r>
        <w:rPr>
          <w:rFonts w:eastAsia="Times New Roman" w:cs="Times New Roman"/>
        </w:rPr>
        <w:t>Fixer le morceau de pagne ou de moustiquaire sur le goulot avec l’élastique de chambre à air : il retiendra les couches.</w:t>
      </w:r>
    </w:p>
    <w:p>
      <w:pPr>
        <w:pStyle w:val="ListParagraph"/>
        <w:numPr>
          <w:ilvl w:val="0"/>
          <w:numId w:val="3"/>
        </w:numPr>
        <w:spacing w:lineRule="auto" w:line="360" w:before="0" w:after="40"/>
        <w:jc w:val="both"/>
        <w:rPr/>
      </w:pPr>
      <w:r>
        <w:rPr>
          <w:rFonts w:eastAsia="Times New Roman" w:cs="Times New Roman"/>
        </w:rPr>
        <w:t>Laver séparément le charbon, le sable et le gravier jusqu’à ce que l’eau de rinçage soit claire.</w:t>
      </w:r>
    </w:p>
    <w:p>
      <w:pPr>
        <w:pStyle w:val="ListParagraph"/>
        <w:numPr>
          <w:ilvl w:val="0"/>
          <w:numId w:val="3"/>
        </w:numPr>
        <w:spacing w:lineRule="auto" w:line="360" w:before="0" w:after="40"/>
        <w:jc w:val="both"/>
        <w:rPr/>
      </w:pPr>
      <w:r>
        <w:rPr>
          <w:rFonts w:eastAsia="Times New Roman" w:cs="Times New Roman"/>
        </w:rPr>
        <w:t>Remplir la bouteille en partant du goulot, dans l’ordre du cours : charbon (3 cm), sable fin (4 cm), charbon (3 cm), gravier (4 cm), petits graviers (3 cm).</w:t>
      </w:r>
    </w:p>
    <w:p>
      <w:pPr>
        <w:pStyle w:val="ListParagraph"/>
        <w:numPr>
          <w:ilvl w:val="0"/>
          <w:numId w:val="3"/>
        </w:numPr>
        <w:spacing w:lineRule="auto" w:line="360" w:before="0" w:after="40"/>
        <w:jc w:val="both"/>
        <w:rPr/>
      </w:pPr>
      <w:r>
        <w:rPr>
          <w:rFonts w:eastAsia="Times New Roman" w:cs="Times New Roman"/>
        </w:rPr>
        <w:t>Poser le filtre sur la calebasse. Verser lentement l’eau boueuse. Jeter la première eau recueillie, qui contient de la poussière de charbon.</w:t>
      </w:r>
    </w:p>
    <w:p>
      <w:pPr>
        <w:pStyle w:val="ListParagraph"/>
        <w:numPr>
          <w:ilvl w:val="0"/>
          <w:numId w:val="3"/>
        </w:numPr>
        <w:spacing w:lineRule="auto" w:line="360" w:before="0" w:after="40"/>
        <w:jc w:val="both"/>
        <w:rPr/>
      </w:pPr>
      <w:r>
        <w:rPr>
          <w:rFonts w:eastAsia="Times New Roman" w:cs="Times New Roman"/>
        </w:rPr>
        <w:t>Comparer l’eau filtrée avec un témoin : la même eau boueuse, non filtrée, dans une bouteille identique.</w:t>
      </w:r>
    </w:p>
    <w:p>
      <w:pPr>
        <w:pStyle w:val="ListParagraph"/>
        <w:numPr>
          <w:ilvl w:val="0"/>
          <w:numId w:val="3"/>
        </w:numPr>
        <w:spacing w:lineRule="auto" w:line="360" w:before="0" w:after="120"/>
        <w:jc w:val="both"/>
        <w:rPr/>
      </w:pPr>
      <w:r>
        <w:rPr>
          <w:rFonts w:eastAsia="Times New Roman" w:cs="Times New Roman"/>
        </w:rPr>
        <w:t>Désinfecter : remplir une bouteille transparente propre avec l’eau filtrée claire, la fermer, puis la coucher sur la tôle en plein soleil pendant 6 h (2 jours si le ciel est couvert). À défaut, faire bouillir l’eau au moins 1 minute.</w:t>
      </w:r>
    </w:p>
    <w:p>
      <w:pPr>
        <w:pStyle w:val="Caption"/>
        <w:keepNext w:val="true"/>
        <w:spacing w:lineRule="auto" w:line="240" w:before="200" w:after="100"/>
        <w:jc w:val="center"/>
        <w:rPr/>
      </w:pPr>
      <w:r>
        <w:rPr>
          <w:rFonts w:eastAsia="Times New Roman" w:cs="Times New Roman"/>
          <w:b/>
          <w:bCs/>
          <w:sz w:val="22"/>
          <w:szCs w:val="22"/>
        </w:rPr>
        <w:t xml:space="preserve">Figure </w:t>
      </w:r>
      <w:r>
        <w:rPr>
          <w:rFonts w:cs="Times New Roman"/>
          <w:b/>
          <w:bCs/>
          <w:sz w:val="22"/>
          <w:szCs w:val="22"/>
        </w:rPr>
        <w:fldChar w:fldCharType="begin"/>
      </w:r>
      <w:r>
        <w:rPr>
          <w:sz w:val="22"/>
          <w:b/>
          <w:szCs w:val="22"/>
          <w:bCs/>
          <w:rFonts w:cs="Times New Roman"/>
        </w:rPr>
        <w:instrText xml:space="preserve"> SEQ Figure \* ARABIC </w:instrText>
      </w:r>
      <w:r>
        <w:rPr>
          <w:sz w:val="22"/>
          <w:b/>
          <w:szCs w:val="22"/>
          <w:bCs/>
          <w:rFonts w:cs="Times New Roman"/>
        </w:rPr>
        <w:fldChar w:fldCharType="separate"/>
      </w:r>
      <w:r>
        <w:rPr>
          <w:sz w:val="22"/>
          <w:b/>
          <w:szCs w:val="22"/>
          <w:bCs/>
          <w:rFonts w:cs="Times New Roman"/>
        </w:rPr>
        <w:t>1</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Dispositif de l’expérience 1 : filtre à eau artisanal</w:t>
      </w:r>
    </w:p>
    <w:p>
      <w:pPr>
        <w:pStyle w:val="Normal"/>
        <w:keepNext w:val="true"/>
        <w:spacing w:lineRule="auto" w:line="240"/>
        <w:jc w:val="center"/>
        <w:rPr/>
      </w:pPr>
      <w:r>
        <w:rPr/>
        <w:drawing>
          <wp:inline distT="0" distB="0" distL="0" distR="0">
            <wp:extent cx="5400675" cy="39624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4"/>
                    <a:stretch>
                      <a:fillRect/>
                    </a:stretch>
                  </pic:blipFill>
                  <pic:spPr bwMode="auto">
                    <a:xfrm>
                      <a:off x="0" y="0"/>
                      <a:ext cx="5400675" cy="3962400"/>
                    </a:xfrm>
                    <a:prstGeom prst="rect">
                      <a:avLst/>
                    </a:prstGeom>
                  </pic:spPr>
                </pic:pic>
              </a:graphicData>
            </a:graphic>
          </wp:inline>
        </w:drawing>
      </w:r>
    </w:p>
    <w:p>
      <w:pPr>
        <w:pStyle w:val="Normal"/>
        <w:spacing w:lineRule="auto" w:line="240" w:before="60" w:after="240"/>
        <w:rPr/>
      </w:pPr>
      <w:r>
        <w:rPr>
          <w:rFonts w:eastAsia="Times New Roman" w:cs="Times New Roman"/>
          <w:i/>
          <w:iCs/>
          <w:sz w:val="22"/>
          <w:szCs w:val="22"/>
        </w:rPr>
        <w:t>Source : Réalisation de l’auteur (2026), d’après le support de cours de l’EC2 « Maladies et hygiène » (2STE1275).</w:t>
      </w:r>
    </w:p>
    <w:p>
      <w:pPr>
        <w:pStyle w:val="Heading2"/>
        <w:rPr/>
      </w:pPr>
      <w:bookmarkStart w:id="8" w:name="__RefHeading___Toc971_346879323"/>
      <w:bookmarkEnd w:id="8"/>
      <w:r>
        <w:rPr>
          <w:rFonts w:eastAsia="Times New Roman" w:cs="Times New Roman" w:ascii="Times New Roman" w:hAnsi="Times New Roman"/>
        </w:rPr>
        <w:t>1.5. Observations attendues</w:t>
      </w:r>
    </w:p>
    <w:p>
      <w:pPr>
        <w:pStyle w:val="ListParagraph"/>
        <w:numPr>
          <w:ilvl w:val="0"/>
          <w:numId w:val="38"/>
        </w:numPr>
        <w:spacing w:lineRule="auto" w:line="360" w:before="0" w:after="40"/>
        <w:jc w:val="both"/>
        <w:rPr/>
      </w:pPr>
      <w:r>
        <w:rPr>
          <w:rFonts w:eastAsia="Times New Roman" w:cs="Times New Roman"/>
        </w:rPr>
        <w:t>L’eau recueillie est beaucoup plus claire que l’eau boueuse du témoin.</w:t>
      </w:r>
    </w:p>
    <w:p>
      <w:pPr>
        <w:pStyle w:val="ListParagraph"/>
        <w:numPr>
          <w:ilvl w:val="0"/>
          <w:numId w:val="39"/>
        </w:numPr>
        <w:spacing w:lineRule="auto" w:line="360" w:before="0" w:after="40"/>
        <w:jc w:val="both"/>
        <w:rPr/>
      </w:pPr>
      <w:r>
        <w:rPr>
          <w:rFonts w:eastAsia="Times New Roman" w:cs="Times New Roman"/>
        </w:rPr>
        <w:t>Les couches supérieures du filtre retiennent la boue et se salissent.</w:t>
      </w:r>
    </w:p>
    <w:p>
      <w:pPr>
        <w:pStyle w:val="ListParagraph"/>
        <w:numPr>
          <w:ilvl w:val="0"/>
          <w:numId w:val="40"/>
        </w:numPr>
        <w:spacing w:lineRule="auto" w:line="360" w:before="0" w:after="120"/>
        <w:jc w:val="both"/>
        <w:rPr/>
      </w:pPr>
      <w:r>
        <w:rPr>
          <w:rFonts w:eastAsia="Times New Roman" w:cs="Times New Roman"/>
        </w:rPr>
        <w:t>Le débit ralentit à mesure que le filtre se colmate.</w:t>
      </w:r>
    </w:p>
    <w:p>
      <w:pPr>
        <w:pStyle w:val="Heading2"/>
        <w:rPr/>
      </w:pPr>
      <w:bookmarkStart w:id="9" w:name="__RefHeading___Toc973_346879323"/>
      <w:bookmarkEnd w:id="9"/>
      <w:r>
        <w:rPr>
          <w:rFonts w:eastAsia="Times New Roman" w:cs="Times New Roman" w:ascii="Times New Roman" w:hAnsi="Times New Roman"/>
        </w:rPr>
        <w:t>1.6. Interprétation et conclusion</w:t>
      </w:r>
    </w:p>
    <w:p>
      <w:pPr>
        <w:pStyle w:val="ListParagraph"/>
        <w:numPr>
          <w:ilvl w:val="0"/>
          <w:numId w:val="41"/>
        </w:numPr>
        <w:spacing w:lineRule="auto" w:line="360" w:before="0" w:after="40"/>
        <w:jc w:val="both"/>
        <w:rPr/>
      </w:pPr>
      <w:r>
        <w:rPr>
          <w:rFonts w:eastAsia="Times New Roman" w:cs="Times New Roman"/>
        </w:rPr>
        <w:t>Le gravier, le sable et le charbon retiennent les particules en suspension : c’est la filtration.</w:t>
      </w:r>
    </w:p>
    <w:p>
      <w:pPr>
        <w:pStyle w:val="ListParagraph"/>
        <w:numPr>
          <w:ilvl w:val="0"/>
          <w:numId w:val="42"/>
        </w:numPr>
        <w:spacing w:lineRule="auto" w:line="360" w:before="0" w:after="40"/>
        <w:jc w:val="both"/>
        <w:rPr/>
      </w:pPr>
      <w:r>
        <w:rPr>
          <w:rFonts w:eastAsia="Times New Roman" w:cs="Times New Roman"/>
        </w:rPr>
        <w:t>Une eau claire peut encore contenir des microbes invisibles à l’œil nu. La filtration doit donc être suivie d’une désinfection.</w:t>
      </w:r>
    </w:p>
    <w:p>
      <w:pPr>
        <w:pStyle w:val="ListParagraph"/>
        <w:numPr>
          <w:ilvl w:val="0"/>
          <w:numId w:val="43"/>
        </w:numPr>
        <w:spacing w:lineRule="auto" w:line="360" w:before="0" w:after="40"/>
        <w:jc w:val="both"/>
        <w:rPr/>
      </w:pPr>
      <w:r>
        <w:rPr>
          <w:rFonts w:eastAsia="Times New Roman" w:cs="Times New Roman"/>
        </w:rPr>
        <w:t>Les rayons du soleil (ultraviolets) et la chaleur détruisent la plupart des germes : c’est le principe de la désinfection solaire.</w:t>
      </w:r>
    </w:p>
    <w:p>
      <w:pPr>
        <w:pStyle w:val="ListParagraph"/>
        <w:numPr>
          <w:ilvl w:val="0"/>
          <w:numId w:val="44"/>
        </w:numPr>
        <w:spacing w:lineRule="auto" w:line="360" w:before="0" w:after="120"/>
        <w:jc w:val="both"/>
        <w:rPr/>
      </w:pPr>
      <w:r>
        <w:rPr>
          <w:rFonts w:eastAsia="Times New Roman" w:cs="Times New Roman"/>
        </w:rPr>
        <w:t>Boire une eau traitée prévient l’amibiase, le choléra, la giardiase et la fièvre typhoïde.</w:t>
      </w:r>
    </w:p>
    <w:p>
      <w:pPr>
        <w:pStyle w:val="Heading2"/>
        <w:rPr/>
      </w:pPr>
      <w:bookmarkStart w:id="10" w:name="__RefHeading___Toc975_346879323"/>
      <w:bookmarkEnd w:id="10"/>
      <w:r>
        <w:rPr>
          <w:rFonts w:eastAsia="Times New Roman" w:cs="Times New Roman" w:ascii="Times New Roman" w:hAnsi="Times New Roman"/>
        </w:rPr>
        <w:t>1.7. Précautions de sécurité</w:t>
      </w:r>
    </w:p>
    <w:p>
      <w:pPr>
        <w:pStyle w:val="ListParagraph"/>
        <w:numPr>
          <w:ilvl w:val="0"/>
          <w:numId w:val="45"/>
        </w:numPr>
        <w:spacing w:lineRule="auto" w:line="360" w:before="0" w:after="40"/>
        <w:jc w:val="both"/>
        <w:rPr/>
      </w:pPr>
      <w:r>
        <w:rPr>
          <w:rFonts w:eastAsia="Times New Roman" w:cs="Times New Roman"/>
        </w:rPr>
        <w:t>La découpe des bouteilles est faite par le formateur.</w:t>
      </w:r>
    </w:p>
    <w:p>
      <w:pPr>
        <w:pStyle w:val="ListParagraph"/>
        <w:numPr>
          <w:ilvl w:val="0"/>
          <w:numId w:val="46"/>
        </w:numPr>
        <w:spacing w:lineRule="auto" w:line="360" w:before="0" w:after="40"/>
        <w:jc w:val="both"/>
        <w:rPr/>
      </w:pPr>
      <w:r>
        <w:rPr>
          <w:rFonts w:eastAsia="Times New Roman" w:cs="Times New Roman"/>
        </w:rPr>
        <w:t>Ne jamais boire l’eau seulement filtrée.</w:t>
      </w:r>
    </w:p>
    <w:p>
      <w:pPr>
        <w:pStyle w:val="ListParagraph"/>
        <w:numPr>
          <w:ilvl w:val="0"/>
          <w:numId w:val="47"/>
        </w:numPr>
        <w:spacing w:lineRule="auto" w:line="360" w:before="0" w:after="40"/>
        <w:jc w:val="both"/>
        <w:rPr/>
      </w:pPr>
      <w:r>
        <w:rPr>
          <w:rFonts w:eastAsia="Times New Roman" w:cs="Times New Roman"/>
        </w:rPr>
        <w:t>La désinfection solaire ne fonctionne qu’avec une eau claire et une bouteille transparente de 2 L au plus.</w:t>
      </w:r>
    </w:p>
    <w:p>
      <w:pPr>
        <w:pStyle w:val="ListParagraph"/>
        <w:numPr>
          <w:ilvl w:val="0"/>
          <w:numId w:val="48"/>
        </w:numPr>
        <w:spacing w:lineRule="auto" w:line="360" w:before="0" w:after="120"/>
        <w:jc w:val="both"/>
        <w:rPr/>
      </w:pPr>
      <w:r>
        <w:rPr>
          <w:rFonts w:eastAsia="Times New Roman" w:cs="Times New Roman"/>
        </w:rPr>
        <w:t>Se laver les mains au savon après avoir manipulé l’eau du marigot.</w:t>
      </w:r>
    </w:p>
    <w:p>
      <w:pPr>
        <w:pStyle w:val="Heading2"/>
        <w:rPr/>
      </w:pPr>
      <w:bookmarkStart w:id="11" w:name="__RefHeading___Toc977_346879323"/>
      <w:bookmarkEnd w:id="11"/>
      <w:r>
        <w:rPr>
          <w:rFonts w:eastAsia="Times New Roman" w:cs="Times New Roman" w:ascii="Times New Roman" w:hAnsi="Times New Roman"/>
        </w:rPr>
        <w:t>1.8. Prolongements</w:t>
      </w:r>
    </w:p>
    <w:p>
      <w:pPr>
        <w:pStyle w:val="ListParagraph"/>
        <w:numPr>
          <w:ilvl w:val="0"/>
          <w:numId w:val="49"/>
        </w:numPr>
        <w:spacing w:lineRule="auto" w:line="360" w:before="0" w:after="40"/>
        <w:jc w:val="both"/>
        <w:rPr/>
      </w:pPr>
      <w:r>
        <w:rPr>
          <w:rFonts w:eastAsia="Times New Roman" w:cs="Times New Roman"/>
        </w:rPr>
        <w:t>Comparer trois filtres : sable seul, charbon seul, filtre complet.</w:t>
      </w:r>
    </w:p>
    <w:p>
      <w:pPr>
        <w:pStyle w:val="ListParagraph"/>
        <w:numPr>
          <w:ilvl w:val="0"/>
          <w:numId w:val="50"/>
        </w:numPr>
        <w:spacing w:lineRule="auto" w:line="360" w:before="0" w:after="120"/>
        <w:jc w:val="both"/>
        <w:rPr/>
        <w:sectPr>
          <w:footerReference w:type="even" r:id="rId5"/>
          <w:footerReference w:type="default" r:id="rId6"/>
          <w:footerReference w:type="first" r:id="rId7"/>
          <w:type w:val="nextPage"/>
          <w:pgSz w:w="11906" w:h="16838"/>
          <w:pgMar w:left="1418" w:right="1418" w:gutter="0" w:header="0" w:top="1418" w:footer="567" w:bottom="1418"/>
          <w:pgNumType w:fmt="decimal"/>
          <w:formProt w:val="false"/>
          <w:textDirection w:val="lrTb"/>
          <w:docGrid w:type="default" w:linePitch="360" w:charSpace="0"/>
        </w:sectPr>
      </w:pPr>
      <w:r>
        <w:rPr>
          <w:rFonts w:eastAsia="Times New Roman" w:cs="Times New Roman"/>
        </w:rPr>
        <w:t>Réaliser une affiche « De l’eau boueuse à l’eau potable » pour le coin santé de l’école.</w:t>
      </w:r>
    </w:p>
    <w:p>
      <w:pPr>
        <w:pStyle w:val="Heading2"/>
        <w:rPr/>
      </w:pPr>
      <w:bookmarkStart w:id="12" w:name="__RefHeading___Toc979_346879323"/>
      <w:bookmarkEnd w:id="12"/>
      <w:r>
        <w:rPr>
          <w:rFonts w:eastAsia="Times New Roman" w:cs="Times New Roman" w:ascii="Times New Roman" w:hAnsi="Times New Roman"/>
        </w:rPr>
        <w:t>1.9. Schéma directeur (Freeplane)</w:t>
      </w:r>
    </w:p>
    <w:p>
      <w:pPr>
        <w:pStyle w:val="Normal"/>
        <w:spacing w:lineRule="auto" w:line="360" w:before="0" w:after="120"/>
        <w:jc w:val="both"/>
        <w:rPr/>
      </w:pPr>
      <w:r>
        <w:rPr>
          <w:rFonts w:eastAsia="Times New Roman" w:cs="Times New Roman"/>
        </w:rPr>
        <w:t xml:space="preserve">Fichier source : </w:t>
      </w:r>
      <w:r>
        <w:rPr>
          <w:rFonts w:eastAsia="Times New Roman" w:cs="Times New Roman"/>
          <w:i/>
          <w:iCs/>
        </w:rPr>
        <w:t>exp1_schema_directeur.mm</w:t>
      </w:r>
      <w:r>
        <w:rPr>
          <w:rFonts w:eastAsia="Times New Roman" w:cs="Times New Roman"/>
        </w:rPr>
        <w:t>, à ouvrir avec Freeplane.</w:t>
      </w:r>
    </w:p>
    <w:p>
      <w:pPr>
        <w:pStyle w:val="Caption"/>
        <w:keepNext w:val="true"/>
        <w:spacing w:lineRule="auto" w:line="240" w:before="200" w:after="100"/>
        <w:jc w:val="center"/>
        <w:rPr/>
      </w:pPr>
      <w:r>
        <w:rPr>
          <w:rFonts w:eastAsia="Times New Roman" w:cs="Times New Roman"/>
          <w:b/>
          <w:bCs/>
          <w:sz w:val="22"/>
          <w:szCs w:val="22"/>
        </w:rPr>
        <w:t xml:space="preserve">Figure </w:t>
      </w:r>
      <w:r>
        <w:rPr>
          <w:rFonts w:cs="Times New Roman"/>
          <w:b/>
          <w:bCs/>
          <w:sz w:val="22"/>
          <w:szCs w:val="22"/>
        </w:rPr>
        <w:fldChar w:fldCharType="begin"/>
      </w:r>
      <w:r>
        <w:rPr>
          <w:sz w:val="22"/>
          <w:b/>
          <w:szCs w:val="22"/>
          <w:bCs/>
          <w:rFonts w:cs="Times New Roman"/>
        </w:rPr>
        <w:instrText xml:space="preserve"> SEQ Figure \* ARABIC </w:instrText>
      </w:r>
      <w:r>
        <w:rPr>
          <w:sz w:val="22"/>
          <w:b/>
          <w:szCs w:val="22"/>
          <w:bCs/>
          <w:rFonts w:cs="Times New Roman"/>
        </w:rPr>
        <w:fldChar w:fldCharType="separate"/>
      </w:r>
      <w:r>
        <w:rPr>
          <w:sz w:val="22"/>
          <w:b/>
          <w:szCs w:val="22"/>
          <w:bCs/>
          <w:rFonts w:cs="Times New Roman"/>
        </w:rPr>
        <w:t>2</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Schéma directeur de l’expérience 1 : filtre à eau artisanal</w:t>
      </w:r>
    </w:p>
    <w:p>
      <w:pPr>
        <w:pStyle w:val="Normal"/>
        <w:keepNext w:val="true"/>
        <w:spacing w:lineRule="auto" w:line="240"/>
        <w:jc w:val="center"/>
        <w:rPr/>
      </w:pPr>
      <w:r>
        <w:rPr/>
        <w:drawing>
          <wp:inline distT="0" distB="0" distL="0" distR="0">
            <wp:extent cx="8810625" cy="423862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8"/>
                    <a:stretch>
                      <a:fillRect/>
                    </a:stretch>
                  </pic:blipFill>
                  <pic:spPr bwMode="auto">
                    <a:xfrm>
                      <a:off x="0" y="0"/>
                      <a:ext cx="8810625" cy="4238625"/>
                    </a:xfrm>
                    <a:prstGeom prst="rect">
                      <a:avLst/>
                    </a:prstGeom>
                  </pic:spPr>
                </pic:pic>
              </a:graphicData>
            </a:graphic>
          </wp:inline>
        </w:drawing>
      </w:r>
    </w:p>
    <w:p>
      <w:pPr>
        <w:pStyle w:val="Normal"/>
        <w:spacing w:lineRule="auto" w:line="240" w:before="60" w:after="240"/>
        <w:rPr/>
        <w:sectPr>
          <w:footerReference w:type="even" r:id="rId9"/>
          <w:footerReference w:type="default" r:id="rId10"/>
          <w:footerReference w:type="first" r:id="rId11"/>
          <w:type w:val="nextPage"/>
          <w:pgSz w:orient="landscape" w:w="16838" w:h="11906"/>
          <w:pgMar w:left="1418" w:right="1418" w:gutter="0" w:header="0" w:top="1418" w:footer="567" w:bottom="1418"/>
          <w:pgNumType w:fmt="decimal"/>
          <w:formProt w:val="false"/>
          <w:textDirection w:val="lrTb"/>
          <w:docGrid w:type="default" w:linePitch="360" w:charSpace="0"/>
        </w:sectPr>
      </w:pPr>
      <w:r>
        <w:rPr>
          <w:rFonts w:eastAsia="Times New Roman" w:cs="Times New Roman"/>
          <w:i/>
          <w:iCs/>
          <w:sz w:val="22"/>
          <w:szCs w:val="22"/>
        </w:rPr>
        <w:t>Source : Réalisation de l’auteur (2026) avec Freeplane, d’après le support de cours de l’EC2 (2STE1275).</w:t>
      </w:r>
    </w:p>
    <w:p>
      <w:pPr>
        <w:pStyle w:val="Heading1"/>
        <w:rPr/>
      </w:pPr>
      <w:bookmarkStart w:id="13" w:name="__RefHeading___Toc981_346879323"/>
      <w:bookmarkEnd w:id="13"/>
      <w:r>
        <w:rPr>
          <w:rFonts w:eastAsia="Times New Roman" w:cs="Times New Roman" w:ascii="Times New Roman" w:hAnsi="Times New Roman"/>
        </w:rPr>
        <w:t>EXPÉRIENCE 2 : METTRE EN ÉVIDENCE LE GOUDRON DU TABAC AVEC UNE « MACHINE À FUMER »</w:t>
      </w:r>
    </w:p>
    <w:p>
      <w:pPr>
        <w:pStyle w:val="Caption"/>
        <w:keepNext w:val="true"/>
        <w:spacing w:lineRule="auto" w:line="240" w:before="200" w:after="100"/>
        <w:jc w:val="center"/>
        <w:rPr/>
      </w:pPr>
      <w:r>
        <w:rPr>
          <w:rFonts w:eastAsia="Times New Roman" w:cs="Times New Roman"/>
          <w:b/>
          <w:bCs/>
          <w:sz w:val="22"/>
          <w:szCs w:val="22"/>
        </w:rPr>
        <w:t xml:space="preserve">Tableau </w:t>
      </w:r>
      <w:r>
        <w:rPr>
          <w:rFonts w:cs="Times New Roman"/>
          <w:b/>
          <w:bCs/>
          <w:sz w:val="22"/>
          <w:szCs w:val="22"/>
        </w:rPr>
        <w:fldChar w:fldCharType="begin"/>
      </w:r>
      <w:r>
        <w:rPr>
          <w:sz w:val="22"/>
          <w:b/>
          <w:szCs w:val="22"/>
          <w:bCs/>
          <w:rFonts w:cs="Times New Roman"/>
        </w:rPr>
        <w:instrText xml:space="preserve"> SEQ Tableau \* ARABIC </w:instrText>
      </w:r>
      <w:r>
        <w:rPr>
          <w:sz w:val="22"/>
          <w:b/>
          <w:szCs w:val="22"/>
          <w:bCs/>
          <w:rFonts w:cs="Times New Roman"/>
        </w:rPr>
        <w:fldChar w:fldCharType="separate"/>
      </w:r>
      <w:r>
        <w:rPr>
          <w:sz w:val="22"/>
          <w:b/>
          <w:szCs w:val="22"/>
          <w:bCs/>
          <w:rFonts w:cs="Times New Roman"/>
        </w:rPr>
        <w:t>4</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Fiche signalétique de l’expérience 2</w:t>
      </w:r>
    </w:p>
    <w:tbl>
      <w:tblPr>
        <w:tblW w:w="9072" w:type="dxa"/>
        <w:jc w:val="center"/>
        <w:tblInd w:w="0" w:type="dxa"/>
        <w:tblLayout w:type="fixed"/>
        <w:tblCellMar>
          <w:top w:w="40" w:type="dxa"/>
          <w:left w:w="80" w:type="dxa"/>
          <w:bottom w:w="40" w:type="dxa"/>
          <w:right w:w="80" w:type="dxa"/>
        </w:tblCellMar>
      </w:tblPr>
      <w:tblGrid>
        <w:gridCol w:w="2268"/>
        <w:gridCol w:w="6803"/>
      </w:tblGrid>
      <w:tr>
        <w:trPr>
          <w:cantSplit w:val="true"/>
        </w:trPr>
        <w:tc>
          <w:tcPr>
            <w:tcW w:w="226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jc w:val="left"/>
              <w:rPr/>
            </w:pPr>
            <w:r>
              <w:rPr>
                <w:rFonts w:eastAsia="Times New Roman" w:cs="Times New Roman"/>
                <w:b/>
                <w:bCs/>
                <w:sz w:val="22"/>
                <w:szCs w:val="22"/>
              </w:rPr>
              <w:t>Lien avec le cours</w:t>
            </w:r>
          </w:p>
        </w:tc>
        <w:tc>
          <w:tcPr>
            <w:tcW w:w="68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b w:val="false"/>
                <w:bCs w:val="false"/>
                <w:sz w:val="22"/>
                <w:szCs w:val="22"/>
              </w:rPr>
              <w:t>Chapitre 4 (effets de la consommation du tabac sur l’organisme) ; travail pratique prévu par le support : « expérience de la mise en évidence du goudron du tabac »</w:t>
            </w:r>
          </w:p>
        </w:tc>
      </w:tr>
      <w:tr>
        <w:trPr>
          <w:cantSplit w:val="true"/>
        </w:trPr>
        <w:tc>
          <w:tcPr>
            <w:tcW w:w="226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jc w:val="left"/>
              <w:rPr/>
            </w:pPr>
            <w:r>
              <w:rPr>
                <w:rFonts w:eastAsia="Times New Roman" w:cs="Times New Roman"/>
                <w:b/>
                <w:bCs/>
                <w:sz w:val="22"/>
                <w:szCs w:val="22"/>
              </w:rPr>
              <w:t>Durée</w:t>
            </w:r>
          </w:p>
        </w:tc>
        <w:tc>
          <w:tcPr>
            <w:tcW w:w="68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b w:val="false"/>
                <w:bCs w:val="false"/>
                <w:sz w:val="22"/>
                <w:szCs w:val="22"/>
              </w:rPr>
              <w:t>30 min</w:t>
            </w:r>
          </w:p>
        </w:tc>
      </w:tr>
      <w:tr>
        <w:trPr>
          <w:cantSplit w:val="true"/>
        </w:trPr>
        <w:tc>
          <w:tcPr>
            <w:tcW w:w="226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jc w:val="left"/>
              <w:rPr/>
            </w:pPr>
            <w:r>
              <w:rPr>
                <w:rFonts w:eastAsia="Times New Roman" w:cs="Times New Roman"/>
                <w:b/>
                <w:bCs/>
                <w:sz w:val="22"/>
                <w:szCs w:val="22"/>
              </w:rPr>
              <w:t>Public</w:t>
            </w:r>
          </w:p>
        </w:tc>
        <w:tc>
          <w:tcPr>
            <w:tcW w:w="68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b w:val="false"/>
                <w:bCs w:val="false"/>
                <w:sz w:val="22"/>
                <w:szCs w:val="22"/>
              </w:rPr>
              <w:t>Élèves-professeurs d’école ; transposable au CM1-CM2</w:t>
            </w:r>
          </w:p>
        </w:tc>
      </w:tr>
      <w:tr>
        <w:trPr>
          <w:cantSplit w:val="true"/>
        </w:trPr>
        <w:tc>
          <w:tcPr>
            <w:tcW w:w="226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jc w:val="left"/>
              <w:rPr/>
            </w:pPr>
            <w:r>
              <w:rPr>
                <w:rFonts w:eastAsia="Times New Roman" w:cs="Times New Roman"/>
                <w:b/>
                <w:bCs/>
                <w:sz w:val="22"/>
                <w:szCs w:val="22"/>
              </w:rPr>
              <w:t>Coût</w:t>
            </w:r>
          </w:p>
        </w:tc>
        <w:tc>
          <w:tcPr>
            <w:tcW w:w="68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b w:val="false"/>
                <w:bCs w:val="false"/>
                <w:sz w:val="22"/>
                <w:szCs w:val="22"/>
              </w:rPr>
              <w:t>Aucun : matériel récupéré ou disponible à l’école</w:t>
            </w:r>
          </w:p>
        </w:tc>
      </w:tr>
    </w:tbl>
    <w:p>
      <w:pPr>
        <w:pStyle w:val="Normal"/>
        <w:spacing w:lineRule="auto" w:line="240" w:before="60" w:after="240"/>
        <w:rPr/>
      </w:pPr>
      <w:r>
        <w:rPr>
          <w:rFonts w:eastAsia="Times New Roman" w:cs="Times New Roman"/>
          <w:i/>
          <w:iCs/>
          <w:sz w:val="22"/>
          <w:szCs w:val="22"/>
        </w:rPr>
        <w:t>Source : Réalisation de l’auteur (2026), d’après le support de cours de l’EC2 (2STE1275).</w:t>
      </w:r>
    </w:p>
    <w:p>
      <w:pPr>
        <w:pStyle w:val="Heading2"/>
        <w:rPr/>
      </w:pPr>
      <w:bookmarkStart w:id="14" w:name="__RefHeading___Toc983_346879323"/>
      <w:bookmarkEnd w:id="14"/>
      <w:r>
        <w:rPr>
          <w:rFonts w:eastAsia="Times New Roman" w:cs="Times New Roman" w:ascii="Times New Roman" w:hAnsi="Times New Roman"/>
        </w:rPr>
        <w:t>2.1. Situation-problème</w:t>
      </w:r>
    </w:p>
    <w:p>
      <w:pPr>
        <w:pStyle w:val="Normal"/>
        <w:spacing w:lineRule="auto" w:line="360" w:before="0" w:after="120"/>
        <w:ind w:firstLine="709"/>
        <w:jc w:val="both"/>
        <w:rPr/>
      </w:pPr>
      <w:r>
        <w:rPr>
          <w:rFonts w:eastAsia="Times New Roman" w:cs="Times New Roman"/>
        </w:rPr>
        <w:t>Un grand frère affirme que la cigarette « ne fait que de la fumée » et qu’elle ne laisse rien dans le corps. Comment lui prouver le contraire ?</w:t>
      </w:r>
    </w:p>
    <w:p>
      <w:pPr>
        <w:pStyle w:val="Heading2"/>
        <w:rPr/>
      </w:pPr>
      <w:bookmarkStart w:id="15" w:name="__RefHeading___Toc985_346879323"/>
      <w:bookmarkEnd w:id="15"/>
      <w:r>
        <w:rPr>
          <w:rFonts w:eastAsia="Times New Roman" w:cs="Times New Roman" w:ascii="Times New Roman" w:hAnsi="Times New Roman"/>
        </w:rPr>
        <w:t>2.2. Objectifs</w:t>
      </w:r>
    </w:p>
    <w:p>
      <w:pPr>
        <w:pStyle w:val="ListParagraph"/>
        <w:numPr>
          <w:ilvl w:val="0"/>
          <w:numId w:val="51"/>
        </w:numPr>
        <w:spacing w:lineRule="auto" w:line="360" w:before="0" w:after="40"/>
        <w:jc w:val="both"/>
        <w:rPr/>
      </w:pPr>
      <w:r>
        <w:rPr>
          <w:rFonts w:eastAsia="Times New Roman" w:cs="Times New Roman"/>
        </w:rPr>
        <w:t>Montrer que la fumée de cigarette contient des goudrons qui se déposent dans les voies respiratoires.</w:t>
      </w:r>
    </w:p>
    <w:p>
      <w:pPr>
        <w:pStyle w:val="ListParagraph"/>
        <w:numPr>
          <w:ilvl w:val="0"/>
          <w:numId w:val="52"/>
        </w:numPr>
        <w:spacing w:lineRule="auto" w:line="360" w:before="0" w:after="120"/>
        <w:jc w:val="both"/>
        <w:rPr/>
      </w:pPr>
      <w:r>
        <w:rPr>
          <w:rFonts w:eastAsia="Times New Roman" w:cs="Times New Roman"/>
        </w:rPr>
        <w:t>Relier ce dépôt aux méfaits du tabac cités dans le cours : toux, souffle court, cancer des poumons.</w:t>
      </w:r>
    </w:p>
    <w:p>
      <w:pPr>
        <w:pStyle w:val="Heading2"/>
        <w:rPr/>
      </w:pPr>
      <w:bookmarkStart w:id="16" w:name="__RefHeading___Toc987_346879323"/>
      <w:bookmarkEnd w:id="16"/>
      <w:r>
        <w:rPr>
          <w:rFonts w:eastAsia="Times New Roman" w:cs="Times New Roman" w:ascii="Times New Roman" w:hAnsi="Times New Roman"/>
        </w:rPr>
        <w:t>2.3. Matériel et ressources locales</w:t>
      </w:r>
    </w:p>
    <w:p>
      <w:pPr>
        <w:pStyle w:val="Caption"/>
        <w:keepNext w:val="true"/>
        <w:spacing w:lineRule="auto" w:line="240" w:before="200" w:after="100"/>
        <w:jc w:val="center"/>
        <w:rPr/>
      </w:pPr>
      <w:r>
        <w:rPr>
          <w:rFonts w:eastAsia="Times New Roman" w:cs="Times New Roman"/>
          <w:b/>
          <w:bCs/>
          <w:sz w:val="22"/>
          <w:szCs w:val="22"/>
        </w:rPr>
        <w:t xml:space="preserve">Tableau </w:t>
      </w:r>
      <w:r>
        <w:rPr>
          <w:rFonts w:cs="Times New Roman"/>
          <w:b/>
          <w:bCs/>
          <w:sz w:val="22"/>
          <w:szCs w:val="22"/>
        </w:rPr>
        <w:fldChar w:fldCharType="begin"/>
      </w:r>
      <w:r>
        <w:rPr>
          <w:sz w:val="22"/>
          <w:b/>
          <w:szCs w:val="22"/>
          <w:bCs/>
          <w:rFonts w:cs="Times New Roman"/>
        </w:rPr>
        <w:instrText xml:space="preserve"> SEQ Tableau \* ARABIC </w:instrText>
      </w:r>
      <w:r>
        <w:rPr>
          <w:sz w:val="22"/>
          <w:b/>
          <w:szCs w:val="22"/>
          <w:bCs/>
          <w:rFonts w:cs="Times New Roman"/>
        </w:rPr>
        <w:fldChar w:fldCharType="separate"/>
      </w:r>
      <w:r>
        <w:rPr>
          <w:sz w:val="22"/>
          <w:b/>
          <w:szCs w:val="22"/>
          <w:bCs/>
          <w:rFonts w:cs="Times New Roman"/>
        </w:rPr>
        <w:t>5</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Matériel de l’expérience 2 et où le trouver</w:t>
      </w:r>
    </w:p>
    <w:tbl>
      <w:tblPr>
        <w:tblW w:w="9072" w:type="dxa"/>
        <w:jc w:val="center"/>
        <w:tblInd w:w="0" w:type="dxa"/>
        <w:tblLayout w:type="fixed"/>
        <w:tblCellMar>
          <w:top w:w="40" w:type="dxa"/>
          <w:left w:w="80" w:type="dxa"/>
          <w:bottom w:w="40" w:type="dxa"/>
          <w:right w:w="80" w:type="dxa"/>
        </w:tblCellMar>
      </w:tblPr>
      <w:tblGrid>
        <w:gridCol w:w="4536"/>
        <w:gridCol w:w="4535"/>
      </w:tblGrid>
      <w:tr>
        <w:trPr>
          <w:tblHeader w:val="true"/>
          <w:cantSplit w:val="true"/>
        </w:trPr>
        <w:tc>
          <w:tcPr>
            <w:tcW w:w="453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jc w:val="center"/>
              <w:rPr/>
            </w:pPr>
            <w:r>
              <w:rPr>
                <w:rFonts w:eastAsia="Times New Roman" w:cs="Times New Roman"/>
                <w:b/>
                <w:bCs/>
                <w:sz w:val="22"/>
                <w:szCs w:val="22"/>
              </w:rPr>
              <w:t>Matériel</w:t>
            </w:r>
          </w:p>
        </w:tc>
        <w:tc>
          <w:tcPr>
            <w:tcW w:w="453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jc w:val="center"/>
              <w:rPr/>
            </w:pPr>
            <w:r>
              <w:rPr>
                <w:rFonts w:eastAsia="Times New Roman" w:cs="Times New Roman"/>
                <w:b/>
                <w:bCs/>
                <w:sz w:val="22"/>
                <w:szCs w:val="22"/>
              </w:rPr>
              <w:t>Où le trouver (sans achat)</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Une bouteille plastique souple de 1,5 L avec son bouchon</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Bouteille vide récupérée</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Un tampon de coton ou un morceau de tissu blanc</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Trousse de secours de l’école ou vieux tee-shirt blanc</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Une cigarette</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Cigarette récupérée auprès d’un adulte fumeur volontaire ou confisquée (aucun achat par les élèves)</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Un clou et une bougie ou un foyer</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Atelier et cuisine de l’école</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Des allumettes</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Cuisine</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Un peu d’eau et une feuille de papier blanc</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Salle de classe</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Un seau d’eau</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Pour éteindre et jeter le mégot</w:t>
            </w:r>
          </w:p>
        </w:tc>
      </w:tr>
    </w:tbl>
    <w:p>
      <w:pPr>
        <w:pStyle w:val="Normal"/>
        <w:spacing w:lineRule="auto" w:line="240" w:before="60" w:after="240"/>
        <w:rPr/>
      </w:pPr>
      <w:r>
        <w:rPr>
          <w:rFonts w:eastAsia="Times New Roman" w:cs="Times New Roman"/>
          <w:i/>
          <w:iCs/>
          <w:sz w:val="22"/>
          <w:szCs w:val="22"/>
        </w:rPr>
        <w:t>Source : Réalisation de l’auteur (2026).</w:t>
      </w:r>
    </w:p>
    <w:p>
      <w:pPr>
        <w:pStyle w:val="Heading2"/>
        <w:rPr/>
      </w:pPr>
      <w:bookmarkStart w:id="17" w:name="__RefHeading___Toc989_346879323"/>
      <w:bookmarkEnd w:id="17"/>
      <w:r>
        <w:rPr>
          <w:rFonts w:eastAsia="Times New Roman" w:cs="Times New Roman" w:ascii="Times New Roman" w:hAnsi="Times New Roman"/>
        </w:rPr>
        <w:t>2.4. Démarche</w:t>
      </w:r>
    </w:p>
    <w:p>
      <w:pPr>
        <w:pStyle w:val="ListParagraph"/>
        <w:numPr>
          <w:ilvl w:val="0"/>
          <w:numId w:val="53"/>
        </w:numPr>
        <w:spacing w:lineRule="auto" w:line="360" w:before="0" w:after="40"/>
        <w:jc w:val="both"/>
        <w:rPr/>
      </w:pPr>
      <w:r>
        <w:rPr>
          <w:rFonts w:eastAsia="Times New Roman" w:cs="Times New Roman"/>
        </w:rPr>
        <w:t>Chauffer la pointe du clou et percer le bouchon d’un trou du diamètre de la cigarette (formateur).</w:t>
      </w:r>
    </w:p>
    <w:p>
      <w:pPr>
        <w:pStyle w:val="ListParagraph"/>
        <w:numPr>
          <w:ilvl w:val="0"/>
          <w:numId w:val="54"/>
        </w:numPr>
        <w:spacing w:lineRule="auto" w:line="360" w:before="0" w:after="40"/>
        <w:jc w:val="both"/>
        <w:rPr/>
      </w:pPr>
      <w:r>
        <w:rPr>
          <w:rFonts w:eastAsia="Times New Roman" w:cs="Times New Roman"/>
        </w:rPr>
        <w:t>Placer le tampon de coton blanc dans le goulot, juste sous le bouchon : il représente les poumons.</w:t>
      </w:r>
    </w:p>
    <w:p>
      <w:pPr>
        <w:pStyle w:val="ListParagraph"/>
        <w:numPr>
          <w:ilvl w:val="0"/>
          <w:numId w:val="55"/>
        </w:numPr>
        <w:spacing w:lineRule="auto" w:line="360" w:before="0" w:after="40"/>
        <w:jc w:val="both"/>
        <w:rPr/>
      </w:pPr>
      <w:r>
        <w:rPr>
          <w:rFonts w:eastAsia="Times New Roman" w:cs="Times New Roman"/>
        </w:rPr>
        <w:t>Verser 2 à 3 cm d’eau au fond de la bouteille.</w:t>
      </w:r>
    </w:p>
    <w:p>
      <w:pPr>
        <w:pStyle w:val="ListParagraph"/>
        <w:numPr>
          <w:ilvl w:val="0"/>
          <w:numId w:val="56"/>
        </w:numPr>
        <w:spacing w:lineRule="auto" w:line="360" w:before="0" w:after="40"/>
        <w:jc w:val="both"/>
        <w:rPr/>
      </w:pPr>
      <w:r>
        <w:rPr>
          <w:rFonts w:eastAsia="Times New Roman" w:cs="Times New Roman"/>
        </w:rPr>
        <w:t>Enfoncer la cigarette dans le trou du bouchon (filtre vers l’intérieur), puis revisser le bouchon.</w:t>
      </w:r>
    </w:p>
    <w:p>
      <w:pPr>
        <w:pStyle w:val="ListParagraph"/>
        <w:numPr>
          <w:ilvl w:val="0"/>
          <w:numId w:val="57"/>
        </w:numPr>
        <w:spacing w:lineRule="auto" w:line="360" w:before="0" w:after="40"/>
        <w:jc w:val="both"/>
        <w:rPr/>
      </w:pPr>
      <w:r>
        <w:rPr>
          <w:rFonts w:eastAsia="Times New Roman" w:cs="Times New Roman"/>
        </w:rPr>
        <w:t>En plein air, le formateur presse la bouteille, allume la cigarette, puis relâche lentement : la bouteille « aspire » la fumée. Répéter une dizaine de fois, jusqu’à ce que la cigarette soit consumée.</w:t>
      </w:r>
    </w:p>
    <w:p>
      <w:pPr>
        <w:pStyle w:val="ListParagraph"/>
        <w:numPr>
          <w:ilvl w:val="0"/>
          <w:numId w:val="58"/>
        </w:numPr>
        <w:spacing w:lineRule="auto" w:line="360" w:before="0" w:after="120"/>
        <w:jc w:val="both"/>
        <w:rPr/>
      </w:pPr>
      <w:r>
        <w:rPr>
          <w:rFonts w:eastAsia="Times New Roman" w:cs="Times New Roman"/>
        </w:rPr>
        <w:t>Éteindre le mégot dans le seau d’eau. Retirer le coton et le comparer à un coton neuf (témoin). Le frotter sur le papier blanc et sentir l’eau.</w:t>
      </w:r>
    </w:p>
    <w:p>
      <w:pPr>
        <w:pStyle w:val="Caption"/>
        <w:keepNext w:val="true"/>
        <w:spacing w:lineRule="auto" w:line="240" w:before="200" w:after="100"/>
        <w:jc w:val="center"/>
        <w:rPr/>
      </w:pPr>
      <w:r>
        <w:rPr>
          <w:rFonts w:eastAsia="Times New Roman" w:cs="Times New Roman"/>
          <w:b/>
          <w:bCs/>
          <w:sz w:val="22"/>
          <w:szCs w:val="22"/>
        </w:rPr>
        <w:t xml:space="preserve">Figure </w:t>
      </w:r>
      <w:r>
        <w:rPr>
          <w:rFonts w:cs="Times New Roman"/>
          <w:b/>
          <w:bCs/>
          <w:sz w:val="22"/>
          <w:szCs w:val="22"/>
        </w:rPr>
        <w:fldChar w:fldCharType="begin"/>
      </w:r>
      <w:r>
        <w:rPr>
          <w:sz w:val="22"/>
          <w:b/>
          <w:szCs w:val="22"/>
          <w:bCs/>
          <w:rFonts w:cs="Times New Roman"/>
        </w:rPr>
        <w:instrText xml:space="preserve"> SEQ Figure \* ARABIC </w:instrText>
      </w:r>
      <w:r>
        <w:rPr>
          <w:sz w:val="22"/>
          <w:b/>
          <w:szCs w:val="22"/>
          <w:bCs/>
          <w:rFonts w:cs="Times New Roman"/>
        </w:rPr>
        <w:fldChar w:fldCharType="separate"/>
      </w:r>
      <w:r>
        <w:rPr>
          <w:sz w:val="22"/>
          <w:b/>
          <w:szCs w:val="22"/>
          <w:bCs/>
          <w:rFonts w:cs="Times New Roman"/>
        </w:rPr>
        <w:t>3</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Dispositif de l’expérience 2 : goudron du tabac</w:t>
      </w:r>
    </w:p>
    <w:p>
      <w:pPr>
        <w:pStyle w:val="Normal"/>
        <w:keepNext w:val="true"/>
        <w:spacing w:lineRule="auto" w:line="240"/>
        <w:jc w:val="center"/>
        <w:rPr/>
      </w:pPr>
      <w:r>
        <w:rPr/>
        <w:drawing>
          <wp:inline distT="0" distB="0" distL="0" distR="0">
            <wp:extent cx="5400675" cy="39624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12"/>
                    <a:stretch>
                      <a:fillRect/>
                    </a:stretch>
                  </pic:blipFill>
                  <pic:spPr bwMode="auto">
                    <a:xfrm>
                      <a:off x="0" y="0"/>
                      <a:ext cx="5400675" cy="3962400"/>
                    </a:xfrm>
                    <a:prstGeom prst="rect">
                      <a:avLst/>
                    </a:prstGeom>
                  </pic:spPr>
                </pic:pic>
              </a:graphicData>
            </a:graphic>
          </wp:inline>
        </w:drawing>
      </w:r>
    </w:p>
    <w:p>
      <w:pPr>
        <w:pStyle w:val="Normal"/>
        <w:spacing w:lineRule="auto" w:line="240" w:before="60" w:after="240"/>
        <w:rPr/>
      </w:pPr>
      <w:r>
        <w:rPr>
          <w:rFonts w:eastAsia="Times New Roman" w:cs="Times New Roman"/>
          <w:i/>
          <w:iCs/>
          <w:sz w:val="22"/>
          <w:szCs w:val="22"/>
        </w:rPr>
        <w:t>Source : Réalisation de l’auteur (2026), d’après le support de cours de l’EC2 « Maladies et hygiène » (2STE1275).</w:t>
      </w:r>
    </w:p>
    <w:p>
      <w:pPr>
        <w:pStyle w:val="Heading2"/>
        <w:rPr/>
      </w:pPr>
      <w:bookmarkStart w:id="18" w:name="__RefHeading___Toc991_346879323"/>
      <w:bookmarkEnd w:id="18"/>
      <w:r>
        <w:rPr>
          <w:rFonts w:eastAsia="Times New Roman" w:cs="Times New Roman" w:ascii="Times New Roman" w:hAnsi="Times New Roman"/>
        </w:rPr>
        <w:t>2.5. Observations attendues</w:t>
      </w:r>
    </w:p>
    <w:p>
      <w:pPr>
        <w:pStyle w:val="ListParagraph"/>
        <w:numPr>
          <w:ilvl w:val="0"/>
          <w:numId w:val="59"/>
        </w:numPr>
        <w:spacing w:lineRule="auto" w:line="360" w:before="0" w:after="40"/>
        <w:jc w:val="both"/>
        <w:rPr/>
      </w:pPr>
      <w:r>
        <w:rPr>
          <w:rFonts w:eastAsia="Times New Roman" w:cs="Times New Roman"/>
        </w:rPr>
        <w:t>Le coton, blanc au départ, devient jaune puis brun ; il est collant.</w:t>
      </w:r>
    </w:p>
    <w:p>
      <w:pPr>
        <w:pStyle w:val="ListParagraph"/>
        <w:numPr>
          <w:ilvl w:val="0"/>
          <w:numId w:val="60"/>
        </w:numPr>
        <w:spacing w:lineRule="auto" w:line="360" w:before="0" w:after="40"/>
        <w:jc w:val="both"/>
        <w:rPr/>
      </w:pPr>
      <w:r>
        <w:rPr>
          <w:rFonts w:eastAsia="Times New Roman" w:cs="Times New Roman"/>
        </w:rPr>
        <w:t>Le coton frotté laisse une trace brune sur le papier.</w:t>
      </w:r>
    </w:p>
    <w:p>
      <w:pPr>
        <w:pStyle w:val="ListParagraph"/>
        <w:numPr>
          <w:ilvl w:val="0"/>
          <w:numId w:val="61"/>
        </w:numPr>
        <w:spacing w:lineRule="auto" w:line="360" w:before="0" w:after="120"/>
        <w:jc w:val="both"/>
        <w:rPr/>
      </w:pPr>
      <w:r>
        <w:rPr>
          <w:rFonts w:eastAsia="Times New Roman" w:cs="Times New Roman"/>
        </w:rPr>
        <w:t>L’eau jaunit et dégage une odeur âcre ; les parois de la bouteille se ternissent.</w:t>
      </w:r>
    </w:p>
    <w:p>
      <w:pPr>
        <w:pStyle w:val="Heading2"/>
        <w:rPr/>
      </w:pPr>
      <w:bookmarkStart w:id="19" w:name="__RefHeading___Toc993_346879323"/>
      <w:bookmarkEnd w:id="19"/>
      <w:r>
        <w:rPr>
          <w:rFonts w:eastAsia="Times New Roman" w:cs="Times New Roman" w:ascii="Times New Roman" w:hAnsi="Times New Roman"/>
        </w:rPr>
        <w:t>2.6. Interprétation et conclusion</w:t>
      </w:r>
    </w:p>
    <w:p>
      <w:pPr>
        <w:pStyle w:val="ListParagraph"/>
        <w:numPr>
          <w:ilvl w:val="0"/>
          <w:numId w:val="62"/>
        </w:numPr>
        <w:spacing w:lineRule="auto" w:line="360" w:before="0" w:after="40"/>
        <w:jc w:val="both"/>
        <w:rPr/>
      </w:pPr>
      <w:r>
        <w:rPr>
          <w:rFonts w:eastAsia="Times New Roman" w:cs="Times New Roman"/>
        </w:rPr>
        <w:t>La fumée transporte des goudrons et de la nicotine qui se déposent sur le coton, comme ils se déposent dans les bronches et les poumons du fumeur.</w:t>
      </w:r>
    </w:p>
    <w:p>
      <w:pPr>
        <w:pStyle w:val="ListParagraph"/>
        <w:numPr>
          <w:ilvl w:val="0"/>
          <w:numId w:val="63"/>
        </w:numPr>
        <w:spacing w:lineRule="auto" w:line="360" w:before="0" w:after="40"/>
        <w:jc w:val="both"/>
        <w:rPr/>
      </w:pPr>
      <w:r>
        <w:rPr>
          <w:rFonts w:eastAsia="Times New Roman" w:cs="Times New Roman"/>
        </w:rPr>
        <w:t>Ces dépôts expliquent la toux, le souffle court, la mauvaise haleine et le cancer des poumons (effets cités au chapitre 4).</w:t>
      </w:r>
    </w:p>
    <w:p>
      <w:pPr>
        <w:pStyle w:val="ListParagraph"/>
        <w:numPr>
          <w:ilvl w:val="0"/>
          <w:numId w:val="64"/>
        </w:numPr>
        <w:spacing w:lineRule="auto" w:line="360" w:before="0" w:after="120"/>
        <w:jc w:val="both"/>
        <w:rPr/>
      </w:pPr>
      <w:r>
        <w:rPr>
          <w:rFonts w:eastAsia="Times New Roman" w:cs="Times New Roman"/>
        </w:rPr>
        <w:t>Les personnes qui respirent la fumée des autres (fumeurs passifs) sont également exposées.</w:t>
      </w:r>
    </w:p>
    <w:p>
      <w:pPr>
        <w:pStyle w:val="Heading2"/>
        <w:rPr/>
      </w:pPr>
      <w:bookmarkStart w:id="20" w:name="__RefHeading___Toc995_346879323"/>
      <w:bookmarkEnd w:id="20"/>
      <w:r>
        <w:rPr>
          <w:rFonts w:eastAsia="Times New Roman" w:cs="Times New Roman" w:ascii="Times New Roman" w:hAnsi="Times New Roman"/>
        </w:rPr>
        <w:t>2.7. Précautions de sécurité</w:t>
      </w:r>
    </w:p>
    <w:p>
      <w:pPr>
        <w:pStyle w:val="ListParagraph"/>
        <w:numPr>
          <w:ilvl w:val="0"/>
          <w:numId w:val="65"/>
        </w:numPr>
        <w:spacing w:lineRule="auto" w:line="360" w:before="0" w:after="40"/>
        <w:jc w:val="both"/>
        <w:rPr/>
      </w:pPr>
      <w:r>
        <w:rPr>
          <w:rFonts w:eastAsia="Times New Roman" w:cs="Times New Roman"/>
        </w:rPr>
        <w:t>L’expérience est réalisée uniquement par le formateur, en plein air.</w:t>
      </w:r>
    </w:p>
    <w:p>
      <w:pPr>
        <w:pStyle w:val="ListParagraph"/>
        <w:numPr>
          <w:ilvl w:val="0"/>
          <w:numId w:val="66"/>
        </w:numPr>
        <w:spacing w:lineRule="auto" w:line="360" w:before="0" w:after="40"/>
        <w:jc w:val="both"/>
        <w:rPr/>
      </w:pPr>
      <w:r>
        <w:rPr>
          <w:rFonts w:eastAsia="Times New Roman" w:cs="Times New Roman"/>
        </w:rPr>
        <w:t>Les élèves se tiennent à au moins 3 m, dos au vent, et n’inhalent jamais la fumée.</w:t>
      </w:r>
    </w:p>
    <w:p>
      <w:pPr>
        <w:pStyle w:val="ListParagraph"/>
        <w:numPr>
          <w:ilvl w:val="0"/>
          <w:numId w:val="67"/>
        </w:numPr>
        <w:spacing w:lineRule="auto" w:line="360" w:before="0" w:after="40"/>
        <w:jc w:val="both"/>
        <w:rPr/>
      </w:pPr>
      <w:r>
        <w:rPr>
          <w:rFonts w:eastAsia="Times New Roman" w:cs="Times New Roman"/>
        </w:rPr>
        <w:t>Ne jamais faire fumer un élève.</w:t>
      </w:r>
    </w:p>
    <w:p>
      <w:pPr>
        <w:pStyle w:val="ListParagraph"/>
        <w:numPr>
          <w:ilvl w:val="0"/>
          <w:numId w:val="68"/>
        </w:numPr>
        <w:spacing w:lineRule="auto" w:line="360" w:before="0" w:after="120"/>
        <w:jc w:val="both"/>
        <w:rPr/>
      </w:pPr>
      <w:r>
        <w:rPr>
          <w:rFonts w:eastAsia="Times New Roman" w:cs="Times New Roman"/>
        </w:rPr>
        <w:t>Garder le seau d’eau à portée de main ; éteindre le mégot dans l’eau.</w:t>
      </w:r>
    </w:p>
    <w:p>
      <w:pPr>
        <w:pStyle w:val="Heading2"/>
        <w:rPr/>
      </w:pPr>
      <w:bookmarkStart w:id="21" w:name="__RefHeading___Toc997_346879323"/>
      <w:bookmarkEnd w:id="21"/>
      <w:r>
        <w:rPr>
          <w:rFonts w:eastAsia="Times New Roman" w:cs="Times New Roman" w:ascii="Times New Roman" w:hAnsi="Times New Roman"/>
        </w:rPr>
        <w:t>2.8. Prolongements</w:t>
      </w:r>
    </w:p>
    <w:p>
      <w:pPr>
        <w:pStyle w:val="ListParagraph"/>
        <w:numPr>
          <w:ilvl w:val="0"/>
          <w:numId w:val="69"/>
        </w:numPr>
        <w:spacing w:lineRule="auto" w:line="360" w:before="0" w:after="40"/>
        <w:jc w:val="both"/>
        <w:rPr/>
      </w:pPr>
      <w:r>
        <w:rPr>
          <w:rFonts w:eastAsia="Times New Roman" w:cs="Times New Roman"/>
        </w:rPr>
        <w:t>Coller le coton noirci sur une affiche : « Le tabac noircit tes poumons ».</w:t>
      </w:r>
    </w:p>
    <w:p>
      <w:pPr>
        <w:pStyle w:val="ListParagraph"/>
        <w:numPr>
          <w:ilvl w:val="0"/>
          <w:numId w:val="70"/>
        </w:numPr>
        <w:spacing w:lineRule="auto" w:line="360" w:before="0" w:after="120"/>
        <w:jc w:val="both"/>
        <w:rPr/>
        <w:sectPr>
          <w:footerReference w:type="even" r:id="rId13"/>
          <w:footerReference w:type="default" r:id="rId14"/>
          <w:footerReference w:type="first" r:id="rId15"/>
          <w:type w:val="nextPage"/>
          <w:pgSz w:w="11906" w:h="16838"/>
          <w:pgMar w:left="1418" w:right="1418" w:gutter="0" w:header="0" w:top="1418" w:footer="567" w:bottom="1418"/>
          <w:pgNumType w:fmt="decimal"/>
          <w:formProt w:val="false"/>
          <w:textDirection w:val="lrTb"/>
          <w:docGrid w:type="default" w:linePitch="360" w:charSpace="0"/>
        </w:sectPr>
      </w:pPr>
      <w:r>
        <w:rPr>
          <w:rFonts w:eastAsia="Times New Roman" w:cs="Times New Roman"/>
        </w:rPr>
        <w:t>Calculer le nombre de cigarettes fumées en un an par une personne qui fume un paquet par jour (20 × 365 = 7 300).</w:t>
      </w:r>
    </w:p>
    <w:p>
      <w:pPr>
        <w:pStyle w:val="Heading2"/>
        <w:rPr/>
      </w:pPr>
      <w:bookmarkStart w:id="22" w:name="__RefHeading___Toc999_346879323"/>
      <w:bookmarkEnd w:id="22"/>
      <w:r>
        <w:rPr>
          <w:rFonts w:eastAsia="Times New Roman" w:cs="Times New Roman" w:ascii="Times New Roman" w:hAnsi="Times New Roman"/>
        </w:rPr>
        <w:t>2.9. Schéma directeur (Freeplane)</w:t>
      </w:r>
    </w:p>
    <w:p>
      <w:pPr>
        <w:pStyle w:val="Normal"/>
        <w:spacing w:lineRule="auto" w:line="360" w:before="0" w:after="120"/>
        <w:jc w:val="both"/>
        <w:rPr/>
      </w:pPr>
      <w:r>
        <w:rPr>
          <w:rFonts w:eastAsia="Times New Roman" w:cs="Times New Roman"/>
        </w:rPr>
        <w:t xml:space="preserve">Fichier source : </w:t>
      </w:r>
      <w:r>
        <w:rPr>
          <w:rFonts w:eastAsia="Times New Roman" w:cs="Times New Roman"/>
          <w:i/>
          <w:iCs/>
        </w:rPr>
        <w:t>exp2_schema_directeur.mm</w:t>
      </w:r>
      <w:r>
        <w:rPr>
          <w:rFonts w:eastAsia="Times New Roman" w:cs="Times New Roman"/>
        </w:rPr>
        <w:t>, à ouvrir avec Freeplane.</w:t>
      </w:r>
    </w:p>
    <w:p>
      <w:pPr>
        <w:pStyle w:val="Caption"/>
        <w:keepNext w:val="true"/>
        <w:spacing w:lineRule="auto" w:line="240" w:before="200" w:after="100"/>
        <w:jc w:val="center"/>
        <w:rPr/>
      </w:pPr>
      <w:r>
        <w:rPr>
          <w:rFonts w:eastAsia="Times New Roman" w:cs="Times New Roman"/>
          <w:b/>
          <w:bCs/>
          <w:sz w:val="22"/>
          <w:szCs w:val="22"/>
        </w:rPr>
        <w:t xml:space="preserve">Figure </w:t>
      </w:r>
      <w:r>
        <w:rPr>
          <w:rFonts w:cs="Times New Roman"/>
          <w:b/>
          <w:bCs/>
          <w:sz w:val="22"/>
          <w:szCs w:val="22"/>
        </w:rPr>
        <w:fldChar w:fldCharType="begin"/>
      </w:r>
      <w:r>
        <w:rPr>
          <w:sz w:val="22"/>
          <w:b/>
          <w:szCs w:val="22"/>
          <w:bCs/>
          <w:rFonts w:cs="Times New Roman"/>
        </w:rPr>
        <w:instrText xml:space="preserve"> SEQ Figure \* ARABIC </w:instrText>
      </w:r>
      <w:r>
        <w:rPr>
          <w:sz w:val="22"/>
          <w:b/>
          <w:szCs w:val="22"/>
          <w:bCs/>
          <w:rFonts w:cs="Times New Roman"/>
        </w:rPr>
        <w:fldChar w:fldCharType="separate"/>
      </w:r>
      <w:r>
        <w:rPr>
          <w:sz w:val="22"/>
          <w:b/>
          <w:szCs w:val="22"/>
          <w:bCs/>
          <w:rFonts w:cs="Times New Roman"/>
        </w:rPr>
        <w:t>4</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Schéma directeur de l’expérience 2 : goudron du tabac</w:t>
      </w:r>
    </w:p>
    <w:p>
      <w:pPr>
        <w:pStyle w:val="Normal"/>
        <w:keepNext w:val="true"/>
        <w:spacing w:lineRule="auto" w:line="240"/>
        <w:jc w:val="center"/>
        <w:rPr/>
      </w:pPr>
      <w:r>
        <w:rPr/>
        <w:drawing>
          <wp:inline distT="0" distB="0" distL="0" distR="0">
            <wp:extent cx="8810625" cy="328612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16"/>
                    <a:stretch>
                      <a:fillRect/>
                    </a:stretch>
                  </pic:blipFill>
                  <pic:spPr bwMode="auto">
                    <a:xfrm>
                      <a:off x="0" y="0"/>
                      <a:ext cx="8810625" cy="3286125"/>
                    </a:xfrm>
                    <a:prstGeom prst="rect">
                      <a:avLst/>
                    </a:prstGeom>
                  </pic:spPr>
                </pic:pic>
              </a:graphicData>
            </a:graphic>
          </wp:inline>
        </w:drawing>
      </w:r>
    </w:p>
    <w:p>
      <w:pPr>
        <w:pStyle w:val="Normal"/>
        <w:spacing w:lineRule="auto" w:line="240" w:before="60" w:after="240"/>
        <w:rPr/>
        <w:sectPr>
          <w:footerReference w:type="even" r:id="rId17"/>
          <w:footerReference w:type="default" r:id="rId18"/>
          <w:footerReference w:type="first" r:id="rId19"/>
          <w:type w:val="nextPage"/>
          <w:pgSz w:orient="landscape" w:w="16838" w:h="11906"/>
          <w:pgMar w:left="1418" w:right="1418" w:gutter="0" w:header="0" w:top="1418" w:footer="567" w:bottom="1418"/>
          <w:pgNumType w:fmt="decimal"/>
          <w:formProt w:val="false"/>
          <w:textDirection w:val="lrTb"/>
          <w:docGrid w:type="default" w:linePitch="360" w:charSpace="0"/>
        </w:sectPr>
      </w:pPr>
      <w:r>
        <w:rPr>
          <w:rFonts w:eastAsia="Times New Roman" w:cs="Times New Roman"/>
          <w:i/>
          <w:iCs/>
          <w:sz w:val="22"/>
          <w:szCs w:val="22"/>
        </w:rPr>
        <w:t>Source : Réalisation de l’auteur (2026) avec Freeplane, d’après le support de cours de l’EC2 (2STE1275).</w:t>
      </w:r>
    </w:p>
    <w:p>
      <w:pPr>
        <w:pStyle w:val="Heading1"/>
        <w:rPr/>
      </w:pPr>
      <w:bookmarkStart w:id="23" w:name="__RefHeading___Toc1001_346879323"/>
      <w:bookmarkEnd w:id="23"/>
      <w:r>
        <w:rPr>
          <w:rFonts w:eastAsia="Times New Roman" w:cs="Times New Roman" w:ascii="Times New Roman" w:hAnsi="Times New Roman"/>
        </w:rPr>
        <w:t>EXPÉRIENCE 3 : RENDRE VISIBLES LES MICROBES DES MAINS SALES</w:t>
      </w:r>
    </w:p>
    <w:p>
      <w:pPr>
        <w:pStyle w:val="Caption"/>
        <w:keepNext w:val="true"/>
        <w:spacing w:lineRule="auto" w:line="240" w:before="200" w:after="100"/>
        <w:jc w:val="center"/>
        <w:rPr/>
      </w:pPr>
      <w:r>
        <w:rPr>
          <w:rFonts w:eastAsia="Times New Roman" w:cs="Times New Roman"/>
          <w:b/>
          <w:bCs/>
          <w:sz w:val="22"/>
          <w:szCs w:val="22"/>
        </w:rPr>
        <w:t xml:space="preserve">Tableau </w:t>
      </w:r>
      <w:r>
        <w:rPr>
          <w:rFonts w:cs="Times New Roman"/>
          <w:b/>
          <w:bCs/>
          <w:sz w:val="22"/>
          <w:szCs w:val="22"/>
        </w:rPr>
        <w:fldChar w:fldCharType="begin"/>
      </w:r>
      <w:r>
        <w:rPr>
          <w:sz w:val="22"/>
          <w:b/>
          <w:szCs w:val="22"/>
          <w:bCs/>
          <w:rFonts w:cs="Times New Roman"/>
        </w:rPr>
        <w:instrText xml:space="preserve"> SEQ Tableau \* ARABIC </w:instrText>
      </w:r>
      <w:r>
        <w:rPr>
          <w:sz w:val="22"/>
          <w:b/>
          <w:szCs w:val="22"/>
          <w:bCs/>
          <w:rFonts w:cs="Times New Roman"/>
        </w:rPr>
        <w:fldChar w:fldCharType="separate"/>
      </w:r>
      <w:r>
        <w:rPr>
          <w:sz w:val="22"/>
          <w:b/>
          <w:szCs w:val="22"/>
          <w:bCs/>
          <w:rFonts w:cs="Times New Roman"/>
        </w:rPr>
        <w:t>6</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Fiche signalétique de l’expérience 3</w:t>
      </w:r>
    </w:p>
    <w:tbl>
      <w:tblPr>
        <w:tblW w:w="9072" w:type="dxa"/>
        <w:jc w:val="center"/>
        <w:tblInd w:w="0" w:type="dxa"/>
        <w:tblLayout w:type="fixed"/>
        <w:tblCellMar>
          <w:top w:w="40" w:type="dxa"/>
          <w:left w:w="80" w:type="dxa"/>
          <w:bottom w:w="40" w:type="dxa"/>
          <w:right w:w="80" w:type="dxa"/>
        </w:tblCellMar>
      </w:tblPr>
      <w:tblGrid>
        <w:gridCol w:w="2268"/>
        <w:gridCol w:w="6803"/>
      </w:tblGrid>
      <w:tr>
        <w:trPr>
          <w:cantSplit w:val="true"/>
        </w:trPr>
        <w:tc>
          <w:tcPr>
            <w:tcW w:w="226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jc w:val="left"/>
              <w:rPr/>
            </w:pPr>
            <w:r>
              <w:rPr>
                <w:rFonts w:eastAsia="Times New Roman" w:cs="Times New Roman"/>
                <w:b/>
                <w:bCs/>
                <w:sz w:val="22"/>
                <w:szCs w:val="22"/>
              </w:rPr>
              <w:t>Lien avec le cours</w:t>
            </w:r>
          </w:p>
        </w:tc>
        <w:tc>
          <w:tcPr>
            <w:tcW w:w="68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b w:val="false"/>
                <w:bCs w:val="false"/>
                <w:sz w:val="22"/>
                <w:szCs w:val="22"/>
              </w:rPr>
              <w:t>Chapitre 1 (maladies microbiennes : définition du microbe, moyens de prévention par le lavage des mains) ; chapitre 3 (prévention de la fièvre Ebola par le lavage des mains à l’eau et au savon)</w:t>
            </w:r>
          </w:p>
        </w:tc>
      </w:tr>
      <w:tr>
        <w:trPr>
          <w:cantSplit w:val="true"/>
        </w:trPr>
        <w:tc>
          <w:tcPr>
            <w:tcW w:w="226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jc w:val="left"/>
              <w:rPr/>
            </w:pPr>
            <w:r>
              <w:rPr>
                <w:rFonts w:eastAsia="Times New Roman" w:cs="Times New Roman"/>
                <w:b/>
                <w:bCs/>
                <w:sz w:val="22"/>
                <w:szCs w:val="22"/>
              </w:rPr>
              <w:t>Durée</w:t>
            </w:r>
          </w:p>
        </w:tc>
        <w:tc>
          <w:tcPr>
            <w:tcW w:w="68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b w:val="false"/>
                <w:bCs w:val="false"/>
                <w:sz w:val="22"/>
                <w:szCs w:val="22"/>
              </w:rPr>
              <w:t>20 min de préparation ; 5 à 7 jours d’observation</w:t>
            </w:r>
          </w:p>
        </w:tc>
      </w:tr>
      <w:tr>
        <w:trPr>
          <w:cantSplit w:val="true"/>
        </w:trPr>
        <w:tc>
          <w:tcPr>
            <w:tcW w:w="226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jc w:val="left"/>
              <w:rPr/>
            </w:pPr>
            <w:r>
              <w:rPr>
                <w:rFonts w:eastAsia="Times New Roman" w:cs="Times New Roman"/>
                <w:b/>
                <w:bCs/>
                <w:sz w:val="22"/>
                <w:szCs w:val="22"/>
              </w:rPr>
              <w:t>Public</w:t>
            </w:r>
          </w:p>
        </w:tc>
        <w:tc>
          <w:tcPr>
            <w:tcW w:w="68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b w:val="false"/>
                <w:bCs w:val="false"/>
                <w:sz w:val="22"/>
                <w:szCs w:val="22"/>
              </w:rPr>
              <w:t>Élèves-professeurs d’école ; transposable au CM1-CM2</w:t>
            </w:r>
          </w:p>
        </w:tc>
      </w:tr>
      <w:tr>
        <w:trPr>
          <w:cantSplit w:val="true"/>
        </w:trPr>
        <w:tc>
          <w:tcPr>
            <w:tcW w:w="226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jc w:val="left"/>
              <w:rPr/>
            </w:pPr>
            <w:r>
              <w:rPr>
                <w:rFonts w:eastAsia="Times New Roman" w:cs="Times New Roman"/>
                <w:b/>
                <w:bCs/>
                <w:sz w:val="22"/>
                <w:szCs w:val="22"/>
              </w:rPr>
              <w:t>Coût</w:t>
            </w:r>
          </w:p>
        </w:tc>
        <w:tc>
          <w:tcPr>
            <w:tcW w:w="68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b w:val="false"/>
                <w:bCs w:val="false"/>
                <w:sz w:val="22"/>
                <w:szCs w:val="22"/>
              </w:rPr>
              <w:t>Aucun : matériel récupéré ou disponible à l’école</w:t>
            </w:r>
          </w:p>
        </w:tc>
      </w:tr>
    </w:tbl>
    <w:p>
      <w:pPr>
        <w:pStyle w:val="Normal"/>
        <w:spacing w:lineRule="auto" w:line="240" w:before="60" w:after="240"/>
        <w:rPr/>
      </w:pPr>
      <w:r>
        <w:rPr>
          <w:rFonts w:eastAsia="Times New Roman" w:cs="Times New Roman"/>
          <w:i/>
          <w:iCs/>
          <w:sz w:val="22"/>
          <w:szCs w:val="22"/>
        </w:rPr>
        <w:t>Source : Réalisation de l’auteur (2026), d’après le support de cours de l’EC2 (2STE1275).</w:t>
      </w:r>
    </w:p>
    <w:p>
      <w:pPr>
        <w:pStyle w:val="Heading2"/>
        <w:rPr/>
      </w:pPr>
      <w:bookmarkStart w:id="24" w:name="__RefHeading___Toc1003_346879323"/>
      <w:bookmarkEnd w:id="24"/>
      <w:r>
        <w:rPr>
          <w:rFonts w:eastAsia="Times New Roman" w:cs="Times New Roman" w:ascii="Times New Roman" w:hAnsi="Times New Roman"/>
        </w:rPr>
        <w:t>3.1. Situation-problème</w:t>
      </w:r>
    </w:p>
    <w:p>
      <w:pPr>
        <w:pStyle w:val="Normal"/>
        <w:spacing w:lineRule="auto" w:line="360" w:before="0" w:after="120"/>
        <w:ind w:firstLine="709"/>
        <w:jc w:val="both"/>
        <w:rPr/>
      </w:pPr>
      <w:r>
        <w:rPr>
          <w:rFonts w:eastAsia="Times New Roman" w:cs="Times New Roman"/>
        </w:rPr>
        <w:t>Après la récréation, des élèves mangent sans se laver les mains, car « les mains sont propres puisqu’on ne voit rien dessus ». Comment leur montrer ce qu’on ne voit pas ?</w:t>
      </w:r>
    </w:p>
    <w:p>
      <w:pPr>
        <w:pStyle w:val="Heading2"/>
        <w:rPr/>
      </w:pPr>
      <w:bookmarkStart w:id="25" w:name="__RefHeading___Toc1005_346879323"/>
      <w:bookmarkEnd w:id="25"/>
      <w:r>
        <w:rPr>
          <w:rFonts w:eastAsia="Times New Roman" w:cs="Times New Roman" w:ascii="Times New Roman" w:hAnsi="Times New Roman"/>
        </w:rPr>
        <w:t>3.2. Objectifs</w:t>
      </w:r>
    </w:p>
    <w:p>
      <w:pPr>
        <w:pStyle w:val="ListParagraph"/>
        <w:numPr>
          <w:ilvl w:val="0"/>
          <w:numId w:val="71"/>
        </w:numPr>
        <w:spacing w:lineRule="auto" w:line="360" w:before="0" w:after="40"/>
        <w:jc w:val="both"/>
        <w:rPr/>
      </w:pPr>
      <w:r>
        <w:rPr>
          <w:rFonts w:eastAsia="Times New Roman" w:cs="Times New Roman"/>
        </w:rPr>
        <w:t>Montrer que les mains transportent des microbes invisibles à l’œil nu.</w:t>
      </w:r>
    </w:p>
    <w:p>
      <w:pPr>
        <w:pStyle w:val="ListParagraph"/>
        <w:numPr>
          <w:ilvl w:val="0"/>
          <w:numId w:val="72"/>
        </w:numPr>
        <w:spacing w:lineRule="auto" w:line="360" w:before="0" w:after="40"/>
        <w:jc w:val="both"/>
        <w:rPr/>
      </w:pPr>
      <w:r>
        <w:rPr>
          <w:rFonts w:eastAsia="Times New Roman" w:cs="Times New Roman"/>
        </w:rPr>
        <w:t>Comparer des mains non lavées et des mains lavées à l’eau et au savon.</w:t>
      </w:r>
    </w:p>
    <w:p>
      <w:pPr>
        <w:pStyle w:val="ListParagraph"/>
        <w:numPr>
          <w:ilvl w:val="0"/>
          <w:numId w:val="73"/>
        </w:numPr>
        <w:spacing w:lineRule="auto" w:line="360" w:before="0" w:after="120"/>
        <w:jc w:val="both"/>
        <w:rPr/>
      </w:pPr>
      <w:r>
        <w:rPr>
          <w:rFonts w:eastAsia="Times New Roman" w:cs="Times New Roman"/>
        </w:rPr>
        <w:t>Justifier le lavage des mains comme moyen de prévention du choléra, de l’amibiase et de la fièvre Ebola.</w:t>
      </w:r>
    </w:p>
    <w:p>
      <w:pPr>
        <w:pStyle w:val="Heading2"/>
        <w:rPr/>
      </w:pPr>
      <w:bookmarkStart w:id="26" w:name="__RefHeading___Toc1007_346879323"/>
      <w:bookmarkEnd w:id="26"/>
      <w:r>
        <w:rPr>
          <w:rFonts w:eastAsia="Times New Roman" w:cs="Times New Roman" w:ascii="Times New Roman" w:hAnsi="Times New Roman"/>
        </w:rPr>
        <w:t>3.3. Matériel et ressources locales</w:t>
      </w:r>
    </w:p>
    <w:p>
      <w:pPr>
        <w:pStyle w:val="Caption"/>
        <w:keepNext w:val="true"/>
        <w:spacing w:lineRule="auto" w:line="240" w:before="200" w:after="100"/>
        <w:jc w:val="center"/>
        <w:rPr/>
      </w:pPr>
      <w:r>
        <w:rPr>
          <w:rFonts w:eastAsia="Times New Roman" w:cs="Times New Roman"/>
          <w:b/>
          <w:bCs/>
          <w:sz w:val="22"/>
          <w:szCs w:val="22"/>
        </w:rPr>
        <w:t xml:space="preserve">Tableau </w:t>
      </w:r>
      <w:r>
        <w:rPr>
          <w:rFonts w:cs="Times New Roman"/>
          <w:b/>
          <w:bCs/>
          <w:sz w:val="22"/>
          <w:szCs w:val="22"/>
        </w:rPr>
        <w:fldChar w:fldCharType="begin"/>
      </w:r>
      <w:r>
        <w:rPr>
          <w:sz w:val="22"/>
          <w:b/>
          <w:szCs w:val="22"/>
          <w:bCs/>
          <w:rFonts w:cs="Times New Roman"/>
        </w:rPr>
        <w:instrText xml:space="preserve"> SEQ Tableau \* ARABIC </w:instrText>
      </w:r>
      <w:r>
        <w:rPr>
          <w:sz w:val="22"/>
          <w:b/>
          <w:szCs w:val="22"/>
          <w:bCs/>
          <w:rFonts w:cs="Times New Roman"/>
        </w:rPr>
        <w:fldChar w:fldCharType="separate"/>
      </w:r>
      <w:r>
        <w:rPr>
          <w:sz w:val="22"/>
          <w:b/>
          <w:szCs w:val="22"/>
          <w:bCs/>
          <w:rFonts w:cs="Times New Roman"/>
        </w:rPr>
        <w:t>7</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Matériel de l’expérience 3 et où le trouver</w:t>
      </w:r>
    </w:p>
    <w:tbl>
      <w:tblPr>
        <w:tblW w:w="9072" w:type="dxa"/>
        <w:jc w:val="center"/>
        <w:tblInd w:w="0" w:type="dxa"/>
        <w:tblLayout w:type="fixed"/>
        <w:tblCellMar>
          <w:top w:w="40" w:type="dxa"/>
          <w:left w:w="80" w:type="dxa"/>
          <w:bottom w:w="40" w:type="dxa"/>
          <w:right w:w="80" w:type="dxa"/>
        </w:tblCellMar>
      </w:tblPr>
      <w:tblGrid>
        <w:gridCol w:w="4536"/>
        <w:gridCol w:w="4535"/>
      </w:tblGrid>
      <w:tr>
        <w:trPr>
          <w:tblHeader w:val="true"/>
          <w:cantSplit w:val="true"/>
        </w:trPr>
        <w:tc>
          <w:tcPr>
            <w:tcW w:w="453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jc w:val="center"/>
              <w:rPr/>
            </w:pPr>
            <w:r>
              <w:rPr>
                <w:rFonts w:eastAsia="Times New Roman" w:cs="Times New Roman"/>
                <w:b/>
                <w:bCs/>
                <w:sz w:val="22"/>
                <w:szCs w:val="22"/>
              </w:rPr>
              <w:t>Matériel</w:t>
            </w:r>
          </w:p>
        </w:tc>
        <w:tc>
          <w:tcPr>
            <w:tcW w:w="453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jc w:val="center"/>
              <w:rPr/>
            </w:pPr>
            <w:r>
              <w:rPr>
                <w:rFonts w:eastAsia="Times New Roman" w:cs="Times New Roman"/>
                <w:b/>
                <w:bCs/>
                <w:sz w:val="22"/>
                <w:szCs w:val="22"/>
              </w:rPr>
              <w:t>Où le trouver (sans achat)</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Trois tranches d’un même aliment cuit (igname, patate douce, pâte de maïs, pain rassis)</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Restes du repas de la cantine ou de la maison</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Trois sachets plastiques transparents propres et du fil</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Sachets de sucre ou de glace récupérés</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Une cuillère et un couteau ébouillantés</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Cuisine</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Du savon et de l’eau propre</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Savon local (savon noir, « koto ») du lave-mains de l’école</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Un morceau de charbon ou un stylo pour étiqueter</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Salle de classe</w:t>
            </w:r>
          </w:p>
        </w:tc>
      </w:tr>
    </w:tbl>
    <w:p>
      <w:pPr>
        <w:pStyle w:val="Normal"/>
        <w:spacing w:lineRule="auto" w:line="240" w:before="60" w:after="240"/>
        <w:rPr/>
      </w:pPr>
      <w:r>
        <w:rPr>
          <w:rFonts w:eastAsia="Times New Roman" w:cs="Times New Roman"/>
          <w:i/>
          <w:iCs/>
          <w:sz w:val="22"/>
          <w:szCs w:val="22"/>
        </w:rPr>
        <w:t>Source : Réalisation de l’auteur (2026).</w:t>
      </w:r>
    </w:p>
    <w:p>
      <w:pPr>
        <w:pStyle w:val="Heading2"/>
        <w:rPr/>
      </w:pPr>
      <w:bookmarkStart w:id="27" w:name="__RefHeading___Toc1009_346879323"/>
      <w:bookmarkEnd w:id="27"/>
      <w:r>
        <w:rPr>
          <w:rFonts w:eastAsia="Times New Roman" w:cs="Times New Roman" w:ascii="Times New Roman" w:hAnsi="Times New Roman"/>
        </w:rPr>
        <w:t>3.4. Démarche</w:t>
      </w:r>
    </w:p>
    <w:p>
      <w:pPr>
        <w:pStyle w:val="ListParagraph"/>
        <w:numPr>
          <w:ilvl w:val="0"/>
          <w:numId w:val="74"/>
        </w:numPr>
        <w:spacing w:lineRule="auto" w:line="360" w:before="0" w:after="40"/>
        <w:jc w:val="both"/>
        <w:rPr/>
      </w:pPr>
      <w:r>
        <w:rPr>
          <w:rFonts w:eastAsia="Times New Roman" w:cs="Times New Roman"/>
        </w:rPr>
        <w:t>Ébouillanter la cuillère et le couteau. Couper trois tranches identiques dans l’aliment refroidi.</w:t>
      </w:r>
    </w:p>
    <w:p>
      <w:pPr>
        <w:pStyle w:val="ListParagraph"/>
        <w:numPr>
          <w:ilvl w:val="0"/>
          <w:numId w:val="75"/>
        </w:numPr>
        <w:spacing w:lineRule="auto" w:line="360" w:before="0" w:after="40"/>
        <w:jc w:val="both"/>
        <w:rPr/>
      </w:pPr>
      <w:r>
        <w:rPr>
          <w:rFonts w:eastAsia="Times New Roman" w:cs="Times New Roman"/>
        </w:rPr>
        <w:t>Sachet A (témoin) : glisser la tranche dans le sachet avec la cuillère, sans la toucher.</w:t>
      </w:r>
    </w:p>
    <w:p>
      <w:pPr>
        <w:pStyle w:val="ListParagraph"/>
        <w:numPr>
          <w:ilvl w:val="0"/>
          <w:numId w:val="76"/>
        </w:numPr>
        <w:spacing w:lineRule="auto" w:line="360" w:before="0" w:after="40"/>
        <w:jc w:val="both"/>
        <w:rPr/>
      </w:pPr>
      <w:r>
        <w:rPr>
          <w:rFonts w:eastAsia="Times New Roman" w:cs="Times New Roman"/>
        </w:rPr>
        <w:t>Sachet B : un élève qui vient de jouer dans la cour frotte la tranche avec ses mains non lavées.</w:t>
      </w:r>
    </w:p>
    <w:p>
      <w:pPr>
        <w:pStyle w:val="ListParagraph"/>
        <w:numPr>
          <w:ilvl w:val="0"/>
          <w:numId w:val="77"/>
        </w:numPr>
        <w:spacing w:lineRule="auto" w:line="360" w:before="0" w:after="40"/>
        <w:jc w:val="both"/>
        <w:rPr/>
      </w:pPr>
      <w:r>
        <w:rPr>
          <w:rFonts w:eastAsia="Times New Roman" w:cs="Times New Roman"/>
        </w:rPr>
        <w:t>Sachet C : le même élève se lave les mains 30 secondes à l’eau et au savon (paumes, dos, entre les doigts, ongles), les sèche à l’air, puis touche la tranche de la même façon.</w:t>
      </w:r>
    </w:p>
    <w:p>
      <w:pPr>
        <w:pStyle w:val="ListParagraph"/>
        <w:numPr>
          <w:ilvl w:val="0"/>
          <w:numId w:val="78"/>
        </w:numPr>
        <w:spacing w:lineRule="auto" w:line="360" w:before="0" w:after="40"/>
        <w:jc w:val="both"/>
        <w:rPr/>
      </w:pPr>
      <w:r>
        <w:rPr>
          <w:rFonts w:eastAsia="Times New Roman" w:cs="Times New Roman"/>
        </w:rPr>
        <w:t>Humecter chaque tranche de quelques gouttes d’eau bouillie, fermer les sachets avec le fil, les étiqueter A, B et C et les ranger dans une armoire sombre.</w:t>
      </w:r>
    </w:p>
    <w:p>
      <w:pPr>
        <w:pStyle w:val="ListParagraph"/>
        <w:numPr>
          <w:ilvl w:val="0"/>
          <w:numId w:val="79"/>
        </w:numPr>
        <w:spacing w:lineRule="auto" w:line="360" w:before="0" w:after="120"/>
        <w:jc w:val="both"/>
        <w:rPr/>
      </w:pPr>
      <w:r>
        <w:rPr>
          <w:rFonts w:eastAsia="Times New Roman" w:cs="Times New Roman"/>
        </w:rPr>
        <w:t>Observer chaque jour pendant 5 à 7 jours, à travers le sachet et sans l’ouvrir. Noter et dessiner les taches (nombre, couleur, taille) dans un tableau.</w:t>
      </w:r>
    </w:p>
    <w:p>
      <w:pPr>
        <w:pStyle w:val="Caption"/>
        <w:keepNext w:val="true"/>
        <w:spacing w:lineRule="auto" w:line="240" w:before="200" w:after="100"/>
        <w:jc w:val="center"/>
        <w:rPr/>
      </w:pPr>
      <w:r>
        <w:rPr>
          <w:rFonts w:eastAsia="Times New Roman" w:cs="Times New Roman"/>
          <w:b/>
          <w:bCs/>
          <w:sz w:val="22"/>
          <w:szCs w:val="22"/>
        </w:rPr>
        <w:t xml:space="preserve">Figure </w:t>
      </w:r>
      <w:r>
        <w:rPr>
          <w:rFonts w:cs="Times New Roman"/>
          <w:b/>
          <w:bCs/>
          <w:sz w:val="22"/>
          <w:szCs w:val="22"/>
        </w:rPr>
        <w:fldChar w:fldCharType="begin"/>
      </w:r>
      <w:r>
        <w:rPr>
          <w:sz w:val="22"/>
          <w:b/>
          <w:szCs w:val="22"/>
          <w:bCs/>
          <w:rFonts w:cs="Times New Roman"/>
        </w:rPr>
        <w:instrText xml:space="preserve"> SEQ Figure \* ARABIC </w:instrText>
      </w:r>
      <w:r>
        <w:rPr>
          <w:sz w:val="22"/>
          <w:b/>
          <w:szCs w:val="22"/>
          <w:bCs/>
          <w:rFonts w:cs="Times New Roman"/>
        </w:rPr>
        <w:fldChar w:fldCharType="separate"/>
      </w:r>
      <w:r>
        <w:rPr>
          <w:sz w:val="22"/>
          <w:b/>
          <w:szCs w:val="22"/>
          <w:bCs/>
          <w:rFonts w:cs="Times New Roman"/>
        </w:rPr>
        <w:t>5</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Dispositif de l’expérience 3 : microbes des mains</w:t>
      </w:r>
    </w:p>
    <w:p>
      <w:pPr>
        <w:pStyle w:val="Normal"/>
        <w:keepNext w:val="true"/>
        <w:spacing w:lineRule="auto" w:line="240"/>
        <w:jc w:val="center"/>
        <w:rPr/>
      </w:pPr>
      <w:r>
        <w:rPr/>
        <w:drawing>
          <wp:inline distT="0" distB="0" distL="0" distR="0">
            <wp:extent cx="5400675" cy="378142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20"/>
                    <a:stretch>
                      <a:fillRect/>
                    </a:stretch>
                  </pic:blipFill>
                  <pic:spPr bwMode="auto">
                    <a:xfrm>
                      <a:off x="0" y="0"/>
                      <a:ext cx="5400675" cy="3781425"/>
                    </a:xfrm>
                    <a:prstGeom prst="rect">
                      <a:avLst/>
                    </a:prstGeom>
                  </pic:spPr>
                </pic:pic>
              </a:graphicData>
            </a:graphic>
          </wp:inline>
        </w:drawing>
      </w:r>
    </w:p>
    <w:p>
      <w:pPr>
        <w:pStyle w:val="Normal"/>
        <w:spacing w:lineRule="auto" w:line="240" w:before="60" w:after="240"/>
        <w:rPr/>
      </w:pPr>
      <w:r>
        <w:rPr>
          <w:rFonts w:eastAsia="Times New Roman" w:cs="Times New Roman"/>
          <w:i/>
          <w:iCs/>
          <w:sz w:val="22"/>
          <w:szCs w:val="22"/>
        </w:rPr>
        <w:t>Source : Réalisation de l’auteur (2026), d’après le support de cours de l’EC2 « Maladies et hygiène » (2STE1275).</w:t>
      </w:r>
    </w:p>
    <w:p>
      <w:pPr>
        <w:pStyle w:val="Heading2"/>
        <w:rPr/>
      </w:pPr>
      <w:bookmarkStart w:id="28" w:name="__RefHeading___Toc1011_346879323"/>
      <w:bookmarkEnd w:id="28"/>
      <w:r>
        <w:rPr>
          <w:rFonts w:eastAsia="Times New Roman" w:cs="Times New Roman" w:ascii="Times New Roman" w:hAnsi="Times New Roman"/>
        </w:rPr>
        <w:t>3.5. Observations attendues</w:t>
      </w:r>
    </w:p>
    <w:p>
      <w:pPr>
        <w:pStyle w:val="ListParagraph"/>
        <w:numPr>
          <w:ilvl w:val="0"/>
          <w:numId w:val="80"/>
        </w:numPr>
        <w:spacing w:lineRule="auto" w:line="360" w:before="0" w:after="40"/>
        <w:jc w:val="both"/>
        <w:rPr/>
      </w:pPr>
      <w:r>
        <w:rPr>
          <w:rFonts w:eastAsia="Times New Roman" w:cs="Times New Roman"/>
        </w:rPr>
        <w:t>Tranche B (mains non lavées) : nombreuses taches vertes, noires ou blanches qui s’étendent vite.</w:t>
      </w:r>
    </w:p>
    <w:p>
      <w:pPr>
        <w:pStyle w:val="ListParagraph"/>
        <w:numPr>
          <w:ilvl w:val="0"/>
          <w:numId w:val="81"/>
        </w:numPr>
        <w:spacing w:lineRule="auto" w:line="360" w:before="0" w:after="40"/>
        <w:jc w:val="both"/>
        <w:rPr/>
      </w:pPr>
      <w:r>
        <w:rPr>
          <w:rFonts w:eastAsia="Times New Roman" w:cs="Times New Roman"/>
        </w:rPr>
        <w:t>Tranche C (mains lavées) : peu de taches, qui apparaissent plus tard.</w:t>
      </w:r>
    </w:p>
    <w:p>
      <w:pPr>
        <w:pStyle w:val="ListParagraph"/>
        <w:numPr>
          <w:ilvl w:val="0"/>
          <w:numId w:val="82"/>
        </w:numPr>
        <w:spacing w:lineRule="auto" w:line="360" w:before="0" w:after="120"/>
        <w:jc w:val="both"/>
        <w:rPr/>
      </w:pPr>
      <w:r>
        <w:rPr>
          <w:rFonts w:eastAsia="Times New Roman" w:cs="Times New Roman"/>
        </w:rPr>
        <w:t>Tranche A (témoin) : pas ou très peu de taches.</w:t>
      </w:r>
    </w:p>
    <w:p>
      <w:pPr>
        <w:pStyle w:val="Heading2"/>
        <w:rPr/>
      </w:pPr>
      <w:bookmarkStart w:id="29" w:name="__RefHeading___Toc1013_346879323"/>
      <w:bookmarkEnd w:id="29"/>
      <w:r>
        <w:rPr>
          <w:rFonts w:eastAsia="Times New Roman" w:cs="Times New Roman" w:ascii="Times New Roman" w:hAnsi="Times New Roman"/>
        </w:rPr>
        <w:t>3.6. Interprétation et conclusion</w:t>
      </w:r>
    </w:p>
    <w:p>
      <w:pPr>
        <w:pStyle w:val="ListParagraph"/>
        <w:numPr>
          <w:ilvl w:val="0"/>
          <w:numId w:val="83"/>
        </w:numPr>
        <w:spacing w:lineRule="auto" w:line="360" w:before="0" w:after="40"/>
        <w:jc w:val="both"/>
        <w:rPr/>
      </w:pPr>
      <w:r>
        <w:rPr>
          <w:rFonts w:eastAsia="Times New Roman" w:cs="Times New Roman"/>
        </w:rPr>
        <w:t>Les mains transportent des microbes invisibles à l’œil nu. Sur un aliment humide, ils se multiplient et forment des taches visibles (colonies de moisissures et de bactéries).</w:t>
      </w:r>
    </w:p>
    <w:p>
      <w:pPr>
        <w:pStyle w:val="ListParagraph"/>
        <w:numPr>
          <w:ilvl w:val="0"/>
          <w:numId w:val="84"/>
        </w:numPr>
        <w:spacing w:lineRule="auto" w:line="360" w:before="0" w:after="40"/>
        <w:jc w:val="both"/>
        <w:rPr/>
      </w:pPr>
      <w:r>
        <w:rPr>
          <w:rFonts w:eastAsia="Times New Roman" w:cs="Times New Roman"/>
        </w:rPr>
        <w:t>Le lavage à l’eau et au savon élimine la plus grande partie de ces microbes.</w:t>
      </w:r>
    </w:p>
    <w:p>
      <w:pPr>
        <w:pStyle w:val="ListParagraph"/>
        <w:numPr>
          <w:ilvl w:val="0"/>
          <w:numId w:val="85"/>
        </w:numPr>
        <w:spacing w:lineRule="auto" w:line="360" w:before="0" w:after="120"/>
        <w:jc w:val="both"/>
        <w:rPr/>
      </w:pPr>
      <w:r>
        <w:rPr>
          <w:rFonts w:eastAsia="Times New Roman" w:cs="Times New Roman"/>
        </w:rPr>
        <w:t>Se laver les mains avant de manger et après les toilettes prévient le choléra, l’amibiase, la giardiase et la fièvre Ebola (moyens de prévention du cours).</w:t>
      </w:r>
    </w:p>
    <w:p>
      <w:pPr>
        <w:pStyle w:val="Heading2"/>
        <w:rPr/>
      </w:pPr>
      <w:bookmarkStart w:id="30" w:name="__RefHeading___Toc1015_346879323"/>
      <w:bookmarkEnd w:id="30"/>
      <w:r>
        <w:rPr>
          <w:rFonts w:eastAsia="Times New Roman" w:cs="Times New Roman" w:ascii="Times New Roman" w:hAnsi="Times New Roman"/>
        </w:rPr>
        <w:t>3.7. Précautions de sécurité</w:t>
      </w:r>
    </w:p>
    <w:p>
      <w:pPr>
        <w:pStyle w:val="ListParagraph"/>
        <w:numPr>
          <w:ilvl w:val="0"/>
          <w:numId w:val="86"/>
        </w:numPr>
        <w:spacing w:lineRule="auto" w:line="360" w:before="0" w:after="40"/>
        <w:jc w:val="both"/>
        <w:rPr/>
      </w:pPr>
      <w:r>
        <w:rPr>
          <w:rFonts w:eastAsia="Times New Roman" w:cs="Times New Roman"/>
        </w:rPr>
        <w:t>Ne jamais ouvrir les sachets après l’incubation : les moisissures libèrent des spores.</w:t>
      </w:r>
    </w:p>
    <w:p>
      <w:pPr>
        <w:pStyle w:val="ListParagraph"/>
        <w:numPr>
          <w:ilvl w:val="0"/>
          <w:numId w:val="87"/>
        </w:numPr>
        <w:spacing w:lineRule="auto" w:line="360" w:before="0" w:after="40"/>
        <w:jc w:val="both"/>
        <w:rPr/>
      </w:pPr>
      <w:r>
        <w:rPr>
          <w:rFonts w:eastAsia="Times New Roman" w:cs="Times New Roman"/>
        </w:rPr>
        <w:t>Ne pas goûter les aliments de l’expérience.</w:t>
      </w:r>
    </w:p>
    <w:p>
      <w:pPr>
        <w:pStyle w:val="ListParagraph"/>
        <w:numPr>
          <w:ilvl w:val="0"/>
          <w:numId w:val="88"/>
        </w:numPr>
        <w:spacing w:lineRule="auto" w:line="360" w:before="0" w:after="40"/>
        <w:jc w:val="both"/>
        <w:rPr/>
      </w:pPr>
      <w:r>
        <w:rPr>
          <w:rFonts w:eastAsia="Times New Roman" w:cs="Times New Roman"/>
        </w:rPr>
        <w:t>Jeter les sachets fermés dans la fosse à ordures ou les enfouir ; ne pas les brûler.</w:t>
      </w:r>
    </w:p>
    <w:p>
      <w:pPr>
        <w:pStyle w:val="ListParagraph"/>
        <w:numPr>
          <w:ilvl w:val="0"/>
          <w:numId w:val="89"/>
        </w:numPr>
        <w:spacing w:lineRule="auto" w:line="360" w:before="0" w:after="120"/>
        <w:jc w:val="both"/>
        <w:rPr/>
      </w:pPr>
      <w:r>
        <w:rPr>
          <w:rFonts w:eastAsia="Times New Roman" w:cs="Times New Roman"/>
        </w:rPr>
        <w:t>Se laver les mains à la fin de chaque observation.</w:t>
      </w:r>
    </w:p>
    <w:p>
      <w:pPr>
        <w:pStyle w:val="Heading2"/>
        <w:rPr/>
      </w:pPr>
      <w:bookmarkStart w:id="31" w:name="__RefHeading___Toc1017_346879323"/>
      <w:bookmarkEnd w:id="31"/>
      <w:r>
        <w:rPr>
          <w:rFonts w:eastAsia="Times New Roman" w:cs="Times New Roman" w:ascii="Times New Roman" w:hAnsi="Times New Roman"/>
        </w:rPr>
        <w:t>3.8. Prolongements</w:t>
      </w:r>
    </w:p>
    <w:p>
      <w:pPr>
        <w:pStyle w:val="ListParagraph"/>
        <w:numPr>
          <w:ilvl w:val="0"/>
          <w:numId w:val="90"/>
        </w:numPr>
        <w:spacing w:lineRule="auto" w:line="360" w:before="0" w:after="40"/>
        <w:jc w:val="both"/>
        <w:rPr/>
      </w:pPr>
      <w:r>
        <w:rPr>
          <w:rFonts w:eastAsia="Times New Roman" w:cs="Times New Roman"/>
        </w:rPr>
        <w:t>Construire un lave-mains à pédale (« tippy-tap ») avec un bidon de 5 L, deux bâtons et une ficelle.</w:t>
      </w:r>
    </w:p>
    <w:p>
      <w:pPr>
        <w:pStyle w:val="ListParagraph"/>
        <w:numPr>
          <w:ilvl w:val="0"/>
          <w:numId w:val="91"/>
        </w:numPr>
        <w:spacing w:lineRule="auto" w:line="360" w:before="0" w:after="120"/>
        <w:jc w:val="both"/>
        <w:rPr/>
        <w:sectPr>
          <w:footerReference w:type="even" r:id="rId21"/>
          <w:footerReference w:type="default" r:id="rId22"/>
          <w:footerReference w:type="first" r:id="rId23"/>
          <w:type w:val="nextPage"/>
          <w:pgSz w:w="11906" w:h="16838"/>
          <w:pgMar w:left="1418" w:right="1418" w:gutter="0" w:header="0" w:top="1418" w:footer="567" w:bottom="1418"/>
          <w:pgNumType w:fmt="decimal"/>
          <w:formProt w:val="false"/>
          <w:textDirection w:val="lrTb"/>
          <w:docGrid w:type="default" w:linePitch="360" w:charSpace="0"/>
        </w:sectPr>
      </w:pPr>
      <w:r>
        <w:rPr>
          <w:rFonts w:eastAsia="Times New Roman" w:cs="Times New Roman"/>
        </w:rPr>
        <w:t>Composer une chanson de 30 secondes pour rythmer le lavage des mains.</w:t>
      </w:r>
    </w:p>
    <w:p>
      <w:pPr>
        <w:pStyle w:val="Heading2"/>
        <w:rPr/>
      </w:pPr>
      <w:bookmarkStart w:id="32" w:name="__RefHeading___Toc1019_346879323"/>
      <w:bookmarkEnd w:id="32"/>
      <w:r>
        <w:rPr>
          <w:rFonts w:eastAsia="Times New Roman" w:cs="Times New Roman" w:ascii="Times New Roman" w:hAnsi="Times New Roman"/>
        </w:rPr>
        <w:t>3.9. Schéma directeur (Freeplane)</w:t>
      </w:r>
    </w:p>
    <w:p>
      <w:pPr>
        <w:pStyle w:val="Normal"/>
        <w:spacing w:lineRule="auto" w:line="360" w:before="0" w:after="120"/>
        <w:jc w:val="both"/>
        <w:rPr/>
      </w:pPr>
      <w:r>
        <w:rPr>
          <w:rFonts w:eastAsia="Times New Roman" w:cs="Times New Roman"/>
        </w:rPr>
        <w:t xml:space="preserve">Fichier source : </w:t>
      </w:r>
      <w:r>
        <w:rPr>
          <w:rFonts w:eastAsia="Times New Roman" w:cs="Times New Roman"/>
          <w:i/>
          <w:iCs/>
        </w:rPr>
        <w:t>exp3_schema_directeur.mm</w:t>
      </w:r>
      <w:r>
        <w:rPr>
          <w:rFonts w:eastAsia="Times New Roman" w:cs="Times New Roman"/>
        </w:rPr>
        <w:t>, à ouvrir avec Freeplane.</w:t>
      </w:r>
    </w:p>
    <w:p>
      <w:pPr>
        <w:pStyle w:val="Caption"/>
        <w:keepNext w:val="true"/>
        <w:spacing w:lineRule="auto" w:line="240" w:before="200" w:after="100"/>
        <w:jc w:val="center"/>
        <w:rPr/>
      </w:pPr>
      <w:r>
        <w:rPr>
          <w:rFonts w:eastAsia="Times New Roman" w:cs="Times New Roman"/>
          <w:b/>
          <w:bCs/>
          <w:sz w:val="22"/>
          <w:szCs w:val="22"/>
        </w:rPr>
        <w:t xml:space="preserve">Figure </w:t>
      </w:r>
      <w:r>
        <w:rPr>
          <w:rFonts w:cs="Times New Roman"/>
          <w:b/>
          <w:bCs/>
          <w:sz w:val="22"/>
          <w:szCs w:val="22"/>
        </w:rPr>
        <w:fldChar w:fldCharType="begin"/>
      </w:r>
      <w:r>
        <w:rPr>
          <w:sz w:val="22"/>
          <w:b/>
          <w:szCs w:val="22"/>
          <w:bCs/>
          <w:rFonts w:cs="Times New Roman"/>
        </w:rPr>
        <w:instrText xml:space="preserve"> SEQ Figure \* ARABIC </w:instrText>
      </w:r>
      <w:r>
        <w:rPr>
          <w:sz w:val="22"/>
          <w:b/>
          <w:szCs w:val="22"/>
          <w:bCs/>
          <w:rFonts w:cs="Times New Roman"/>
        </w:rPr>
        <w:fldChar w:fldCharType="separate"/>
      </w:r>
      <w:r>
        <w:rPr>
          <w:sz w:val="22"/>
          <w:b/>
          <w:szCs w:val="22"/>
          <w:bCs/>
          <w:rFonts w:cs="Times New Roman"/>
        </w:rPr>
        <w:t>6</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Schéma directeur de l’expérience 3 : microbes des mains</w:t>
      </w:r>
    </w:p>
    <w:p>
      <w:pPr>
        <w:pStyle w:val="Normal"/>
        <w:keepNext w:val="true"/>
        <w:spacing w:lineRule="auto" w:line="240"/>
        <w:jc w:val="center"/>
        <w:rPr/>
      </w:pPr>
      <w:r>
        <w:rPr/>
        <w:drawing>
          <wp:inline distT="0" distB="0" distL="0" distR="0">
            <wp:extent cx="8810625" cy="328612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24"/>
                    <a:stretch>
                      <a:fillRect/>
                    </a:stretch>
                  </pic:blipFill>
                  <pic:spPr bwMode="auto">
                    <a:xfrm>
                      <a:off x="0" y="0"/>
                      <a:ext cx="8810625" cy="3286125"/>
                    </a:xfrm>
                    <a:prstGeom prst="rect">
                      <a:avLst/>
                    </a:prstGeom>
                  </pic:spPr>
                </pic:pic>
              </a:graphicData>
            </a:graphic>
          </wp:inline>
        </w:drawing>
      </w:r>
    </w:p>
    <w:p>
      <w:pPr>
        <w:pStyle w:val="Normal"/>
        <w:spacing w:lineRule="auto" w:line="240" w:before="60" w:after="240"/>
        <w:rPr/>
        <w:sectPr>
          <w:footerReference w:type="even" r:id="rId25"/>
          <w:footerReference w:type="default" r:id="rId26"/>
          <w:footerReference w:type="first" r:id="rId27"/>
          <w:type w:val="nextPage"/>
          <w:pgSz w:orient="landscape" w:w="16838" w:h="11906"/>
          <w:pgMar w:left="1418" w:right="1418" w:gutter="0" w:header="0" w:top="1418" w:footer="567" w:bottom="1418"/>
          <w:pgNumType w:fmt="decimal"/>
          <w:formProt w:val="false"/>
          <w:textDirection w:val="lrTb"/>
          <w:docGrid w:type="default" w:linePitch="360" w:charSpace="0"/>
        </w:sectPr>
      </w:pPr>
      <w:r>
        <w:rPr>
          <w:rFonts w:eastAsia="Times New Roman" w:cs="Times New Roman"/>
          <w:i/>
          <w:iCs/>
          <w:sz w:val="22"/>
          <w:szCs w:val="22"/>
        </w:rPr>
        <w:t>Source : Réalisation de l’auteur (2026) avec Freeplane, d’après le support de cours de l’EC2 (2STE1275).</w:t>
      </w:r>
    </w:p>
    <w:p>
      <w:pPr>
        <w:pStyle w:val="Heading1"/>
        <w:rPr/>
      </w:pPr>
      <w:bookmarkStart w:id="33" w:name="__RefHeading___Toc1021_346879323"/>
      <w:bookmarkEnd w:id="33"/>
      <w:r>
        <w:rPr>
          <w:rFonts w:eastAsia="Times New Roman" w:cs="Times New Roman" w:ascii="Times New Roman" w:hAnsi="Times New Roman"/>
        </w:rPr>
        <w:t>EXPÉRIENCE 4 : OBSERVER LE DÉVELOPPEMENT DES LARVES DE MOUSTIQUES ET DÉTRUIRE LEURS GÎTES</w:t>
      </w:r>
    </w:p>
    <w:p>
      <w:pPr>
        <w:pStyle w:val="Caption"/>
        <w:keepNext w:val="true"/>
        <w:spacing w:lineRule="auto" w:line="240" w:before="200" w:after="100"/>
        <w:jc w:val="center"/>
        <w:rPr/>
      </w:pPr>
      <w:r>
        <w:rPr>
          <w:rFonts w:eastAsia="Times New Roman" w:cs="Times New Roman"/>
          <w:b/>
          <w:bCs/>
          <w:sz w:val="22"/>
          <w:szCs w:val="22"/>
        </w:rPr>
        <w:t xml:space="preserve">Tableau </w:t>
      </w:r>
      <w:r>
        <w:rPr>
          <w:rFonts w:cs="Times New Roman"/>
          <w:b/>
          <w:bCs/>
          <w:sz w:val="22"/>
          <w:szCs w:val="22"/>
        </w:rPr>
        <w:fldChar w:fldCharType="begin"/>
      </w:r>
      <w:r>
        <w:rPr>
          <w:sz w:val="22"/>
          <w:b/>
          <w:szCs w:val="22"/>
          <w:bCs/>
          <w:rFonts w:cs="Times New Roman"/>
        </w:rPr>
        <w:instrText xml:space="preserve"> SEQ Tableau \* ARABIC </w:instrText>
      </w:r>
      <w:r>
        <w:rPr>
          <w:sz w:val="22"/>
          <w:b/>
          <w:szCs w:val="22"/>
          <w:bCs/>
          <w:rFonts w:cs="Times New Roman"/>
        </w:rPr>
        <w:fldChar w:fldCharType="separate"/>
      </w:r>
      <w:r>
        <w:rPr>
          <w:sz w:val="22"/>
          <w:b/>
          <w:szCs w:val="22"/>
          <w:bCs/>
          <w:rFonts w:cs="Times New Roman"/>
        </w:rPr>
        <w:t>8</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Fiche signalétique de l’expérience 4</w:t>
      </w:r>
    </w:p>
    <w:tbl>
      <w:tblPr>
        <w:tblW w:w="9072" w:type="dxa"/>
        <w:jc w:val="center"/>
        <w:tblInd w:w="0" w:type="dxa"/>
        <w:tblLayout w:type="fixed"/>
        <w:tblCellMar>
          <w:top w:w="40" w:type="dxa"/>
          <w:left w:w="80" w:type="dxa"/>
          <w:bottom w:w="40" w:type="dxa"/>
          <w:right w:w="80" w:type="dxa"/>
        </w:tblCellMar>
      </w:tblPr>
      <w:tblGrid>
        <w:gridCol w:w="2268"/>
        <w:gridCol w:w="6803"/>
      </w:tblGrid>
      <w:tr>
        <w:trPr>
          <w:cantSplit w:val="true"/>
        </w:trPr>
        <w:tc>
          <w:tcPr>
            <w:tcW w:w="226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jc w:val="left"/>
              <w:rPr/>
            </w:pPr>
            <w:r>
              <w:rPr>
                <w:rFonts w:eastAsia="Times New Roman" w:cs="Times New Roman"/>
                <w:b/>
                <w:bCs/>
                <w:sz w:val="22"/>
                <w:szCs w:val="22"/>
              </w:rPr>
              <w:t>Lien avec le cours</w:t>
            </w:r>
          </w:p>
        </w:tc>
        <w:tc>
          <w:tcPr>
            <w:tcW w:w="68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b w:val="false"/>
                <w:bCs w:val="false"/>
                <w:sz w:val="22"/>
                <w:szCs w:val="22"/>
              </w:rPr>
              <w:t>Chapitre 1 (paludisme : cycle évolutif, rôle de l’anophèle, destruction des flaques et des boîtes contenant de l’eau, couverture des récipients)</w:t>
            </w:r>
          </w:p>
        </w:tc>
      </w:tr>
      <w:tr>
        <w:trPr>
          <w:cantSplit w:val="true"/>
        </w:trPr>
        <w:tc>
          <w:tcPr>
            <w:tcW w:w="226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jc w:val="left"/>
              <w:rPr/>
            </w:pPr>
            <w:r>
              <w:rPr>
                <w:rFonts w:eastAsia="Times New Roman" w:cs="Times New Roman"/>
                <w:b/>
                <w:bCs/>
                <w:sz w:val="22"/>
                <w:szCs w:val="22"/>
              </w:rPr>
              <w:t>Durée</w:t>
            </w:r>
          </w:p>
        </w:tc>
        <w:tc>
          <w:tcPr>
            <w:tcW w:w="68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b w:val="false"/>
                <w:bCs w:val="false"/>
                <w:sz w:val="22"/>
                <w:szCs w:val="22"/>
              </w:rPr>
              <w:t>1 h de sortie ; 7 jours d’observation au plus</w:t>
            </w:r>
          </w:p>
        </w:tc>
      </w:tr>
      <w:tr>
        <w:trPr>
          <w:cantSplit w:val="true"/>
        </w:trPr>
        <w:tc>
          <w:tcPr>
            <w:tcW w:w="226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jc w:val="left"/>
              <w:rPr/>
            </w:pPr>
            <w:r>
              <w:rPr>
                <w:rFonts w:eastAsia="Times New Roman" w:cs="Times New Roman"/>
                <w:b/>
                <w:bCs/>
                <w:sz w:val="22"/>
                <w:szCs w:val="22"/>
              </w:rPr>
              <w:t>Public</w:t>
            </w:r>
          </w:p>
        </w:tc>
        <w:tc>
          <w:tcPr>
            <w:tcW w:w="68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b w:val="false"/>
                <w:bCs w:val="false"/>
                <w:sz w:val="22"/>
                <w:szCs w:val="22"/>
              </w:rPr>
              <w:t>Élèves-professeurs d’école ; transposable au CM1-CM2</w:t>
            </w:r>
          </w:p>
        </w:tc>
      </w:tr>
      <w:tr>
        <w:trPr>
          <w:cantSplit w:val="true"/>
        </w:trPr>
        <w:tc>
          <w:tcPr>
            <w:tcW w:w="226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jc w:val="left"/>
              <w:rPr/>
            </w:pPr>
            <w:r>
              <w:rPr>
                <w:rFonts w:eastAsia="Times New Roman" w:cs="Times New Roman"/>
                <w:b/>
                <w:bCs/>
                <w:sz w:val="22"/>
                <w:szCs w:val="22"/>
              </w:rPr>
              <w:t>Coût</w:t>
            </w:r>
          </w:p>
        </w:tc>
        <w:tc>
          <w:tcPr>
            <w:tcW w:w="68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b w:val="false"/>
                <w:bCs w:val="false"/>
                <w:sz w:val="22"/>
                <w:szCs w:val="22"/>
              </w:rPr>
              <w:t>Aucun : matériel récupéré ou disponible à l’école</w:t>
            </w:r>
          </w:p>
        </w:tc>
      </w:tr>
    </w:tbl>
    <w:p>
      <w:pPr>
        <w:pStyle w:val="Normal"/>
        <w:spacing w:lineRule="auto" w:line="240" w:before="60" w:after="240"/>
        <w:rPr/>
      </w:pPr>
      <w:r>
        <w:rPr>
          <w:rFonts w:eastAsia="Times New Roman" w:cs="Times New Roman"/>
          <w:i/>
          <w:iCs/>
          <w:sz w:val="22"/>
          <w:szCs w:val="22"/>
        </w:rPr>
        <w:t>Source : Réalisation de l’auteur (2026), d’après le support de cours de l’EC2 (2STE1275).</w:t>
      </w:r>
    </w:p>
    <w:p>
      <w:pPr>
        <w:pStyle w:val="Heading2"/>
        <w:rPr/>
      </w:pPr>
      <w:bookmarkStart w:id="34" w:name="__RefHeading___Toc1023_346879323"/>
      <w:bookmarkEnd w:id="34"/>
      <w:r>
        <w:rPr>
          <w:rFonts w:eastAsia="Times New Roman" w:cs="Times New Roman" w:ascii="Times New Roman" w:hAnsi="Times New Roman"/>
        </w:rPr>
        <w:t>4.1. Situation-problème</w:t>
      </w:r>
    </w:p>
    <w:p>
      <w:pPr>
        <w:pStyle w:val="Normal"/>
        <w:spacing w:lineRule="auto" w:line="360" w:before="0" w:after="120"/>
        <w:ind w:firstLine="709"/>
        <w:jc w:val="both"/>
        <w:rPr/>
      </w:pPr>
      <w:r>
        <w:rPr>
          <w:rFonts w:eastAsia="Times New Roman" w:cs="Times New Roman"/>
        </w:rPr>
        <w:t>Malgré les moustiquaires, les cas de paludisme restent nombreux dans le quartier de l’école. D’où viennent les moustiques et comment réduire leur nombre ?</w:t>
      </w:r>
    </w:p>
    <w:p>
      <w:pPr>
        <w:pStyle w:val="Heading2"/>
        <w:rPr/>
      </w:pPr>
      <w:bookmarkStart w:id="35" w:name="__RefHeading___Toc1025_346879323"/>
      <w:bookmarkEnd w:id="35"/>
      <w:r>
        <w:rPr>
          <w:rFonts w:eastAsia="Times New Roman" w:cs="Times New Roman" w:ascii="Times New Roman" w:hAnsi="Times New Roman"/>
        </w:rPr>
        <w:t>4.2. Objectifs</w:t>
      </w:r>
    </w:p>
    <w:p>
      <w:pPr>
        <w:pStyle w:val="ListParagraph"/>
        <w:numPr>
          <w:ilvl w:val="0"/>
          <w:numId w:val="92"/>
        </w:numPr>
        <w:spacing w:lineRule="auto" w:line="360" w:before="0" w:after="40"/>
        <w:jc w:val="both"/>
        <w:rPr/>
      </w:pPr>
      <w:r>
        <w:rPr>
          <w:rFonts w:eastAsia="Times New Roman" w:cs="Times New Roman"/>
        </w:rPr>
        <w:t>Repérer les gîtes larvaires autour de l’école.</w:t>
      </w:r>
    </w:p>
    <w:p>
      <w:pPr>
        <w:pStyle w:val="ListParagraph"/>
        <w:numPr>
          <w:ilvl w:val="0"/>
          <w:numId w:val="93"/>
        </w:numPr>
        <w:spacing w:lineRule="auto" w:line="360" w:before="0" w:after="40"/>
        <w:jc w:val="both"/>
        <w:rPr/>
      </w:pPr>
      <w:r>
        <w:rPr>
          <w:rFonts w:eastAsia="Times New Roman" w:cs="Times New Roman"/>
        </w:rPr>
        <w:t>Observer les stades du moustique : larve, nymphe, adulte.</w:t>
      </w:r>
    </w:p>
    <w:p>
      <w:pPr>
        <w:pStyle w:val="ListParagraph"/>
        <w:numPr>
          <w:ilvl w:val="0"/>
          <w:numId w:val="94"/>
        </w:numPr>
        <w:spacing w:lineRule="auto" w:line="360" w:before="0" w:after="120"/>
        <w:jc w:val="both"/>
        <w:rPr/>
      </w:pPr>
      <w:r>
        <w:rPr>
          <w:rFonts w:eastAsia="Times New Roman" w:cs="Times New Roman"/>
        </w:rPr>
        <w:t>Comprendre pourquoi la suppression de l’eau stagnante et la moustiquaire protègent du paludisme.</w:t>
      </w:r>
    </w:p>
    <w:p>
      <w:pPr>
        <w:pStyle w:val="Heading2"/>
        <w:rPr/>
      </w:pPr>
      <w:bookmarkStart w:id="36" w:name="__RefHeading___Toc1027_346879323"/>
      <w:bookmarkEnd w:id="36"/>
      <w:r>
        <w:rPr>
          <w:rFonts w:eastAsia="Times New Roman" w:cs="Times New Roman" w:ascii="Times New Roman" w:hAnsi="Times New Roman"/>
        </w:rPr>
        <w:t>4.3. Matériel et ressources locales</w:t>
      </w:r>
    </w:p>
    <w:p>
      <w:pPr>
        <w:pStyle w:val="Caption"/>
        <w:keepNext w:val="true"/>
        <w:spacing w:lineRule="auto" w:line="240" w:before="200" w:after="100"/>
        <w:jc w:val="center"/>
        <w:rPr/>
      </w:pPr>
      <w:r>
        <w:rPr>
          <w:rFonts w:eastAsia="Times New Roman" w:cs="Times New Roman"/>
          <w:b/>
          <w:bCs/>
          <w:sz w:val="22"/>
          <w:szCs w:val="22"/>
        </w:rPr>
        <w:t xml:space="preserve">Tableau </w:t>
      </w:r>
      <w:r>
        <w:rPr>
          <w:rFonts w:cs="Times New Roman"/>
          <w:b/>
          <w:bCs/>
          <w:sz w:val="22"/>
          <w:szCs w:val="22"/>
        </w:rPr>
        <w:fldChar w:fldCharType="begin"/>
      </w:r>
      <w:r>
        <w:rPr>
          <w:sz w:val="22"/>
          <w:b/>
          <w:szCs w:val="22"/>
          <w:bCs/>
          <w:rFonts w:cs="Times New Roman"/>
        </w:rPr>
        <w:instrText xml:space="preserve"> SEQ Tableau \* ARABIC </w:instrText>
      </w:r>
      <w:r>
        <w:rPr>
          <w:sz w:val="22"/>
          <w:b/>
          <w:szCs w:val="22"/>
          <w:bCs/>
          <w:rFonts w:cs="Times New Roman"/>
        </w:rPr>
        <w:fldChar w:fldCharType="separate"/>
      </w:r>
      <w:r>
        <w:rPr>
          <w:sz w:val="22"/>
          <w:b/>
          <w:szCs w:val="22"/>
          <w:bCs/>
          <w:rFonts w:cs="Times New Roman"/>
        </w:rPr>
        <w:t>9</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Matériel de l’expérience 4 et où le trouver</w:t>
      </w:r>
    </w:p>
    <w:tbl>
      <w:tblPr>
        <w:tblW w:w="9072" w:type="dxa"/>
        <w:jc w:val="center"/>
        <w:tblInd w:w="0" w:type="dxa"/>
        <w:tblLayout w:type="fixed"/>
        <w:tblCellMar>
          <w:top w:w="40" w:type="dxa"/>
          <w:left w:w="80" w:type="dxa"/>
          <w:bottom w:w="40" w:type="dxa"/>
          <w:right w:w="80" w:type="dxa"/>
        </w:tblCellMar>
      </w:tblPr>
      <w:tblGrid>
        <w:gridCol w:w="4536"/>
        <w:gridCol w:w="4535"/>
      </w:tblGrid>
      <w:tr>
        <w:trPr>
          <w:tblHeader w:val="true"/>
          <w:cantSplit w:val="true"/>
        </w:trPr>
        <w:tc>
          <w:tcPr>
            <w:tcW w:w="453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jc w:val="center"/>
              <w:rPr/>
            </w:pPr>
            <w:r>
              <w:rPr>
                <w:rFonts w:eastAsia="Times New Roman" w:cs="Times New Roman"/>
                <w:b/>
                <w:bCs/>
                <w:sz w:val="22"/>
                <w:szCs w:val="22"/>
              </w:rPr>
              <w:t>Matériel</w:t>
            </w:r>
          </w:p>
        </w:tc>
        <w:tc>
          <w:tcPr>
            <w:tcW w:w="453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jc w:val="center"/>
              <w:rPr/>
            </w:pPr>
            <w:r>
              <w:rPr>
                <w:rFonts w:eastAsia="Times New Roman" w:cs="Times New Roman"/>
                <w:b/>
                <w:bCs/>
                <w:sz w:val="22"/>
                <w:szCs w:val="22"/>
              </w:rPr>
              <w:t>Où le trouver (sans achat)</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Eau stagnante contenant des larves</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Vieux pneu, boîte de conserve, pot cassé, jarre non couverte</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Une bouteille plastique transparente coupée ou un bocal</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Récupération</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Un morceau de moustiquaire usée et un élastique de chambre à air</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Moustiquaire déchirée, chambre à air usée</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Une boîte de tomate vide pour prélever</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Cuisine</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Un cahier et un crayon</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Salle de classe</w:t>
            </w:r>
          </w:p>
        </w:tc>
      </w:tr>
    </w:tbl>
    <w:p>
      <w:pPr>
        <w:pStyle w:val="Normal"/>
        <w:spacing w:lineRule="auto" w:line="240" w:before="60" w:after="240"/>
        <w:rPr/>
      </w:pPr>
      <w:r>
        <w:rPr>
          <w:rFonts w:eastAsia="Times New Roman" w:cs="Times New Roman"/>
          <w:i/>
          <w:iCs/>
          <w:sz w:val="22"/>
          <w:szCs w:val="22"/>
        </w:rPr>
        <w:t>Source : Réalisation de l’auteur (2026).</w:t>
      </w:r>
    </w:p>
    <w:p>
      <w:pPr>
        <w:pStyle w:val="Heading2"/>
        <w:rPr/>
      </w:pPr>
      <w:bookmarkStart w:id="37" w:name="__RefHeading___Toc1029_346879323"/>
      <w:bookmarkEnd w:id="37"/>
      <w:r>
        <w:rPr>
          <w:rFonts w:eastAsia="Times New Roman" w:cs="Times New Roman" w:ascii="Times New Roman" w:hAnsi="Times New Roman"/>
        </w:rPr>
        <w:t>4.4. Démarche</w:t>
      </w:r>
    </w:p>
    <w:p>
      <w:pPr>
        <w:pStyle w:val="ListParagraph"/>
        <w:numPr>
          <w:ilvl w:val="0"/>
          <w:numId w:val="95"/>
        </w:numPr>
        <w:spacing w:lineRule="auto" w:line="360" w:before="0" w:after="40"/>
        <w:jc w:val="both"/>
        <w:rPr/>
      </w:pPr>
      <w:r>
        <w:rPr>
          <w:rFonts w:eastAsia="Times New Roman" w:cs="Times New Roman"/>
        </w:rPr>
        <w:t>Faire le tour de l’école et du quartier voisin. Recenser les gîtes dans un tableau (lieu, type de récipient, larves : oui ou non).</w:t>
      </w:r>
    </w:p>
    <w:p>
      <w:pPr>
        <w:pStyle w:val="ListParagraph"/>
        <w:numPr>
          <w:ilvl w:val="0"/>
          <w:numId w:val="96"/>
        </w:numPr>
        <w:spacing w:lineRule="auto" w:line="360" w:before="0" w:after="40"/>
        <w:jc w:val="both"/>
        <w:rPr/>
      </w:pPr>
      <w:r>
        <w:rPr>
          <w:rFonts w:eastAsia="Times New Roman" w:cs="Times New Roman"/>
        </w:rPr>
        <w:t>Avec la boîte de tomate, prélever de l’eau contenant des larves et la verser dans la bouteille coupée.</w:t>
      </w:r>
    </w:p>
    <w:p>
      <w:pPr>
        <w:pStyle w:val="ListParagraph"/>
        <w:numPr>
          <w:ilvl w:val="0"/>
          <w:numId w:val="97"/>
        </w:numPr>
        <w:spacing w:lineRule="auto" w:line="360" w:before="0" w:after="40"/>
        <w:jc w:val="both"/>
        <w:rPr/>
      </w:pPr>
      <w:r>
        <w:rPr>
          <w:rFonts w:eastAsia="Times New Roman" w:cs="Times New Roman"/>
        </w:rPr>
        <w:t>Couvrir immédiatement avec la moustiquaire bien tendue, fixée par l’élastique : aucun moustique ne doit pouvoir s’échapper.</w:t>
      </w:r>
    </w:p>
    <w:p>
      <w:pPr>
        <w:pStyle w:val="ListParagraph"/>
        <w:numPr>
          <w:ilvl w:val="0"/>
          <w:numId w:val="98"/>
        </w:numPr>
        <w:spacing w:lineRule="auto" w:line="360" w:before="0" w:after="40"/>
        <w:jc w:val="both"/>
        <w:rPr/>
      </w:pPr>
      <w:r>
        <w:rPr>
          <w:rFonts w:eastAsia="Times New Roman" w:cs="Times New Roman"/>
        </w:rPr>
        <w:t>Placer le récipient à l’ombre, dans la classe. Observer matin et soir. Taper doucement sur la paroi : les larves plongent, puis remontent respirer à la surface.</w:t>
      </w:r>
    </w:p>
    <w:p>
      <w:pPr>
        <w:pStyle w:val="ListParagraph"/>
        <w:numPr>
          <w:ilvl w:val="0"/>
          <w:numId w:val="99"/>
        </w:numPr>
        <w:spacing w:lineRule="auto" w:line="360" w:before="0" w:after="40"/>
        <w:jc w:val="both"/>
        <w:rPr/>
      </w:pPr>
      <w:r>
        <w:rPr>
          <w:rFonts w:eastAsia="Times New Roman" w:cs="Times New Roman"/>
        </w:rPr>
        <w:t>Distinguer les larves d’anophèle (couchées à l’horizontale sous la surface) de celles du culex (suspendues en oblique par un siphon), puis repérer les nymphes en forme de virgule.</w:t>
      </w:r>
    </w:p>
    <w:p>
      <w:pPr>
        <w:pStyle w:val="ListParagraph"/>
        <w:numPr>
          <w:ilvl w:val="0"/>
          <w:numId w:val="100"/>
        </w:numPr>
        <w:spacing w:lineRule="auto" w:line="360" w:before="0" w:after="40"/>
        <w:jc w:val="both"/>
        <w:rPr/>
      </w:pPr>
      <w:r>
        <w:rPr>
          <w:rFonts w:eastAsia="Times New Roman" w:cs="Times New Roman"/>
        </w:rPr>
        <w:t>Noter chaque jour le stade observé et dessiner les larves et les nymphes.</w:t>
      </w:r>
    </w:p>
    <w:p>
      <w:pPr>
        <w:pStyle w:val="ListParagraph"/>
        <w:numPr>
          <w:ilvl w:val="0"/>
          <w:numId w:val="101"/>
        </w:numPr>
        <w:spacing w:lineRule="auto" w:line="360" w:before="0" w:after="120"/>
        <w:jc w:val="both"/>
        <w:rPr/>
      </w:pPr>
      <w:r>
        <w:rPr>
          <w:rFonts w:eastAsia="Times New Roman" w:cs="Times New Roman"/>
        </w:rPr>
        <w:t>Au 7e jour au plus tard, verser l’eau sur un sol sec en plein soleil, puis laver le récipient. Vider, renverser ou couvrir tous les gîtes recensés.</w:t>
      </w:r>
    </w:p>
    <w:p>
      <w:pPr>
        <w:pStyle w:val="Caption"/>
        <w:keepNext w:val="true"/>
        <w:spacing w:lineRule="auto" w:line="240" w:before="200" w:after="100"/>
        <w:jc w:val="center"/>
        <w:rPr/>
      </w:pPr>
      <w:r>
        <w:rPr>
          <w:rFonts w:eastAsia="Times New Roman" w:cs="Times New Roman"/>
          <w:b/>
          <w:bCs/>
          <w:sz w:val="22"/>
          <w:szCs w:val="22"/>
        </w:rPr>
        <w:t xml:space="preserve">Figure </w:t>
      </w:r>
      <w:r>
        <w:rPr>
          <w:rFonts w:cs="Times New Roman"/>
          <w:b/>
          <w:bCs/>
          <w:sz w:val="22"/>
          <w:szCs w:val="22"/>
        </w:rPr>
        <w:fldChar w:fldCharType="begin"/>
      </w:r>
      <w:r>
        <w:rPr>
          <w:sz w:val="22"/>
          <w:b/>
          <w:szCs w:val="22"/>
          <w:bCs/>
          <w:rFonts w:cs="Times New Roman"/>
        </w:rPr>
        <w:instrText xml:space="preserve"> SEQ Figure \* ARABIC </w:instrText>
      </w:r>
      <w:r>
        <w:rPr>
          <w:sz w:val="22"/>
          <w:b/>
          <w:szCs w:val="22"/>
          <w:bCs/>
          <w:rFonts w:cs="Times New Roman"/>
        </w:rPr>
        <w:fldChar w:fldCharType="separate"/>
      </w:r>
      <w:r>
        <w:rPr>
          <w:sz w:val="22"/>
          <w:b/>
          <w:szCs w:val="22"/>
          <w:bCs/>
          <w:rFonts w:cs="Times New Roman"/>
        </w:rPr>
        <w:t>7</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Dispositif de l’expérience 4 : larves de moustiques</w:t>
      </w:r>
    </w:p>
    <w:p>
      <w:pPr>
        <w:pStyle w:val="Normal"/>
        <w:keepNext w:val="true"/>
        <w:spacing w:lineRule="auto" w:line="240"/>
        <w:jc w:val="center"/>
        <w:rPr/>
      </w:pPr>
      <w:r>
        <w:rPr/>
        <w:drawing>
          <wp:inline distT="0" distB="0" distL="0" distR="0">
            <wp:extent cx="5400675" cy="449580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28"/>
                    <a:stretch>
                      <a:fillRect/>
                    </a:stretch>
                  </pic:blipFill>
                  <pic:spPr bwMode="auto">
                    <a:xfrm>
                      <a:off x="0" y="0"/>
                      <a:ext cx="5400675" cy="4495800"/>
                    </a:xfrm>
                    <a:prstGeom prst="rect">
                      <a:avLst/>
                    </a:prstGeom>
                  </pic:spPr>
                </pic:pic>
              </a:graphicData>
            </a:graphic>
          </wp:inline>
        </w:drawing>
      </w:r>
    </w:p>
    <w:p>
      <w:pPr>
        <w:pStyle w:val="Normal"/>
        <w:spacing w:lineRule="auto" w:line="240" w:before="60" w:after="240"/>
        <w:rPr/>
      </w:pPr>
      <w:r>
        <w:rPr>
          <w:rFonts w:eastAsia="Times New Roman" w:cs="Times New Roman"/>
          <w:i/>
          <w:iCs/>
          <w:sz w:val="22"/>
          <w:szCs w:val="22"/>
        </w:rPr>
        <w:t>Source : Réalisation de l’auteur (2026), d’après le support de cours de l’EC2 « Maladies et hygiène » (2STE1275).</w:t>
      </w:r>
    </w:p>
    <w:p>
      <w:pPr>
        <w:pStyle w:val="Heading2"/>
        <w:rPr/>
      </w:pPr>
      <w:bookmarkStart w:id="38" w:name="__RefHeading___Toc1031_346879323"/>
      <w:bookmarkEnd w:id="38"/>
      <w:r>
        <w:rPr>
          <w:rFonts w:eastAsia="Times New Roman" w:cs="Times New Roman" w:ascii="Times New Roman" w:hAnsi="Times New Roman"/>
        </w:rPr>
        <w:t>4.5. Observations attendues</w:t>
      </w:r>
    </w:p>
    <w:p>
      <w:pPr>
        <w:pStyle w:val="ListParagraph"/>
        <w:numPr>
          <w:ilvl w:val="0"/>
          <w:numId w:val="102"/>
        </w:numPr>
        <w:spacing w:lineRule="auto" w:line="360" w:before="0" w:after="40"/>
        <w:jc w:val="both"/>
        <w:rPr/>
      </w:pPr>
      <w:r>
        <w:rPr>
          <w:rFonts w:eastAsia="Times New Roman" w:cs="Times New Roman"/>
        </w:rPr>
        <w:t>Les larves se tortillent et remontent régulièrement respirer à la surface.</w:t>
      </w:r>
    </w:p>
    <w:p>
      <w:pPr>
        <w:pStyle w:val="ListParagraph"/>
        <w:numPr>
          <w:ilvl w:val="0"/>
          <w:numId w:val="103"/>
        </w:numPr>
        <w:spacing w:lineRule="auto" w:line="360" w:before="0" w:after="40"/>
        <w:jc w:val="both"/>
        <w:rPr/>
      </w:pPr>
      <w:r>
        <w:rPr>
          <w:rFonts w:eastAsia="Times New Roman" w:cs="Times New Roman"/>
        </w:rPr>
        <w:t>Après quelques jours, apparaissent des nymphes en forme de virgule.</w:t>
      </w:r>
    </w:p>
    <w:p>
      <w:pPr>
        <w:pStyle w:val="ListParagraph"/>
        <w:numPr>
          <w:ilvl w:val="0"/>
          <w:numId w:val="104"/>
        </w:numPr>
        <w:spacing w:lineRule="auto" w:line="360" w:before="0" w:after="120"/>
        <w:jc w:val="both"/>
        <w:rPr/>
      </w:pPr>
      <w:r>
        <w:rPr>
          <w:rFonts w:eastAsia="Times New Roman" w:cs="Times New Roman"/>
        </w:rPr>
        <w:t>Des moustiques adultes peuvent émerger sous la moustiquaire vers le 7e jour.</w:t>
      </w:r>
    </w:p>
    <w:p>
      <w:pPr>
        <w:pStyle w:val="Heading2"/>
        <w:rPr/>
      </w:pPr>
      <w:bookmarkStart w:id="39" w:name="__RefHeading___Toc1033_346879323"/>
      <w:bookmarkEnd w:id="39"/>
      <w:r>
        <w:rPr>
          <w:rFonts w:eastAsia="Times New Roman" w:cs="Times New Roman" w:ascii="Times New Roman" w:hAnsi="Times New Roman"/>
        </w:rPr>
        <w:t>4.6. Interprétation et conclusion</w:t>
      </w:r>
    </w:p>
    <w:p>
      <w:pPr>
        <w:pStyle w:val="ListParagraph"/>
        <w:numPr>
          <w:ilvl w:val="0"/>
          <w:numId w:val="105"/>
        </w:numPr>
        <w:spacing w:lineRule="auto" w:line="360" w:before="0" w:after="40"/>
        <w:jc w:val="both"/>
        <w:rPr/>
      </w:pPr>
      <w:r>
        <w:rPr>
          <w:rFonts w:eastAsia="Times New Roman" w:cs="Times New Roman"/>
        </w:rPr>
        <w:t>Il suffit d’un peu d’eau stagnante pour que le moustique se reproduise.</w:t>
      </w:r>
    </w:p>
    <w:p>
      <w:pPr>
        <w:pStyle w:val="ListParagraph"/>
        <w:numPr>
          <w:ilvl w:val="0"/>
          <w:numId w:val="106"/>
        </w:numPr>
        <w:spacing w:lineRule="auto" w:line="360" w:before="0" w:after="40"/>
        <w:jc w:val="both"/>
        <w:rPr/>
      </w:pPr>
      <w:r>
        <w:rPr>
          <w:rFonts w:eastAsia="Times New Roman" w:cs="Times New Roman"/>
        </w:rPr>
        <w:t>Supprimer l’eau stagnante interrompt le cycle : pas d’eau, pas de larves, pas de moustiques.</w:t>
      </w:r>
    </w:p>
    <w:p>
      <w:pPr>
        <w:pStyle w:val="ListParagraph"/>
        <w:numPr>
          <w:ilvl w:val="0"/>
          <w:numId w:val="107"/>
        </w:numPr>
        <w:spacing w:lineRule="auto" w:line="360" w:before="0" w:after="120"/>
        <w:jc w:val="both"/>
        <w:rPr/>
      </w:pPr>
      <w:r>
        <w:rPr>
          <w:rFonts w:eastAsia="Times New Roman" w:cs="Times New Roman"/>
        </w:rPr>
        <w:t>La femelle de l’anophèle transmet le plasmodium du paludisme. La moustiquaire empêche sa piqûre, comme elle a empêché les adultes de sortir du récipient.</w:t>
      </w:r>
    </w:p>
    <w:p>
      <w:pPr>
        <w:pStyle w:val="Heading2"/>
        <w:rPr/>
      </w:pPr>
      <w:bookmarkStart w:id="40" w:name="__RefHeading___Toc1035_346879323"/>
      <w:bookmarkEnd w:id="40"/>
      <w:r>
        <w:rPr>
          <w:rFonts w:eastAsia="Times New Roman" w:cs="Times New Roman" w:ascii="Times New Roman" w:hAnsi="Times New Roman"/>
        </w:rPr>
        <w:t>4.7. Précautions de sécurité</w:t>
      </w:r>
    </w:p>
    <w:p>
      <w:pPr>
        <w:pStyle w:val="ListParagraph"/>
        <w:numPr>
          <w:ilvl w:val="0"/>
          <w:numId w:val="108"/>
        </w:numPr>
        <w:spacing w:lineRule="auto" w:line="360" w:before="0" w:after="40"/>
        <w:jc w:val="both"/>
        <w:rPr/>
      </w:pPr>
      <w:r>
        <w:rPr>
          <w:rFonts w:eastAsia="Times New Roman" w:cs="Times New Roman"/>
        </w:rPr>
        <w:t>Le récipient reste toujours couvert.</w:t>
      </w:r>
    </w:p>
    <w:p>
      <w:pPr>
        <w:pStyle w:val="ListParagraph"/>
        <w:numPr>
          <w:ilvl w:val="0"/>
          <w:numId w:val="109"/>
        </w:numPr>
        <w:spacing w:lineRule="auto" w:line="360" w:before="0" w:after="40"/>
        <w:jc w:val="both"/>
        <w:rPr/>
      </w:pPr>
      <w:r>
        <w:rPr>
          <w:rFonts w:eastAsia="Times New Roman" w:cs="Times New Roman"/>
        </w:rPr>
        <w:t>Ne pas conserver les larves plus de 7 jours.</w:t>
      </w:r>
    </w:p>
    <w:p>
      <w:pPr>
        <w:pStyle w:val="ListParagraph"/>
        <w:numPr>
          <w:ilvl w:val="0"/>
          <w:numId w:val="110"/>
        </w:numPr>
        <w:spacing w:lineRule="auto" w:line="360" w:before="0" w:after="40"/>
        <w:jc w:val="both"/>
        <w:rPr/>
      </w:pPr>
      <w:r>
        <w:rPr>
          <w:rFonts w:eastAsia="Times New Roman" w:cs="Times New Roman"/>
        </w:rPr>
        <w:t>Ne pas prélever dans des eaux profondes ou dangereuses.</w:t>
      </w:r>
    </w:p>
    <w:p>
      <w:pPr>
        <w:pStyle w:val="ListParagraph"/>
        <w:numPr>
          <w:ilvl w:val="0"/>
          <w:numId w:val="111"/>
        </w:numPr>
        <w:spacing w:lineRule="auto" w:line="360" w:before="0" w:after="120"/>
        <w:jc w:val="both"/>
        <w:rPr/>
      </w:pPr>
      <w:r>
        <w:rPr>
          <w:rFonts w:eastAsia="Times New Roman" w:cs="Times New Roman"/>
        </w:rPr>
        <w:t>Se laver les mains après chaque manipulation.</w:t>
      </w:r>
    </w:p>
    <w:p>
      <w:pPr>
        <w:pStyle w:val="Heading2"/>
        <w:rPr/>
      </w:pPr>
      <w:bookmarkStart w:id="41" w:name="__RefHeading___Toc1037_346879323"/>
      <w:bookmarkEnd w:id="41"/>
      <w:r>
        <w:rPr>
          <w:rFonts w:eastAsia="Times New Roman" w:cs="Times New Roman" w:ascii="Times New Roman" w:hAnsi="Times New Roman"/>
        </w:rPr>
        <w:t>4.8. Prolongements</w:t>
      </w:r>
    </w:p>
    <w:p>
      <w:pPr>
        <w:pStyle w:val="ListParagraph"/>
        <w:numPr>
          <w:ilvl w:val="0"/>
          <w:numId w:val="112"/>
        </w:numPr>
        <w:spacing w:lineRule="auto" w:line="360" w:before="0" w:after="40"/>
        <w:jc w:val="both"/>
        <w:rPr/>
      </w:pPr>
      <w:r>
        <w:rPr>
          <w:rFonts w:eastAsia="Times New Roman" w:cs="Times New Roman"/>
        </w:rPr>
        <w:t>Élaborer la planche du cycle évolutif du paludisme (travail pratique prévu par le support).</w:t>
      </w:r>
    </w:p>
    <w:p>
      <w:pPr>
        <w:pStyle w:val="ListParagraph"/>
        <w:numPr>
          <w:ilvl w:val="0"/>
          <w:numId w:val="113"/>
        </w:numPr>
        <w:spacing w:lineRule="auto" w:line="360" w:before="0" w:after="120"/>
        <w:jc w:val="both"/>
        <w:rPr/>
        <w:sectPr>
          <w:footerReference w:type="even" r:id="rId29"/>
          <w:footerReference w:type="default" r:id="rId30"/>
          <w:footerReference w:type="first" r:id="rId31"/>
          <w:type w:val="nextPage"/>
          <w:pgSz w:w="11906" w:h="16838"/>
          <w:pgMar w:left="1418" w:right="1418" w:gutter="0" w:header="0" w:top="1418" w:footer="567" w:bottom="1418"/>
          <w:pgNumType w:fmt="decimal"/>
          <w:formProt w:val="false"/>
          <w:textDirection w:val="lrTb"/>
          <w:docGrid w:type="default" w:linePitch="360" w:charSpace="0"/>
        </w:sectPr>
      </w:pPr>
      <w:r>
        <w:rPr>
          <w:rFonts w:eastAsia="Times New Roman" w:cs="Times New Roman"/>
        </w:rPr>
        <w:t>Dessiner la carte des gîtes de l’école et organiser une journée de salubrité.</w:t>
      </w:r>
    </w:p>
    <w:p>
      <w:pPr>
        <w:pStyle w:val="Heading2"/>
        <w:rPr/>
      </w:pPr>
      <w:bookmarkStart w:id="42" w:name="__RefHeading___Toc1039_346879323"/>
      <w:bookmarkEnd w:id="42"/>
      <w:r>
        <w:rPr>
          <w:rFonts w:eastAsia="Times New Roman" w:cs="Times New Roman" w:ascii="Times New Roman" w:hAnsi="Times New Roman"/>
        </w:rPr>
        <w:t>4.9. Schéma directeur (Freeplane)</w:t>
      </w:r>
    </w:p>
    <w:p>
      <w:pPr>
        <w:pStyle w:val="Normal"/>
        <w:spacing w:lineRule="auto" w:line="360" w:before="0" w:after="120"/>
        <w:jc w:val="both"/>
        <w:rPr/>
      </w:pPr>
      <w:r>
        <w:rPr>
          <w:rFonts w:eastAsia="Times New Roman" w:cs="Times New Roman"/>
        </w:rPr>
        <w:t xml:space="preserve">Fichier source : </w:t>
      </w:r>
      <w:r>
        <w:rPr>
          <w:rFonts w:eastAsia="Times New Roman" w:cs="Times New Roman"/>
          <w:i/>
          <w:iCs/>
        </w:rPr>
        <w:t>exp4_schema_directeur.mm</w:t>
      </w:r>
      <w:r>
        <w:rPr>
          <w:rFonts w:eastAsia="Times New Roman" w:cs="Times New Roman"/>
        </w:rPr>
        <w:t>, à ouvrir avec Freeplane.</w:t>
      </w:r>
    </w:p>
    <w:p>
      <w:pPr>
        <w:pStyle w:val="Caption"/>
        <w:keepNext w:val="true"/>
        <w:spacing w:lineRule="auto" w:line="240" w:before="200" w:after="100"/>
        <w:jc w:val="center"/>
        <w:rPr/>
      </w:pPr>
      <w:r>
        <w:rPr>
          <w:rFonts w:eastAsia="Times New Roman" w:cs="Times New Roman"/>
          <w:b/>
          <w:bCs/>
          <w:sz w:val="22"/>
          <w:szCs w:val="22"/>
        </w:rPr>
        <w:t xml:space="preserve">Figure </w:t>
      </w:r>
      <w:r>
        <w:rPr>
          <w:rFonts w:cs="Times New Roman"/>
          <w:b/>
          <w:bCs/>
          <w:sz w:val="22"/>
          <w:szCs w:val="22"/>
        </w:rPr>
        <w:fldChar w:fldCharType="begin"/>
      </w:r>
      <w:r>
        <w:rPr>
          <w:sz w:val="22"/>
          <w:b/>
          <w:szCs w:val="22"/>
          <w:bCs/>
          <w:rFonts w:cs="Times New Roman"/>
        </w:rPr>
        <w:instrText xml:space="preserve"> SEQ Figure \* ARABIC </w:instrText>
      </w:r>
      <w:r>
        <w:rPr>
          <w:sz w:val="22"/>
          <w:b/>
          <w:szCs w:val="22"/>
          <w:bCs/>
          <w:rFonts w:cs="Times New Roman"/>
        </w:rPr>
        <w:fldChar w:fldCharType="separate"/>
      </w:r>
      <w:r>
        <w:rPr>
          <w:sz w:val="22"/>
          <w:b/>
          <w:szCs w:val="22"/>
          <w:bCs/>
          <w:rFonts w:cs="Times New Roman"/>
        </w:rPr>
        <w:t>8</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Schéma directeur de l’expérience 4 : larves de moustiques</w:t>
      </w:r>
    </w:p>
    <w:p>
      <w:pPr>
        <w:pStyle w:val="Normal"/>
        <w:keepNext w:val="true"/>
        <w:spacing w:lineRule="auto" w:line="240"/>
        <w:jc w:val="center"/>
        <w:rPr/>
      </w:pPr>
      <w:r>
        <w:rPr/>
        <w:drawing>
          <wp:inline distT="0" distB="0" distL="0" distR="0">
            <wp:extent cx="8810625" cy="365760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32"/>
                    <a:stretch>
                      <a:fillRect/>
                    </a:stretch>
                  </pic:blipFill>
                  <pic:spPr bwMode="auto">
                    <a:xfrm>
                      <a:off x="0" y="0"/>
                      <a:ext cx="8810625" cy="3657600"/>
                    </a:xfrm>
                    <a:prstGeom prst="rect">
                      <a:avLst/>
                    </a:prstGeom>
                  </pic:spPr>
                </pic:pic>
              </a:graphicData>
            </a:graphic>
          </wp:inline>
        </w:drawing>
      </w:r>
    </w:p>
    <w:p>
      <w:pPr>
        <w:pStyle w:val="Normal"/>
        <w:spacing w:lineRule="auto" w:line="240" w:before="60" w:after="240"/>
        <w:rPr/>
        <w:sectPr>
          <w:footerReference w:type="even" r:id="rId33"/>
          <w:footerReference w:type="default" r:id="rId34"/>
          <w:footerReference w:type="first" r:id="rId35"/>
          <w:type w:val="nextPage"/>
          <w:pgSz w:orient="landscape" w:w="16838" w:h="11906"/>
          <w:pgMar w:left="1418" w:right="1418" w:gutter="0" w:header="0" w:top="1418" w:footer="567" w:bottom="1418"/>
          <w:pgNumType w:fmt="decimal"/>
          <w:formProt w:val="false"/>
          <w:textDirection w:val="lrTb"/>
          <w:docGrid w:type="default" w:linePitch="360" w:charSpace="0"/>
        </w:sectPr>
      </w:pPr>
      <w:r>
        <w:rPr>
          <w:rFonts w:eastAsia="Times New Roman" w:cs="Times New Roman"/>
          <w:i/>
          <w:iCs/>
          <w:sz w:val="22"/>
          <w:szCs w:val="22"/>
        </w:rPr>
        <w:t>Source : Réalisation de l’auteur (2026) avec Freeplane, d’après le support de cours de l’EC2 (2STE1275).</w:t>
      </w:r>
    </w:p>
    <w:p>
      <w:pPr>
        <w:pStyle w:val="Heading1"/>
        <w:rPr/>
      </w:pPr>
      <w:bookmarkStart w:id="43" w:name="__RefHeading___Toc1041_346879323"/>
      <w:bookmarkEnd w:id="43"/>
      <w:r>
        <w:rPr>
          <w:rFonts w:eastAsia="Times New Roman" w:cs="Times New Roman" w:ascii="Times New Roman" w:hAnsi="Times New Roman"/>
        </w:rPr>
        <w:t>EXPÉRIENCE 5 : BIODÉGRADABLE OU NON ? ENFOUIR ET COMPARER LES DÉCHETS</w:t>
      </w:r>
    </w:p>
    <w:p>
      <w:pPr>
        <w:pStyle w:val="Caption"/>
        <w:keepNext w:val="true"/>
        <w:spacing w:lineRule="auto" w:line="240" w:before="200" w:after="100"/>
        <w:jc w:val="center"/>
        <w:rPr/>
      </w:pPr>
      <w:r>
        <w:rPr>
          <w:rFonts w:eastAsia="Times New Roman" w:cs="Times New Roman"/>
          <w:b/>
          <w:bCs/>
          <w:sz w:val="22"/>
          <w:szCs w:val="22"/>
        </w:rPr>
        <w:t xml:space="preserve">Tableau </w:t>
      </w:r>
      <w:r>
        <w:rPr>
          <w:rFonts w:cs="Times New Roman"/>
          <w:b/>
          <w:bCs/>
          <w:sz w:val="22"/>
          <w:szCs w:val="22"/>
        </w:rPr>
        <w:fldChar w:fldCharType="begin"/>
      </w:r>
      <w:r>
        <w:rPr>
          <w:sz w:val="22"/>
          <w:b/>
          <w:szCs w:val="22"/>
          <w:bCs/>
          <w:rFonts w:cs="Times New Roman"/>
        </w:rPr>
        <w:instrText xml:space="preserve"> SEQ Tableau \* ARABIC </w:instrText>
      </w:r>
      <w:r>
        <w:rPr>
          <w:sz w:val="22"/>
          <w:b/>
          <w:szCs w:val="22"/>
          <w:bCs/>
          <w:rFonts w:cs="Times New Roman"/>
        </w:rPr>
        <w:fldChar w:fldCharType="separate"/>
      </w:r>
      <w:r>
        <w:rPr>
          <w:sz w:val="22"/>
          <w:b/>
          <w:szCs w:val="22"/>
          <w:bCs/>
          <w:rFonts w:cs="Times New Roman"/>
        </w:rPr>
        <w:t>10</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Fiche signalétique de l’expérience 5</w:t>
      </w:r>
    </w:p>
    <w:tbl>
      <w:tblPr>
        <w:tblW w:w="9072" w:type="dxa"/>
        <w:jc w:val="center"/>
        <w:tblInd w:w="0" w:type="dxa"/>
        <w:tblLayout w:type="fixed"/>
        <w:tblCellMar>
          <w:top w:w="40" w:type="dxa"/>
          <w:left w:w="80" w:type="dxa"/>
          <w:bottom w:w="40" w:type="dxa"/>
          <w:right w:w="80" w:type="dxa"/>
        </w:tblCellMar>
      </w:tblPr>
      <w:tblGrid>
        <w:gridCol w:w="2268"/>
        <w:gridCol w:w="6803"/>
      </w:tblGrid>
      <w:tr>
        <w:trPr>
          <w:cantSplit w:val="true"/>
        </w:trPr>
        <w:tc>
          <w:tcPr>
            <w:tcW w:w="226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jc w:val="left"/>
              <w:rPr/>
            </w:pPr>
            <w:r>
              <w:rPr>
                <w:rFonts w:eastAsia="Times New Roman" w:cs="Times New Roman"/>
                <w:b/>
                <w:bCs/>
                <w:sz w:val="22"/>
                <w:szCs w:val="22"/>
              </w:rPr>
              <w:t>Lien avec le cours</w:t>
            </w:r>
          </w:p>
        </w:tc>
        <w:tc>
          <w:tcPr>
            <w:tcW w:w="68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b w:val="false"/>
                <w:bCs w:val="false"/>
                <w:sz w:val="22"/>
                <w:szCs w:val="22"/>
              </w:rPr>
              <w:t>Chapitre 6 (éléments polluants ; enfouir les déchets organiques biodégradables et recycler les non biodégradables) et chapitre 5 (aménagement des dépotoirs)</w:t>
            </w:r>
          </w:p>
        </w:tc>
      </w:tr>
      <w:tr>
        <w:trPr>
          <w:cantSplit w:val="true"/>
        </w:trPr>
        <w:tc>
          <w:tcPr>
            <w:tcW w:w="226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jc w:val="left"/>
              <w:rPr/>
            </w:pPr>
            <w:r>
              <w:rPr>
                <w:rFonts w:eastAsia="Times New Roman" w:cs="Times New Roman"/>
                <w:b/>
                <w:bCs/>
                <w:sz w:val="22"/>
                <w:szCs w:val="22"/>
              </w:rPr>
              <w:t>Durée</w:t>
            </w:r>
          </w:p>
        </w:tc>
        <w:tc>
          <w:tcPr>
            <w:tcW w:w="68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b w:val="false"/>
                <w:bCs w:val="false"/>
                <w:sz w:val="22"/>
                <w:szCs w:val="22"/>
              </w:rPr>
              <w:t>1 h de mise en place ; 3 à 4 semaines d’attente</w:t>
            </w:r>
          </w:p>
        </w:tc>
      </w:tr>
      <w:tr>
        <w:trPr>
          <w:cantSplit w:val="true"/>
        </w:trPr>
        <w:tc>
          <w:tcPr>
            <w:tcW w:w="226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jc w:val="left"/>
              <w:rPr/>
            </w:pPr>
            <w:r>
              <w:rPr>
                <w:rFonts w:eastAsia="Times New Roman" w:cs="Times New Roman"/>
                <w:b/>
                <w:bCs/>
                <w:sz w:val="22"/>
                <w:szCs w:val="22"/>
              </w:rPr>
              <w:t>Public</w:t>
            </w:r>
          </w:p>
        </w:tc>
        <w:tc>
          <w:tcPr>
            <w:tcW w:w="68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b w:val="false"/>
                <w:bCs w:val="false"/>
                <w:sz w:val="22"/>
                <w:szCs w:val="22"/>
              </w:rPr>
              <w:t>Élèves-professeurs d’école ; transposable au CM1-CM2</w:t>
            </w:r>
          </w:p>
        </w:tc>
      </w:tr>
      <w:tr>
        <w:trPr>
          <w:cantSplit w:val="true"/>
        </w:trPr>
        <w:tc>
          <w:tcPr>
            <w:tcW w:w="226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jc w:val="left"/>
              <w:rPr/>
            </w:pPr>
            <w:r>
              <w:rPr>
                <w:rFonts w:eastAsia="Times New Roman" w:cs="Times New Roman"/>
                <w:b/>
                <w:bCs/>
                <w:sz w:val="22"/>
                <w:szCs w:val="22"/>
              </w:rPr>
              <w:t>Coût</w:t>
            </w:r>
          </w:p>
        </w:tc>
        <w:tc>
          <w:tcPr>
            <w:tcW w:w="68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b w:val="false"/>
                <w:bCs w:val="false"/>
                <w:sz w:val="22"/>
                <w:szCs w:val="22"/>
              </w:rPr>
              <w:t>Aucun : matériel récupéré ou disponible à l’école</w:t>
            </w:r>
          </w:p>
        </w:tc>
      </w:tr>
    </w:tbl>
    <w:p>
      <w:pPr>
        <w:pStyle w:val="Normal"/>
        <w:spacing w:lineRule="auto" w:line="240" w:before="60" w:after="240"/>
        <w:rPr/>
      </w:pPr>
      <w:r>
        <w:rPr>
          <w:rFonts w:eastAsia="Times New Roman" w:cs="Times New Roman"/>
          <w:i/>
          <w:iCs/>
          <w:sz w:val="22"/>
          <w:szCs w:val="22"/>
        </w:rPr>
        <w:t>Source : Réalisation de l’auteur (2026), d’après le support de cours de l’EC2 (2STE1275).</w:t>
      </w:r>
    </w:p>
    <w:p>
      <w:pPr>
        <w:pStyle w:val="Heading2"/>
        <w:rPr/>
      </w:pPr>
      <w:bookmarkStart w:id="44" w:name="__RefHeading___Toc1043_346879323"/>
      <w:bookmarkEnd w:id="44"/>
      <w:r>
        <w:rPr>
          <w:rFonts w:eastAsia="Times New Roman" w:cs="Times New Roman" w:ascii="Times New Roman" w:hAnsi="Times New Roman"/>
        </w:rPr>
        <w:t>5.1. Situation-problème</w:t>
      </w:r>
    </w:p>
    <w:p>
      <w:pPr>
        <w:pStyle w:val="Normal"/>
        <w:spacing w:lineRule="auto" w:line="360" w:before="0" w:after="120"/>
        <w:ind w:firstLine="709"/>
        <w:jc w:val="both"/>
        <w:rPr/>
      </w:pPr>
      <w:r>
        <w:rPr>
          <w:rFonts w:eastAsia="Times New Roman" w:cs="Times New Roman"/>
        </w:rPr>
        <w:t>Autour de l’école, les sachets plastiques s’accumulent alors que les épluchures disparaissent. Tous les déchets finissent-ils par disparaître dans le sol ?</w:t>
      </w:r>
    </w:p>
    <w:p>
      <w:pPr>
        <w:pStyle w:val="Heading2"/>
        <w:rPr/>
      </w:pPr>
      <w:bookmarkStart w:id="45" w:name="__RefHeading___Toc1045_346879323"/>
      <w:bookmarkEnd w:id="45"/>
      <w:r>
        <w:rPr>
          <w:rFonts w:eastAsia="Times New Roman" w:cs="Times New Roman" w:ascii="Times New Roman" w:hAnsi="Times New Roman"/>
        </w:rPr>
        <w:t>5.2. Objectifs</w:t>
      </w:r>
    </w:p>
    <w:p>
      <w:pPr>
        <w:pStyle w:val="ListParagraph"/>
        <w:numPr>
          <w:ilvl w:val="0"/>
          <w:numId w:val="114"/>
        </w:numPr>
        <w:spacing w:lineRule="auto" w:line="360" w:before="0" w:after="40"/>
        <w:jc w:val="both"/>
        <w:rPr/>
      </w:pPr>
      <w:r>
        <w:rPr>
          <w:rFonts w:eastAsia="Times New Roman" w:cs="Times New Roman"/>
        </w:rPr>
        <w:t>Distinguer les déchets biodégradables des déchets non biodégradables.</w:t>
      </w:r>
    </w:p>
    <w:p>
      <w:pPr>
        <w:pStyle w:val="ListParagraph"/>
        <w:numPr>
          <w:ilvl w:val="0"/>
          <w:numId w:val="115"/>
        </w:numPr>
        <w:spacing w:lineRule="auto" w:line="360" w:before="0" w:after="40"/>
        <w:jc w:val="both"/>
        <w:rPr/>
      </w:pPr>
      <w:r>
        <w:rPr>
          <w:rFonts w:eastAsia="Times New Roman" w:cs="Times New Roman"/>
        </w:rPr>
        <w:t>Comprendre le rôle des décomposeurs du sol.</w:t>
      </w:r>
    </w:p>
    <w:p>
      <w:pPr>
        <w:pStyle w:val="ListParagraph"/>
        <w:numPr>
          <w:ilvl w:val="0"/>
          <w:numId w:val="116"/>
        </w:numPr>
        <w:spacing w:lineRule="auto" w:line="360" w:before="0" w:after="120"/>
        <w:jc w:val="both"/>
        <w:rPr/>
      </w:pPr>
      <w:r>
        <w:rPr>
          <w:rFonts w:eastAsia="Times New Roman" w:cs="Times New Roman"/>
        </w:rPr>
        <w:t>Choisir le bon traitement pour chaque déchet : compostage, collecte ou recyclage.</w:t>
      </w:r>
    </w:p>
    <w:p>
      <w:pPr>
        <w:pStyle w:val="Heading2"/>
        <w:rPr/>
      </w:pPr>
      <w:bookmarkStart w:id="46" w:name="__RefHeading___Toc1047_346879323"/>
      <w:bookmarkEnd w:id="46"/>
      <w:r>
        <w:rPr>
          <w:rFonts w:eastAsia="Times New Roman" w:cs="Times New Roman" w:ascii="Times New Roman" w:hAnsi="Times New Roman"/>
        </w:rPr>
        <w:t>5.3. Matériel et ressources locales</w:t>
      </w:r>
    </w:p>
    <w:p>
      <w:pPr>
        <w:pStyle w:val="Caption"/>
        <w:keepNext w:val="true"/>
        <w:spacing w:lineRule="auto" w:line="240" w:before="200" w:after="100"/>
        <w:jc w:val="center"/>
        <w:rPr/>
      </w:pPr>
      <w:r>
        <w:rPr>
          <w:rFonts w:eastAsia="Times New Roman" w:cs="Times New Roman"/>
          <w:b/>
          <w:bCs/>
          <w:sz w:val="22"/>
          <w:szCs w:val="22"/>
        </w:rPr>
        <w:t xml:space="preserve">Tableau </w:t>
      </w:r>
      <w:r>
        <w:rPr>
          <w:rFonts w:cs="Times New Roman"/>
          <w:b/>
          <w:bCs/>
          <w:sz w:val="22"/>
          <w:szCs w:val="22"/>
        </w:rPr>
        <w:fldChar w:fldCharType="begin"/>
      </w:r>
      <w:r>
        <w:rPr>
          <w:sz w:val="22"/>
          <w:b/>
          <w:szCs w:val="22"/>
          <w:bCs/>
          <w:rFonts w:cs="Times New Roman"/>
        </w:rPr>
        <w:instrText xml:space="preserve"> SEQ Tableau \* ARABIC </w:instrText>
      </w:r>
      <w:r>
        <w:rPr>
          <w:sz w:val="22"/>
          <w:b/>
          <w:szCs w:val="22"/>
          <w:bCs/>
          <w:rFonts w:cs="Times New Roman"/>
        </w:rPr>
        <w:fldChar w:fldCharType="separate"/>
      </w:r>
      <w:r>
        <w:rPr>
          <w:sz w:val="22"/>
          <w:b/>
          <w:szCs w:val="22"/>
          <w:bCs/>
          <w:rFonts w:cs="Times New Roman"/>
        </w:rPr>
        <w:t>11</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Matériel de l’expérience 5 et où le trouver</w:t>
      </w:r>
    </w:p>
    <w:tbl>
      <w:tblPr>
        <w:tblW w:w="9072" w:type="dxa"/>
        <w:jc w:val="center"/>
        <w:tblInd w:w="0" w:type="dxa"/>
        <w:tblLayout w:type="fixed"/>
        <w:tblCellMar>
          <w:top w:w="40" w:type="dxa"/>
          <w:left w:w="80" w:type="dxa"/>
          <w:bottom w:w="40" w:type="dxa"/>
          <w:right w:w="80" w:type="dxa"/>
        </w:tblCellMar>
      </w:tblPr>
      <w:tblGrid>
        <w:gridCol w:w="4536"/>
        <w:gridCol w:w="4535"/>
      </w:tblGrid>
      <w:tr>
        <w:trPr>
          <w:tblHeader w:val="true"/>
          <w:cantSplit w:val="true"/>
        </w:trPr>
        <w:tc>
          <w:tcPr>
            <w:tcW w:w="453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jc w:val="center"/>
              <w:rPr/>
            </w:pPr>
            <w:r>
              <w:rPr>
                <w:rFonts w:eastAsia="Times New Roman" w:cs="Times New Roman"/>
                <w:b/>
                <w:bCs/>
                <w:sz w:val="22"/>
                <w:szCs w:val="22"/>
              </w:rPr>
              <w:t>Matériel</w:t>
            </w:r>
          </w:p>
        </w:tc>
        <w:tc>
          <w:tcPr>
            <w:tcW w:w="453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jc w:val="center"/>
              <w:rPr/>
            </w:pPr>
            <w:r>
              <w:rPr>
                <w:rFonts w:eastAsia="Times New Roman" w:cs="Times New Roman"/>
                <w:b/>
                <w:bCs/>
                <w:sz w:val="22"/>
                <w:szCs w:val="22"/>
              </w:rPr>
              <w:t>Où le trouver (sans achat)</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Épluchures (manioc, banane, orange) et feuilles mortes</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Cuisine, cour de l’école</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Papier, sachet plastique d’eau, morceau de boîte de conserve</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Poubelles de l’école</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Une houe (daba) ou un coupe-coupe</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Matériel du jardin scolaire</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Cinq piquets de bois ou de bambou et des étiquettes en carton</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Branches, cartons récupérés</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Un arrosoir ou une boîte percée</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Jardin scolaire</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Variante : cinq bouteilles coupées remplies de terre humide</w:t>
            </w:r>
          </w:p>
        </w:tc>
        <w:tc>
          <w:tcPr>
            <w:tcW w:w="45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pPr>
            <w:r>
              <w:rPr>
                <w:rFonts w:eastAsia="Times New Roman" w:cs="Times New Roman"/>
                <w:sz w:val="22"/>
                <w:szCs w:val="22"/>
              </w:rPr>
              <w:t>Récupération</w:t>
            </w:r>
          </w:p>
        </w:tc>
      </w:tr>
    </w:tbl>
    <w:p>
      <w:pPr>
        <w:pStyle w:val="Normal"/>
        <w:spacing w:lineRule="auto" w:line="240" w:before="60" w:after="240"/>
        <w:rPr/>
      </w:pPr>
      <w:r>
        <w:rPr>
          <w:rFonts w:eastAsia="Times New Roman" w:cs="Times New Roman"/>
          <w:i/>
          <w:iCs/>
          <w:sz w:val="22"/>
          <w:szCs w:val="22"/>
        </w:rPr>
        <w:t>Source : Réalisation de l’auteur (2026).</w:t>
      </w:r>
    </w:p>
    <w:p>
      <w:pPr>
        <w:pStyle w:val="Heading2"/>
        <w:rPr/>
      </w:pPr>
      <w:bookmarkStart w:id="47" w:name="__RefHeading___Toc1049_346879323"/>
      <w:bookmarkEnd w:id="47"/>
      <w:r>
        <w:rPr>
          <w:rFonts w:eastAsia="Times New Roman" w:cs="Times New Roman" w:ascii="Times New Roman" w:hAnsi="Times New Roman"/>
        </w:rPr>
        <w:t>5.4. Démarche</w:t>
      </w:r>
    </w:p>
    <w:p>
      <w:pPr>
        <w:pStyle w:val="ListParagraph"/>
        <w:numPr>
          <w:ilvl w:val="0"/>
          <w:numId w:val="117"/>
        </w:numPr>
        <w:spacing w:lineRule="auto" w:line="360" w:before="0" w:after="40"/>
        <w:jc w:val="both"/>
        <w:rPr/>
      </w:pPr>
      <w:r>
        <w:rPr>
          <w:rFonts w:eastAsia="Times New Roman" w:cs="Times New Roman"/>
        </w:rPr>
        <w:t>Collecter les déchets, en protégeant ses mains avec des sachets plastiques retournés.</w:t>
      </w:r>
    </w:p>
    <w:p>
      <w:pPr>
        <w:pStyle w:val="ListParagraph"/>
        <w:numPr>
          <w:ilvl w:val="0"/>
          <w:numId w:val="118"/>
        </w:numPr>
        <w:spacing w:lineRule="auto" w:line="360" w:before="0" w:after="40"/>
        <w:jc w:val="both"/>
        <w:rPr/>
      </w:pPr>
      <w:r>
        <w:rPr>
          <w:rFonts w:eastAsia="Times New Roman" w:cs="Times New Roman"/>
        </w:rPr>
        <w:t>Dans le jardin scolaire, creuser cinq trous de 15 à 20 cm de profondeur, espacés de 50 cm.</w:t>
      </w:r>
    </w:p>
    <w:p>
      <w:pPr>
        <w:pStyle w:val="ListParagraph"/>
        <w:numPr>
          <w:ilvl w:val="0"/>
          <w:numId w:val="119"/>
        </w:numPr>
        <w:spacing w:lineRule="auto" w:line="360" w:before="0" w:after="40"/>
        <w:jc w:val="both"/>
        <w:rPr/>
      </w:pPr>
      <w:r>
        <w:rPr>
          <w:rFonts w:eastAsia="Times New Roman" w:cs="Times New Roman"/>
        </w:rPr>
        <w:t>Déposer un type de déchet par trou et noter son état initial (dessin, taille, couleur).</w:t>
      </w:r>
    </w:p>
    <w:p>
      <w:pPr>
        <w:pStyle w:val="ListParagraph"/>
        <w:numPr>
          <w:ilvl w:val="0"/>
          <w:numId w:val="120"/>
        </w:numPr>
        <w:spacing w:lineRule="auto" w:line="360" w:before="0" w:after="40"/>
        <w:jc w:val="both"/>
        <w:rPr/>
      </w:pPr>
      <w:r>
        <w:rPr>
          <w:rFonts w:eastAsia="Times New Roman" w:cs="Times New Roman"/>
        </w:rPr>
        <w:t>Reboucher chaque trou, planter un piquet étiqueté, puis arroser légèrement chaque semaine pour garder le sol humide.</w:t>
      </w:r>
    </w:p>
    <w:p>
      <w:pPr>
        <w:pStyle w:val="ListParagraph"/>
        <w:numPr>
          <w:ilvl w:val="0"/>
          <w:numId w:val="121"/>
        </w:numPr>
        <w:spacing w:lineRule="auto" w:line="360" w:before="0" w:after="40"/>
        <w:jc w:val="both"/>
        <w:rPr/>
      </w:pPr>
      <w:r>
        <w:rPr>
          <w:rFonts w:eastAsia="Times New Roman" w:cs="Times New Roman"/>
        </w:rPr>
        <w:t>Variante visible : placer chaque déchet contre la paroi d’une bouteille coupée remplie de terre, afin de suivre son évolution sans creuser.</w:t>
      </w:r>
    </w:p>
    <w:p>
      <w:pPr>
        <w:pStyle w:val="ListParagraph"/>
        <w:numPr>
          <w:ilvl w:val="0"/>
          <w:numId w:val="122"/>
        </w:numPr>
        <w:spacing w:lineRule="auto" w:line="360" w:before="0" w:after="40"/>
        <w:jc w:val="both"/>
        <w:rPr/>
      </w:pPr>
      <w:r>
        <w:rPr>
          <w:rFonts w:eastAsia="Times New Roman" w:cs="Times New Roman"/>
        </w:rPr>
        <w:t>Après 3 à 4 semaines, déterrer, observer et remplir un tableau comparatif (transformé ou intact, couleur, odeur, petites bêtes présentes).</w:t>
      </w:r>
    </w:p>
    <w:p>
      <w:pPr>
        <w:pStyle w:val="ListParagraph"/>
        <w:numPr>
          <w:ilvl w:val="0"/>
          <w:numId w:val="123"/>
        </w:numPr>
        <w:spacing w:lineRule="auto" w:line="360" w:before="0" w:after="120"/>
        <w:jc w:val="both"/>
        <w:rPr/>
      </w:pPr>
      <w:r>
        <w:rPr>
          <w:rFonts w:eastAsia="Times New Roman" w:cs="Times New Roman"/>
        </w:rPr>
        <w:t>Remettre les déchets organiques dans une fosse à compost. Collecter le plastique et le métal pour les recycler.</w:t>
      </w:r>
    </w:p>
    <w:p>
      <w:pPr>
        <w:pStyle w:val="Caption"/>
        <w:keepNext w:val="true"/>
        <w:spacing w:lineRule="auto" w:line="240" w:before="200" w:after="100"/>
        <w:jc w:val="center"/>
        <w:rPr/>
      </w:pPr>
      <w:r>
        <w:rPr>
          <w:rFonts w:eastAsia="Times New Roman" w:cs="Times New Roman"/>
          <w:b/>
          <w:bCs/>
          <w:sz w:val="22"/>
          <w:szCs w:val="22"/>
        </w:rPr>
        <w:t xml:space="preserve">Figure </w:t>
      </w:r>
      <w:r>
        <w:rPr>
          <w:rFonts w:cs="Times New Roman"/>
          <w:b/>
          <w:bCs/>
          <w:sz w:val="22"/>
          <w:szCs w:val="22"/>
        </w:rPr>
        <w:fldChar w:fldCharType="begin"/>
      </w:r>
      <w:r>
        <w:rPr>
          <w:sz w:val="22"/>
          <w:b/>
          <w:szCs w:val="22"/>
          <w:bCs/>
          <w:rFonts w:cs="Times New Roman"/>
        </w:rPr>
        <w:instrText xml:space="preserve"> SEQ Figure \* ARABIC </w:instrText>
      </w:r>
      <w:r>
        <w:rPr>
          <w:sz w:val="22"/>
          <w:b/>
          <w:szCs w:val="22"/>
          <w:bCs/>
          <w:rFonts w:cs="Times New Roman"/>
        </w:rPr>
        <w:fldChar w:fldCharType="separate"/>
      </w:r>
      <w:r>
        <w:rPr>
          <w:sz w:val="22"/>
          <w:b/>
          <w:szCs w:val="22"/>
          <w:bCs/>
          <w:rFonts w:cs="Times New Roman"/>
        </w:rPr>
        <w:t>9</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Dispositif de l’expérience 5 : déchets biodégradables</w:t>
      </w:r>
    </w:p>
    <w:p>
      <w:pPr>
        <w:pStyle w:val="Normal"/>
        <w:keepNext w:val="true"/>
        <w:spacing w:lineRule="auto" w:line="240"/>
        <w:jc w:val="center"/>
        <w:rPr/>
      </w:pPr>
      <w:r>
        <w:rPr/>
        <w:drawing>
          <wp:inline distT="0" distB="0" distL="0" distR="0">
            <wp:extent cx="5400675" cy="3600450"/>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36"/>
                    <a:stretch>
                      <a:fillRect/>
                    </a:stretch>
                  </pic:blipFill>
                  <pic:spPr bwMode="auto">
                    <a:xfrm>
                      <a:off x="0" y="0"/>
                      <a:ext cx="5400675" cy="3600450"/>
                    </a:xfrm>
                    <a:prstGeom prst="rect">
                      <a:avLst/>
                    </a:prstGeom>
                  </pic:spPr>
                </pic:pic>
              </a:graphicData>
            </a:graphic>
          </wp:inline>
        </w:drawing>
      </w:r>
    </w:p>
    <w:p>
      <w:pPr>
        <w:pStyle w:val="Normal"/>
        <w:spacing w:lineRule="auto" w:line="240" w:before="60" w:after="240"/>
        <w:rPr/>
      </w:pPr>
      <w:r>
        <w:rPr>
          <w:rFonts w:eastAsia="Times New Roman" w:cs="Times New Roman"/>
          <w:i/>
          <w:iCs/>
          <w:sz w:val="22"/>
          <w:szCs w:val="22"/>
        </w:rPr>
        <w:t>Source : Réalisation de l’auteur (2026), d’après le support de cours de l’EC2 « Maladies et hygiène » (2STE1275).</w:t>
      </w:r>
    </w:p>
    <w:p>
      <w:pPr>
        <w:pStyle w:val="Heading2"/>
        <w:rPr/>
      </w:pPr>
      <w:bookmarkStart w:id="48" w:name="__RefHeading___Toc1051_346879323"/>
      <w:bookmarkEnd w:id="48"/>
      <w:r>
        <w:rPr>
          <w:rFonts w:eastAsia="Times New Roman" w:cs="Times New Roman" w:ascii="Times New Roman" w:hAnsi="Times New Roman"/>
        </w:rPr>
        <w:t>5.5. Observations attendues</w:t>
      </w:r>
    </w:p>
    <w:p>
      <w:pPr>
        <w:pStyle w:val="ListParagraph"/>
        <w:numPr>
          <w:ilvl w:val="0"/>
          <w:numId w:val="124"/>
        </w:numPr>
        <w:spacing w:lineRule="auto" w:line="360" w:before="0" w:after="40"/>
        <w:jc w:val="both"/>
        <w:rPr/>
      </w:pPr>
      <w:r>
        <w:rPr>
          <w:rFonts w:eastAsia="Times New Roman" w:cs="Times New Roman"/>
        </w:rPr>
        <w:t>Les épluchures et les feuilles sont presque décomposées ; des vers de terre ou des termites sont présents.</w:t>
      </w:r>
    </w:p>
    <w:p>
      <w:pPr>
        <w:pStyle w:val="ListParagraph"/>
        <w:numPr>
          <w:ilvl w:val="0"/>
          <w:numId w:val="125"/>
        </w:numPr>
        <w:spacing w:lineRule="auto" w:line="360" w:before="0" w:after="40"/>
        <w:jc w:val="both"/>
        <w:rPr/>
      </w:pPr>
      <w:r>
        <w:rPr>
          <w:rFonts w:eastAsia="Times New Roman" w:cs="Times New Roman"/>
        </w:rPr>
        <w:t>Le papier est ramolli et en partie décomposé.</w:t>
      </w:r>
    </w:p>
    <w:p>
      <w:pPr>
        <w:pStyle w:val="ListParagraph"/>
        <w:numPr>
          <w:ilvl w:val="0"/>
          <w:numId w:val="126"/>
        </w:numPr>
        <w:spacing w:lineRule="auto" w:line="360" w:before="0" w:after="120"/>
        <w:jc w:val="both"/>
        <w:rPr/>
      </w:pPr>
      <w:r>
        <w:rPr>
          <w:rFonts w:eastAsia="Times New Roman" w:cs="Times New Roman"/>
        </w:rPr>
        <w:t>Le sachet plastique est intact ; le métal est seulement rouillé.</w:t>
      </w:r>
    </w:p>
    <w:p>
      <w:pPr>
        <w:pStyle w:val="Heading2"/>
        <w:rPr/>
      </w:pPr>
      <w:bookmarkStart w:id="49" w:name="__RefHeading___Toc1053_346879323"/>
      <w:bookmarkEnd w:id="49"/>
      <w:r>
        <w:rPr>
          <w:rFonts w:eastAsia="Times New Roman" w:cs="Times New Roman" w:ascii="Times New Roman" w:hAnsi="Times New Roman"/>
        </w:rPr>
        <w:t>5.6. Interprétation et conclusion</w:t>
      </w:r>
    </w:p>
    <w:p>
      <w:pPr>
        <w:pStyle w:val="ListParagraph"/>
        <w:numPr>
          <w:ilvl w:val="0"/>
          <w:numId w:val="127"/>
        </w:numPr>
        <w:spacing w:lineRule="auto" w:line="360" w:before="0" w:after="40"/>
        <w:jc w:val="both"/>
        <w:rPr/>
      </w:pPr>
      <w:r>
        <w:rPr>
          <w:rFonts w:eastAsia="Times New Roman" w:cs="Times New Roman"/>
        </w:rPr>
        <w:t>Les décomposeurs du sol (bactéries, champignons, vers) transforment les déchets organiques en humus : ce sont des déchets biodégradables, utilisables en compost.</w:t>
      </w:r>
    </w:p>
    <w:p>
      <w:pPr>
        <w:pStyle w:val="ListParagraph"/>
        <w:numPr>
          <w:ilvl w:val="0"/>
          <w:numId w:val="128"/>
        </w:numPr>
        <w:spacing w:lineRule="auto" w:line="360" w:before="0" w:after="40"/>
        <w:jc w:val="both"/>
        <w:rPr/>
      </w:pPr>
      <w:r>
        <w:rPr>
          <w:rFonts w:eastAsia="Times New Roman" w:cs="Times New Roman"/>
        </w:rPr>
        <w:t>Le plastique et le métal ne sont pas décomposés : ils restent des dizaines, voire des centaines d’années dans le sol.</w:t>
      </w:r>
    </w:p>
    <w:p>
      <w:pPr>
        <w:pStyle w:val="ListParagraph"/>
        <w:numPr>
          <w:ilvl w:val="0"/>
          <w:numId w:val="129"/>
        </w:numPr>
        <w:spacing w:lineRule="auto" w:line="360" w:before="0" w:after="40"/>
        <w:jc w:val="both"/>
        <w:rPr/>
      </w:pPr>
      <w:r>
        <w:rPr>
          <w:rFonts w:eastAsia="Times New Roman" w:cs="Times New Roman"/>
        </w:rPr>
        <w:t>Les sachets plastiques bouchent les caniveaux et retiennent l’eau, qui devient un gîte à moustiques (lien avec l’expérience 4). Brûlés, ils libèrent des gaz polluants.</w:t>
      </w:r>
    </w:p>
    <w:p>
      <w:pPr>
        <w:pStyle w:val="ListParagraph"/>
        <w:numPr>
          <w:ilvl w:val="0"/>
          <w:numId w:val="130"/>
        </w:numPr>
        <w:spacing w:lineRule="auto" w:line="360" w:before="0" w:after="120"/>
        <w:jc w:val="both"/>
        <w:rPr/>
      </w:pPr>
      <w:r>
        <w:rPr>
          <w:rFonts w:eastAsia="Times New Roman" w:cs="Times New Roman"/>
        </w:rPr>
        <w:t>Il faut donc enfouir ou composter les déchets organiques, et recycler les déchets non biodégradables (cours, chapitre 6).</w:t>
      </w:r>
    </w:p>
    <w:p>
      <w:pPr>
        <w:pStyle w:val="Heading2"/>
        <w:rPr/>
      </w:pPr>
      <w:bookmarkStart w:id="50" w:name="__RefHeading___Toc1055_346879323"/>
      <w:bookmarkEnd w:id="50"/>
      <w:r>
        <w:rPr>
          <w:rFonts w:eastAsia="Times New Roman" w:cs="Times New Roman" w:ascii="Times New Roman" w:hAnsi="Times New Roman"/>
        </w:rPr>
        <w:t>5.7. Précautions de sécurité</w:t>
      </w:r>
    </w:p>
    <w:p>
      <w:pPr>
        <w:pStyle w:val="ListParagraph"/>
        <w:numPr>
          <w:ilvl w:val="0"/>
          <w:numId w:val="131"/>
        </w:numPr>
        <w:spacing w:lineRule="auto" w:line="360" w:before="0" w:after="40"/>
        <w:jc w:val="both"/>
        <w:rPr/>
      </w:pPr>
      <w:r>
        <w:rPr>
          <w:rFonts w:eastAsia="Times New Roman" w:cs="Times New Roman"/>
        </w:rPr>
        <w:t>Ne pas utiliser de verre, de piles ni de déchets médicaux.</w:t>
      </w:r>
    </w:p>
    <w:p>
      <w:pPr>
        <w:pStyle w:val="ListParagraph"/>
        <w:numPr>
          <w:ilvl w:val="0"/>
          <w:numId w:val="132"/>
        </w:numPr>
        <w:spacing w:lineRule="auto" w:line="360" w:before="0" w:after="40"/>
        <w:jc w:val="both"/>
        <w:rPr/>
      </w:pPr>
      <w:r>
        <w:rPr>
          <w:rFonts w:eastAsia="Times New Roman" w:cs="Times New Roman"/>
        </w:rPr>
        <w:t>Protéger ses mains et se laver les mains au savon à la fin de chaque séance.</w:t>
      </w:r>
    </w:p>
    <w:p>
      <w:pPr>
        <w:pStyle w:val="ListParagraph"/>
        <w:numPr>
          <w:ilvl w:val="0"/>
          <w:numId w:val="133"/>
        </w:numPr>
        <w:spacing w:lineRule="auto" w:line="360" w:before="0" w:after="120"/>
        <w:jc w:val="both"/>
        <w:rPr/>
      </w:pPr>
      <w:r>
        <w:rPr>
          <w:rFonts w:eastAsia="Times New Roman" w:cs="Times New Roman"/>
        </w:rPr>
        <w:t>Creuser loin des latrines et des points d’eau.</w:t>
      </w:r>
    </w:p>
    <w:p>
      <w:pPr>
        <w:pStyle w:val="Heading2"/>
        <w:rPr/>
      </w:pPr>
      <w:bookmarkStart w:id="51" w:name="__RefHeading___Toc1057_346879323"/>
      <w:bookmarkEnd w:id="51"/>
      <w:r>
        <w:rPr>
          <w:rFonts w:eastAsia="Times New Roman" w:cs="Times New Roman" w:ascii="Times New Roman" w:hAnsi="Times New Roman"/>
        </w:rPr>
        <w:t>5.8. Prolongements</w:t>
      </w:r>
    </w:p>
    <w:p>
      <w:pPr>
        <w:pStyle w:val="ListParagraph"/>
        <w:numPr>
          <w:ilvl w:val="0"/>
          <w:numId w:val="134"/>
        </w:numPr>
        <w:spacing w:lineRule="auto" w:line="360" w:before="0" w:after="40"/>
        <w:jc w:val="both"/>
        <w:rPr/>
      </w:pPr>
      <w:r>
        <w:rPr>
          <w:rFonts w:eastAsia="Times New Roman" w:cs="Times New Roman"/>
        </w:rPr>
        <w:t>Créer une fosse compostière pour le jardin scolaire.</w:t>
      </w:r>
    </w:p>
    <w:p>
      <w:pPr>
        <w:pStyle w:val="ListParagraph"/>
        <w:numPr>
          <w:ilvl w:val="0"/>
          <w:numId w:val="135"/>
        </w:numPr>
        <w:spacing w:lineRule="auto" w:line="360" w:before="0" w:after="120"/>
        <w:jc w:val="both"/>
        <w:rPr/>
        <w:sectPr>
          <w:footerReference w:type="even" r:id="rId37"/>
          <w:footerReference w:type="default" r:id="rId38"/>
          <w:footerReference w:type="first" r:id="rId39"/>
          <w:type w:val="nextPage"/>
          <w:pgSz w:w="11906" w:h="16838"/>
          <w:pgMar w:left="1418" w:right="1418" w:gutter="0" w:header="0" w:top="1418" w:footer="567" w:bottom="1418"/>
          <w:pgNumType w:fmt="decimal"/>
          <w:formProt w:val="false"/>
          <w:textDirection w:val="lrTb"/>
          <w:docGrid w:type="default" w:linePitch="360" w:charSpace="0"/>
        </w:sectPr>
      </w:pPr>
      <w:r>
        <w:rPr>
          <w:rFonts w:eastAsia="Times New Roman" w:cs="Times New Roman"/>
        </w:rPr>
        <w:t>Organiser un atelier de recyclage des sachets plastiques (tressage de sacs, pavés plastique-sable réalisés par le formateur).</w:t>
      </w:r>
    </w:p>
    <w:p>
      <w:pPr>
        <w:pStyle w:val="Heading2"/>
        <w:rPr/>
      </w:pPr>
      <w:bookmarkStart w:id="52" w:name="__RefHeading___Toc1059_346879323"/>
      <w:bookmarkEnd w:id="52"/>
      <w:r>
        <w:rPr>
          <w:rFonts w:eastAsia="Times New Roman" w:cs="Times New Roman" w:ascii="Times New Roman" w:hAnsi="Times New Roman"/>
        </w:rPr>
        <w:t>5.9. Schéma directeur (Freeplane)</w:t>
      </w:r>
    </w:p>
    <w:p>
      <w:pPr>
        <w:pStyle w:val="Normal"/>
        <w:spacing w:lineRule="auto" w:line="360" w:before="0" w:after="120"/>
        <w:jc w:val="both"/>
        <w:rPr/>
      </w:pPr>
      <w:r>
        <w:rPr>
          <w:rFonts w:eastAsia="Times New Roman" w:cs="Times New Roman"/>
        </w:rPr>
        <w:t xml:space="preserve">Fichier source : </w:t>
      </w:r>
      <w:r>
        <w:rPr>
          <w:rFonts w:eastAsia="Times New Roman" w:cs="Times New Roman"/>
          <w:i/>
          <w:iCs/>
        </w:rPr>
        <w:t>exp5_schema_directeur.mm</w:t>
      </w:r>
      <w:r>
        <w:rPr>
          <w:rFonts w:eastAsia="Times New Roman" w:cs="Times New Roman"/>
        </w:rPr>
        <w:t>, à ouvrir avec Freeplane.</w:t>
      </w:r>
    </w:p>
    <w:p>
      <w:pPr>
        <w:pStyle w:val="Caption"/>
        <w:keepNext w:val="true"/>
        <w:spacing w:lineRule="auto" w:line="240" w:before="200" w:after="100"/>
        <w:jc w:val="center"/>
        <w:rPr/>
      </w:pPr>
      <w:r>
        <w:rPr>
          <w:rFonts w:eastAsia="Times New Roman" w:cs="Times New Roman"/>
          <w:b/>
          <w:bCs/>
          <w:sz w:val="22"/>
          <w:szCs w:val="22"/>
        </w:rPr>
        <w:t xml:space="preserve">Figure </w:t>
      </w:r>
      <w:r>
        <w:rPr>
          <w:rFonts w:cs="Times New Roman"/>
          <w:b/>
          <w:bCs/>
          <w:sz w:val="22"/>
          <w:szCs w:val="22"/>
        </w:rPr>
        <w:fldChar w:fldCharType="begin"/>
      </w:r>
      <w:r>
        <w:rPr>
          <w:sz w:val="22"/>
          <w:b/>
          <w:szCs w:val="22"/>
          <w:bCs/>
          <w:rFonts w:cs="Times New Roman"/>
        </w:rPr>
        <w:instrText xml:space="preserve"> SEQ Figure \* ARABIC </w:instrText>
      </w:r>
      <w:r>
        <w:rPr>
          <w:sz w:val="22"/>
          <w:b/>
          <w:szCs w:val="22"/>
          <w:bCs/>
          <w:rFonts w:cs="Times New Roman"/>
        </w:rPr>
        <w:fldChar w:fldCharType="separate"/>
      </w:r>
      <w:r>
        <w:rPr>
          <w:sz w:val="22"/>
          <w:b/>
          <w:szCs w:val="22"/>
          <w:bCs/>
          <w:rFonts w:cs="Times New Roman"/>
        </w:rPr>
        <w:t>10</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Schéma directeur de l’expérience 5 : déchets biodégradables</w:t>
      </w:r>
    </w:p>
    <w:p>
      <w:pPr>
        <w:pStyle w:val="Normal"/>
        <w:keepNext w:val="true"/>
        <w:spacing w:lineRule="auto" w:line="240"/>
        <w:jc w:val="center"/>
        <w:rPr/>
      </w:pPr>
      <w:r>
        <w:rPr/>
        <w:drawing>
          <wp:inline distT="0" distB="0" distL="0" distR="0">
            <wp:extent cx="8810625" cy="3657600"/>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40"/>
                    <a:stretch>
                      <a:fillRect/>
                    </a:stretch>
                  </pic:blipFill>
                  <pic:spPr bwMode="auto">
                    <a:xfrm>
                      <a:off x="0" y="0"/>
                      <a:ext cx="8810625" cy="3657600"/>
                    </a:xfrm>
                    <a:prstGeom prst="rect">
                      <a:avLst/>
                    </a:prstGeom>
                  </pic:spPr>
                </pic:pic>
              </a:graphicData>
            </a:graphic>
          </wp:inline>
        </w:drawing>
      </w:r>
    </w:p>
    <w:p>
      <w:pPr>
        <w:pStyle w:val="Normal"/>
        <w:spacing w:lineRule="auto" w:line="240" w:before="60" w:after="240"/>
        <w:rPr/>
        <w:sectPr>
          <w:footerReference w:type="even" r:id="rId41"/>
          <w:footerReference w:type="default" r:id="rId42"/>
          <w:footerReference w:type="first" r:id="rId43"/>
          <w:type w:val="nextPage"/>
          <w:pgSz w:orient="landscape" w:w="16838" w:h="11906"/>
          <w:pgMar w:left="1418" w:right="1418" w:gutter="0" w:header="0" w:top="1418" w:footer="567" w:bottom="1418"/>
          <w:pgNumType w:fmt="decimal"/>
          <w:formProt w:val="false"/>
          <w:textDirection w:val="lrTb"/>
          <w:docGrid w:type="default" w:linePitch="360" w:charSpace="0"/>
        </w:sectPr>
      </w:pPr>
      <w:r>
        <w:rPr>
          <w:rFonts w:eastAsia="Times New Roman" w:cs="Times New Roman"/>
          <w:i/>
          <w:iCs/>
          <w:sz w:val="22"/>
          <w:szCs w:val="22"/>
        </w:rPr>
        <w:t>Source : Réalisation de l’auteur (2026) avec Freeplane, d’après le support de cours de l’EC2 (2STE1275).</w:t>
      </w:r>
    </w:p>
    <w:p>
      <w:pPr>
        <w:pStyle w:val="Heading1"/>
        <w:rPr/>
      </w:pPr>
      <w:bookmarkStart w:id="53" w:name="__RefHeading___Toc1061_346879323"/>
      <w:bookmarkEnd w:id="53"/>
      <w:r>
        <w:rPr>
          <w:rFonts w:eastAsia="Times New Roman" w:cs="Times New Roman" w:ascii="Times New Roman" w:hAnsi="Times New Roman"/>
        </w:rPr>
        <w:t>CONCLUSION</w:t>
      </w:r>
    </w:p>
    <w:p>
      <w:pPr>
        <w:pStyle w:val="Normal"/>
        <w:spacing w:lineRule="auto" w:line="360" w:before="0" w:after="120"/>
        <w:ind w:firstLine="709"/>
        <w:jc w:val="both"/>
        <w:rPr/>
      </w:pPr>
      <w:r>
        <w:rPr>
          <w:rFonts w:eastAsia="Times New Roman" w:cs="Times New Roman"/>
        </w:rPr>
        <w:t>Ces cinq expériences montrent qu’il est possible de rendre observables des notions abstraites du cours (microbes invisibles, goudrons, cycle du moustique, décomposition des déchets, potabilité de l’eau) sans aucun achat, grâce aux ressources du milieu togolais. Elles placent l’élève-professeur au cœur d’une démarche d’investigation qu’il pourra ensuite transposer dans ses classes du primaire. Elles débouchent enfin sur des actions concrètes de santé et d’hygiène : lave-mains, destruction des gîtes larvaires, compostage, traitement de l’eau et lutte contre le tabagisme.</w:t>
      </w:r>
    </w:p>
    <w:p>
      <w:pPr>
        <w:pStyle w:val="Heading1"/>
        <w:rPr/>
      </w:pPr>
      <w:bookmarkStart w:id="54" w:name="__RefHeading___Toc1063_346879323"/>
      <w:bookmarkEnd w:id="54"/>
      <w:r>
        <w:rPr>
          <w:rFonts w:eastAsia="Times New Roman" w:cs="Times New Roman" w:ascii="Times New Roman" w:hAnsi="Times New Roman"/>
        </w:rPr>
        <w:t>RÉFÉRENCES</w:t>
      </w:r>
    </w:p>
    <w:p>
      <w:pPr>
        <w:pStyle w:val="Normal"/>
        <w:spacing w:lineRule="auto" w:line="360" w:before="0" w:after="120"/>
        <w:ind w:hanging="720" w:left="720"/>
        <w:rPr/>
      </w:pPr>
      <w:r>
        <w:rPr>
          <w:rFonts w:eastAsia="Times New Roman" w:cs="Times New Roman"/>
        </w:rPr>
        <w:t xml:space="preserve">Djakou, R., et Thanon, S. Y. (1987). </w:t>
      </w:r>
      <w:r>
        <w:rPr>
          <w:rFonts w:eastAsia="Times New Roman" w:cs="Times New Roman"/>
          <w:i/>
          <w:iCs/>
        </w:rPr>
        <w:t>Biologie humaine 3e</w:t>
      </w:r>
      <w:r>
        <w:rPr>
          <w:rFonts w:eastAsia="Times New Roman" w:cs="Times New Roman"/>
        </w:rPr>
        <w:t>. Nouvelles Éditions Africaines ; Bordas.</w:t>
      </w:r>
    </w:p>
    <w:p>
      <w:pPr>
        <w:pStyle w:val="Normal"/>
        <w:spacing w:lineRule="auto" w:line="360" w:before="0" w:after="120"/>
        <w:ind w:hanging="720" w:left="720"/>
        <w:rPr/>
      </w:pPr>
      <w:r>
        <w:rPr>
          <w:rFonts w:eastAsia="Times New Roman" w:cs="Times New Roman"/>
        </w:rPr>
        <w:t xml:space="preserve">ENFPE. (s.d.). </w:t>
      </w:r>
      <w:r>
        <w:rPr>
          <w:rFonts w:eastAsia="Times New Roman" w:cs="Times New Roman"/>
          <w:i/>
          <w:iCs/>
        </w:rPr>
        <w:t>UE STE1275 – EC2 (2STE1275) : Maladies et hygiène</w:t>
      </w:r>
      <w:r>
        <w:rPr>
          <w:rFonts w:eastAsia="Times New Roman" w:cs="Times New Roman"/>
        </w:rPr>
        <w:t xml:space="preserve"> [Support de cours]. Champ Sciences et technologie.</w:t>
      </w:r>
    </w:p>
    <w:p>
      <w:pPr>
        <w:pStyle w:val="Normal"/>
        <w:spacing w:lineRule="auto" w:line="360" w:before="0" w:after="120"/>
        <w:ind w:hanging="720" w:left="720"/>
        <w:rPr/>
      </w:pPr>
      <w:r>
        <w:rPr>
          <w:rFonts w:eastAsia="Times New Roman" w:cs="Times New Roman"/>
        </w:rPr>
        <w:t xml:space="preserve">Organisation mondiale de la santé. (2009). </w:t>
      </w:r>
      <w:r>
        <w:rPr>
          <w:rFonts w:eastAsia="Times New Roman" w:cs="Times New Roman"/>
          <w:i/>
          <w:iCs/>
        </w:rPr>
        <w:t>Manuel technique de l’OMS pour l’hygiène des mains</w:t>
      </w:r>
      <w:r>
        <w:rPr>
          <w:rFonts w:eastAsia="Times New Roman" w:cs="Times New Roman"/>
        </w:rPr>
        <w:t>. OMS.</w:t>
      </w:r>
    </w:p>
    <w:p>
      <w:pPr>
        <w:pStyle w:val="Normal"/>
        <w:spacing w:lineRule="auto" w:line="360" w:before="0" w:after="120"/>
        <w:ind w:hanging="720" w:left="720"/>
        <w:rPr/>
      </w:pPr>
      <w:r>
        <w:rPr>
          <w:rFonts w:eastAsia="Times New Roman" w:cs="Times New Roman"/>
        </w:rPr>
        <w:t xml:space="preserve">SERVEDIT et LIMUSCO. (2000). </w:t>
      </w:r>
      <w:r>
        <w:rPr>
          <w:rFonts w:eastAsia="Times New Roman" w:cs="Times New Roman"/>
          <w:i/>
          <w:iCs/>
        </w:rPr>
        <w:t>Éducation scientifique et initiation à la vie pratique CE : guide du maître</w:t>
      </w:r>
      <w:r>
        <w:rPr>
          <w:rFonts w:eastAsia="Times New Roman" w:cs="Times New Roman"/>
        </w:rPr>
        <w:t>.</w:t>
      </w:r>
    </w:p>
    <w:sectPr>
      <w:footerReference w:type="even" r:id="rId44"/>
      <w:footerReference w:type="default" r:id="rId45"/>
      <w:footerReference w:type="first" r:id="rId46"/>
      <w:type w:val="nextPage"/>
      <w:pgSz w:w="11906" w:h="16838"/>
      <w:pgMar w:left="1418" w:right="1418" w:gutter="0" w:header="0" w:top="1418" w:footer="567"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00"/>
    <w:family w:val="swiss"/>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8</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9</w:t>
    </w:r>
    <w:r>
      <w:rPr/>
      <w:fldChar w:fldCharType="end"/>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12</w:t>
    </w:r>
    <w:r>
      <w:rPr/>
      <w:fldChar w:fldCharType="end"/>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13</w:t>
    </w:r>
    <w:r>
      <w:rPr/>
      <w:fldChar w:fldCharType="end"/>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16</w:t>
    </w:r>
    <w:r>
      <w:rPr/>
      <w:fldChar w:fldCharType="end"/>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17</w:t>
    </w:r>
    <w:r>
      <w:rPr/>
      <w:fldChar w:fldCharType="end"/>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20</w:t>
    </w:r>
    <w:r>
      <w:rPr/>
      <w:fldChar w:fldCharType="end"/>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21</w:t>
    </w:r>
    <w:r>
      <w:rPr/>
      <w:fldChar w:fldCharType="end"/>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24</w:t>
    </w:r>
    <w:r>
      <w:rPr/>
      <w:fldChar w:fldCharType="end"/>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25</w:t>
    </w:r>
    <w:r>
      <w:rPr/>
      <w:fldChar w:fldCharType="end"/>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26</w:t>
    </w:r>
    <w:r>
      <w:rPr/>
      <w:fldChar w:fldCharType="end"/>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09" w:hanging="354"/>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0"/>
        </w:tabs>
        <w:ind w:left="709" w:hanging="354"/>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decimal"/>
      <w:lvlText w:val="%1."/>
      <w:lvlJc w:val="left"/>
      <w:pPr>
        <w:tabs>
          <w:tab w:val="num" w:pos="0"/>
        </w:tabs>
        <w:ind w:left="709" w:hanging="354"/>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lvl w:ilvl="0">
      <w:start w:val="1"/>
      <w:numFmt w:val="decimal"/>
      <w:lvlText w:val="%1."/>
      <w:lvlJc w:val="left"/>
      <w:pPr>
        <w:tabs>
          <w:tab w:val="num" w:pos="0"/>
        </w:tabs>
        <w:ind w:left="709" w:hanging="354"/>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lvl w:ilvl="0">
      <w:start w:val="1"/>
      <w:numFmt w:val="decimal"/>
      <w:lvlText w:val="%1."/>
      <w:lvlJc w:val="left"/>
      <w:pPr>
        <w:tabs>
          <w:tab w:val="num" w:pos="0"/>
        </w:tabs>
        <w:ind w:left="709" w:hanging="354"/>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1"/>
    <w:lvlOverride w:ilvl="0">
      <w:startOverride w:val="1"/>
    </w:lvlOverride>
  </w:num>
  <w:num w:numId="34">
    <w:abstractNumId w:val="1"/>
    <w:lvlOverride w:ilvl="0">
      <w:startOverride w:val="1"/>
    </w:lvlOverride>
  </w:num>
  <w:num w:numId="35">
    <w:abstractNumId w:val="1"/>
  </w:num>
  <w:num w:numId="36">
    <w:abstractNumId w:val="1"/>
  </w:num>
  <w:num w:numId="37">
    <w:abstractNumId w:val="3"/>
    <w:lvlOverride w:ilvl="0">
      <w:startOverride w:val="1"/>
    </w:lvlOverride>
  </w:num>
  <w:num w:numId="38">
    <w:abstractNumId w:val="1"/>
    <w:lvlOverride w:ilvl="0">
      <w:startOverride w:val="1"/>
    </w:lvlOverride>
  </w:num>
  <w:num w:numId="39">
    <w:abstractNumId w:val="1"/>
  </w:num>
  <w:num w:numId="40">
    <w:abstractNumId w:val="1"/>
  </w:num>
  <w:num w:numId="41">
    <w:abstractNumId w:val="1"/>
    <w:lvlOverride w:ilvl="0">
      <w:startOverride w:val="1"/>
    </w:lvlOverride>
  </w:num>
  <w:num w:numId="42">
    <w:abstractNumId w:val="1"/>
  </w:num>
  <w:num w:numId="43">
    <w:abstractNumId w:val="1"/>
  </w:num>
  <w:num w:numId="44">
    <w:abstractNumId w:val="1"/>
  </w:num>
  <w:num w:numId="45">
    <w:abstractNumId w:val="1"/>
    <w:lvlOverride w:ilvl="0">
      <w:startOverride w:val="1"/>
    </w:lvlOverride>
  </w:num>
  <w:num w:numId="46">
    <w:abstractNumId w:val="1"/>
  </w:num>
  <w:num w:numId="47">
    <w:abstractNumId w:val="1"/>
  </w:num>
  <w:num w:numId="48">
    <w:abstractNumId w:val="1"/>
  </w:num>
  <w:num w:numId="49">
    <w:abstractNumId w:val="1"/>
    <w:lvlOverride w:ilvl="0">
      <w:startOverride w:val="1"/>
    </w:lvlOverride>
  </w:num>
  <w:num w:numId="50">
    <w:abstractNumId w:val="1"/>
  </w:num>
  <w:num w:numId="51">
    <w:abstractNumId w:val="1"/>
    <w:lvlOverride w:ilvl="0">
      <w:startOverride w:val="1"/>
    </w:lvlOverride>
  </w:num>
  <w:num w:numId="52">
    <w:abstractNumId w:val="1"/>
  </w:num>
  <w:num w:numId="53">
    <w:abstractNumId w:val="3"/>
    <w:lvlOverride w:ilvl="0">
      <w:startOverride w:val="1"/>
    </w:lvlOverride>
  </w:num>
  <w:num w:numId="54">
    <w:abstractNumId w:val="3"/>
  </w:num>
  <w:num w:numId="55">
    <w:abstractNumId w:val="3"/>
  </w:num>
  <w:num w:numId="56">
    <w:abstractNumId w:val="3"/>
  </w:num>
  <w:num w:numId="57">
    <w:abstractNumId w:val="3"/>
  </w:num>
  <w:num w:numId="58">
    <w:abstractNumId w:val="3"/>
  </w:num>
  <w:num w:numId="59">
    <w:abstractNumId w:val="1"/>
    <w:lvlOverride w:ilvl="0">
      <w:startOverride w:val="1"/>
    </w:lvlOverride>
  </w:num>
  <w:num w:numId="60">
    <w:abstractNumId w:val="1"/>
  </w:num>
  <w:num w:numId="61">
    <w:abstractNumId w:val="1"/>
  </w:num>
  <w:num w:numId="62">
    <w:abstractNumId w:val="1"/>
    <w:lvlOverride w:ilvl="0">
      <w:startOverride w:val="1"/>
    </w:lvlOverride>
  </w:num>
  <w:num w:numId="63">
    <w:abstractNumId w:val="1"/>
  </w:num>
  <w:num w:numId="64">
    <w:abstractNumId w:val="1"/>
  </w:num>
  <w:num w:numId="65">
    <w:abstractNumId w:val="1"/>
    <w:lvlOverride w:ilvl="0">
      <w:startOverride w:val="1"/>
    </w:lvlOverride>
  </w:num>
  <w:num w:numId="66">
    <w:abstractNumId w:val="1"/>
  </w:num>
  <w:num w:numId="67">
    <w:abstractNumId w:val="1"/>
  </w:num>
  <w:num w:numId="68">
    <w:abstractNumId w:val="1"/>
  </w:num>
  <w:num w:numId="69">
    <w:abstractNumId w:val="1"/>
    <w:lvlOverride w:ilvl="0">
      <w:startOverride w:val="1"/>
    </w:lvlOverride>
  </w:num>
  <w:num w:numId="70">
    <w:abstractNumId w:val="1"/>
  </w:num>
  <w:num w:numId="71">
    <w:abstractNumId w:val="1"/>
    <w:lvlOverride w:ilvl="0">
      <w:startOverride w:val="1"/>
    </w:lvlOverride>
  </w:num>
  <w:num w:numId="72">
    <w:abstractNumId w:val="1"/>
  </w:num>
  <w:num w:numId="73">
    <w:abstractNumId w:val="1"/>
  </w:num>
  <w:num w:numId="74">
    <w:abstractNumId w:val="3"/>
    <w:lvlOverride w:ilvl="0">
      <w:startOverride w:val="1"/>
    </w:lvlOverride>
  </w:num>
  <w:num w:numId="75">
    <w:abstractNumId w:val="3"/>
  </w:num>
  <w:num w:numId="76">
    <w:abstractNumId w:val="3"/>
  </w:num>
  <w:num w:numId="77">
    <w:abstractNumId w:val="3"/>
  </w:num>
  <w:num w:numId="78">
    <w:abstractNumId w:val="3"/>
  </w:num>
  <w:num w:numId="79">
    <w:abstractNumId w:val="3"/>
  </w:num>
  <w:num w:numId="80">
    <w:abstractNumId w:val="1"/>
    <w:lvlOverride w:ilvl="0">
      <w:startOverride w:val="1"/>
    </w:lvlOverride>
  </w:num>
  <w:num w:numId="81">
    <w:abstractNumId w:val="1"/>
  </w:num>
  <w:num w:numId="82">
    <w:abstractNumId w:val="1"/>
  </w:num>
  <w:num w:numId="83">
    <w:abstractNumId w:val="1"/>
    <w:lvlOverride w:ilvl="0">
      <w:startOverride w:val="1"/>
    </w:lvlOverride>
  </w:num>
  <w:num w:numId="84">
    <w:abstractNumId w:val="1"/>
  </w:num>
  <w:num w:numId="85">
    <w:abstractNumId w:val="1"/>
  </w:num>
  <w:num w:numId="86">
    <w:abstractNumId w:val="1"/>
    <w:lvlOverride w:ilvl="0">
      <w:startOverride w:val="1"/>
    </w:lvlOverride>
  </w:num>
  <w:num w:numId="87">
    <w:abstractNumId w:val="1"/>
  </w:num>
  <w:num w:numId="88">
    <w:abstractNumId w:val="1"/>
  </w:num>
  <w:num w:numId="89">
    <w:abstractNumId w:val="1"/>
  </w:num>
  <w:num w:numId="90">
    <w:abstractNumId w:val="1"/>
    <w:lvlOverride w:ilvl="0">
      <w:startOverride w:val="1"/>
    </w:lvlOverride>
  </w:num>
  <w:num w:numId="91">
    <w:abstractNumId w:val="1"/>
  </w:num>
  <w:num w:numId="92">
    <w:abstractNumId w:val="1"/>
    <w:lvlOverride w:ilvl="0">
      <w:startOverride w:val="1"/>
    </w:lvlOverride>
  </w:num>
  <w:num w:numId="93">
    <w:abstractNumId w:val="1"/>
  </w:num>
  <w:num w:numId="94">
    <w:abstractNumId w:val="1"/>
  </w:num>
  <w:num w:numId="95">
    <w:abstractNumId w:val="3"/>
    <w:lvlOverride w:ilvl="0">
      <w:startOverride w:val="1"/>
    </w:lvlOverride>
  </w:num>
  <w:num w:numId="96">
    <w:abstractNumId w:val="3"/>
  </w:num>
  <w:num w:numId="97">
    <w:abstractNumId w:val="3"/>
  </w:num>
  <w:num w:numId="98">
    <w:abstractNumId w:val="3"/>
  </w:num>
  <w:num w:numId="99">
    <w:abstractNumId w:val="3"/>
  </w:num>
  <w:num w:numId="100">
    <w:abstractNumId w:val="3"/>
  </w:num>
  <w:num w:numId="101">
    <w:abstractNumId w:val="3"/>
  </w:num>
  <w:num w:numId="102">
    <w:abstractNumId w:val="1"/>
    <w:lvlOverride w:ilvl="0">
      <w:startOverride w:val="1"/>
    </w:lvlOverride>
  </w:num>
  <w:num w:numId="103">
    <w:abstractNumId w:val="1"/>
  </w:num>
  <w:num w:numId="104">
    <w:abstractNumId w:val="1"/>
  </w:num>
  <w:num w:numId="105">
    <w:abstractNumId w:val="1"/>
    <w:lvlOverride w:ilvl="0">
      <w:startOverride w:val="1"/>
    </w:lvlOverride>
  </w:num>
  <w:num w:numId="106">
    <w:abstractNumId w:val="1"/>
  </w:num>
  <w:num w:numId="107">
    <w:abstractNumId w:val="1"/>
  </w:num>
  <w:num w:numId="108">
    <w:abstractNumId w:val="1"/>
    <w:lvlOverride w:ilvl="0">
      <w:startOverride w:val="1"/>
    </w:lvlOverride>
  </w:num>
  <w:num w:numId="109">
    <w:abstractNumId w:val="1"/>
  </w:num>
  <w:num w:numId="110">
    <w:abstractNumId w:val="1"/>
  </w:num>
  <w:num w:numId="111">
    <w:abstractNumId w:val="1"/>
  </w:num>
  <w:num w:numId="112">
    <w:abstractNumId w:val="1"/>
    <w:lvlOverride w:ilvl="0">
      <w:startOverride w:val="1"/>
    </w:lvlOverride>
  </w:num>
  <w:num w:numId="113">
    <w:abstractNumId w:val="1"/>
  </w:num>
  <w:num w:numId="114">
    <w:abstractNumId w:val="1"/>
    <w:lvlOverride w:ilvl="0">
      <w:startOverride w:val="1"/>
    </w:lvlOverride>
  </w:num>
  <w:num w:numId="115">
    <w:abstractNumId w:val="1"/>
  </w:num>
  <w:num w:numId="116">
    <w:abstractNumId w:val="1"/>
  </w:num>
  <w:num w:numId="117">
    <w:abstractNumId w:val="3"/>
    <w:lvlOverride w:ilvl="0">
      <w:startOverride w:val="1"/>
    </w:lvlOverride>
  </w:num>
  <w:num w:numId="118">
    <w:abstractNumId w:val="3"/>
  </w:num>
  <w:num w:numId="119">
    <w:abstractNumId w:val="3"/>
  </w:num>
  <w:num w:numId="120">
    <w:abstractNumId w:val="3"/>
  </w:num>
  <w:num w:numId="121">
    <w:abstractNumId w:val="3"/>
  </w:num>
  <w:num w:numId="122">
    <w:abstractNumId w:val="3"/>
  </w:num>
  <w:num w:numId="123">
    <w:abstractNumId w:val="3"/>
  </w:num>
  <w:num w:numId="124">
    <w:abstractNumId w:val="1"/>
    <w:lvlOverride w:ilvl="0">
      <w:startOverride w:val="1"/>
    </w:lvlOverride>
  </w:num>
  <w:num w:numId="125">
    <w:abstractNumId w:val="1"/>
  </w:num>
  <w:num w:numId="126">
    <w:abstractNumId w:val="1"/>
  </w:num>
  <w:num w:numId="127">
    <w:abstractNumId w:val="1"/>
    <w:lvlOverride w:ilvl="0">
      <w:startOverride w:val="1"/>
    </w:lvlOverride>
  </w:num>
  <w:num w:numId="128">
    <w:abstractNumId w:val="1"/>
  </w:num>
  <w:num w:numId="129">
    <w:abstractNumId w:val="1"/>
  </w:num>
  <w:num w:numId="130">
    <w:abstractNumId w:val="1"/>
  </w:num>
  <w:num w:numId="131">
    <w:abstractNumId w:val="1"/>
    <w:lvlOverride w:ilvl="0">
      <w:startOverride w:val="1"/>
    </w:lvlOverride>
  </w:num>
  <w:num w:numId="132">
    <w:abstractNumId w:val="1"/>
  </w:num>
  <w:num w:numId="133">
    <w:abstractNumId w:val="1"/>
  </w:num>
  <w:num w:numId="134">
    <w:abstractNumId w:val="1"/>
    <w:lvlOverride w:ilvl="0">
      <w:startOverride w:val="1"/>
    </w:lvlOverride>
  </w:num>
  <w:num w:numId="135">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60"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keepNext w:val="true"/>
      <w:spacing w:lineRule="auto" w:line="360" w:before="0" w:after="360"/>
      <w:jc w:val="center"/>
      <w:outlineLvl w:val="0"/>
    </w:pPr>
    <w:rPr>
      <w:rFonts w:ascii="Times New Roman" w:hAnsi="Times New Roman" w:eastAsia="Times New Roman" w:cs="Times New Roman"/>
      <w:b/>
      <w:bCs/>
      <w:color w:val="1F3864"/>
      <w:sz w:val="28"/>
      <w:szCs w:val="28"/>
    </w:rPr>
  </w:style>
  <w:style w:type="paragraph" w:styleId="Heading2">
    <w:name w:val="Heading 2"/>
    <w:basedOn w:val="Heading"/>
    <w:qFormat/>
    <w:pPr>
      <w:keepNext w:val="true"/>
      <w:spacing w:lineRule="auto" w:line="360" w:before="280" w:after="120"/>
      <w:outlineLvl w:val="1"/>
    </w:pPr>
    <w:rPr>
      <w:rFonts w:ascii="Times New Roman" w:hAnsi="Times New Roman" w:eastAsia="Times New Roman" w:cs="Times New Roman"/>
      <w:b/>
      <w:bCs/>
      <w:color w:val="1F3864"/>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rPr>
      <w:rFonts w:ascii="Times New Roman" w:hAnsi="Times New Roman" w:eastAsia="Times New Roman" w:cs="Times New Roman"/>
      <w:sz w:val="22"/>
      <w:szCs w:val="22"/>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lineRule="auto" w:line="360"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lineRule="auto" w:line="360" w:before="0" w:after="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itreliminaire">
    <w:name w:val="Titre liminaire"/>
    <w:qFormat/>
    <w:pPr>
      <w:widowControl/>
      <w:bidi w:val="0"/>
      <w:spacing w:before="0" w:after="360" w:lineRule="auto" w:line="360"/>
      <w:jc w:val="center"/>
    </w:pPr>
    <w:rPr>
      <w:rFonts w:ascii="Times New Roman" w:hAnsi="Times New Roman" w:eastAsia="Times New Roman" w:cs="Times New Roman"/>
      <w:b/>
      <w:bCs/>
      <w:color w:val="1F3864"/>
      <w:kern w:val="0"/>
      <w:sz w:val="28"/>
      <w:szCs w:val="28"/>
      <w:lang w:val="en-US" w:eastAsia="zh-CN" w:bidi="hi-IN"/>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070" w:leader="dot"/>
      </w:tabs>
      <w:ind w:hanging="0" w:left="0"/>
    </w:pPr>
    <w:rPr/>
  </w:style>
  <w:style w:type="paragraph" w:styleId="TOC2">
    <w:name w:val="TOC 2"/>
    <w:basedOn w:val="Index"/>
    <w:pPr>
      <w:tabs>
        <w:tab w:val="clear" w:pos="720"/>
        <w:tab w:val="right" w:pos="8787"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image" Target="media/image1.png"/><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image" Target="media/image2.png"/><Relationship Id="rId9" Type="http://schemas.openxmlformats.org/officeDocument/2006/relationships/footer" Target="footer6.xml"/><Relationship Id="rId10" Type="http://schemas.openxmlformats.org/officeDocument/2006/relationships/footer" Target="footer7.xml"/><Relationship Id="rId11" Type="http://schemas.openxmlformats.org/officeDocument/2006/relationships/footer" Target="footer8.xml"/><Relationship Id="rId12" Type="http://schemas.openxmlformats.org/officeDocument/2006/relationships/image" Target="media/image3.png"/><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image" Target="media/image4.png"/><Relationship Id="rId17" Type="http://schemas.openxmlformats.org/officeDocument/2006/relationships/footer" Target="footer12.xml"/><Relationship Id="rId18" Type="http://schemas.openxmlformats.org/officeDocument/2006/relationships/footer" Target="footer13.xml"/><Relationship Id="rId19" Type="http://schemas.openxmlformats.org/officeDocument/2006/relationships/footer" Target="footer14.xml"/><Relationship Id="rId20" Type="http://schemas.openxmlformats.org/officeDocument/2006/relationships/image" Target="media/image5.png"/><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image" Target="media/image6.png"/><Relationship Id="rId25" Type="http://schemas.openxmlformats.org/officeDocument/2006/relationships/footer" Target="footer18.xml"/><Relationship Id="rId26" Type="http://schemas.openxmlformats.org/officeDocument/2006/relationships/footer" Target="footer19.xml"/><Relationship Id="rId27" Type="http://schemas.openxmlformats.org/officeDocument/2006/relationships/footer" Target="footer20.xml"/><Relationship Id="rId28" Type="http://schemas.openxmlformats.org/officeDocument/2006/relationships/image" Target="media/image7.png"/><Relationship Id="rId29" Type="http://schemas.openxmlformats.org/officeDocument/2006/relationships/footer" Target="footer21.xml"/><Relationship Id="rId30" Type="http://schemas.openxmlformats.org/officeDocument/2006/relationships/footer" Target="footer22.xml"/><Relationship Id="rId31" Type="http://schemas.openxmlformats.org/officeDocument/2006/relationships/footer" Target="footer23.xml"/><Relationship Id="rId32" Type="http://schemas.openxmlformats.org/officeDocument/2006/relationships/image" Target="media/image8.png"/><Relationship Id="rId33" Type="http://schemas.openxmlformats.org/officeDocument/2006/relationships/footer" Target="footer24.xml"/><Relationship Id="rId34" Type="http://schemas.openxmlformats.org/officeDocument/2006/relationships/footer" Target="footer25.xml"/><Relationship Id="rId35" Type="http://schemas.openxmlformats.org/officeDocument/2006/relationships/footer" Target="footer26.xml"/><Relationship Id="rId36" Type="http://schemas.openxmlformats.org/officeDocument/2006/relationships/image" Target="media/image9.png"/><Relationship Id="rId37" Type="http://schemas.openxmlformats.org/officeDocument/2006/relationships/footer" Target="footer27.xml"/><Relationship Id="rId38" Type="http://schemas.openxmlformats.org/officeDocument/2006/relationships/footer" Target="footer28.xml"/><Relationship Id="rId39" Type="http://schemas.openxmlformats.org/officeDocument/2006/relationships/footer" Target="footer29.xml"/><Relationship Id="rId40" Type="http://schemas.openxmlformats.org/officeDocument/2006/relationships/image" Target="media/image10.png"/><Relationship Id="rId41" Type="http://schemas.openxmlformats.org/officeDocument/2006/relationships/footer" Target="footer30.xml"/><Relationship Id="rId42" Type="http://schemas.openxmlformats.org/officeDocument/2006/relationships/footer" Target="footer31.xml"/><Relationship Id="rId43" Type="http://schemas.openxmlformats.org/officeDocument/2006/relationships/footer" Target="footer32.xml"/><Relationship Id="rId44" Type="http://schemas.openxmlformats.org/officeDocument/2006/relationships/footer" Target="footer33.xml"/><Relationship Id="rId45" Type="http://schemas.openxmlformats.org/officeDocument/2006/relationships/footer" Target="footer34.xml"/><Relationship Id="rId46" Type="http://schemas.openxmlformats.org/officeDocument/2006/relationships/footer" Target="footer35.xml"/><Relationship Id="rId47" Type="http://schemas.openxmlformats.org/officeDocument/2006/relationships/numbering" Target="numbering.xml"/><Relationship Id="rId48" Type="http://schemas.openxmlformats.org/officeDocument/2006/relationships/fontTable" Target="fontTable.xml"/><Relationship Id="rId49" Type="http://schemas.openxmlformats.org/officeDocument/2006/relationships/settings" Target="settings.xml"/><Relationship Id="rId5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27</Pages>
  <Words>4075</Words>
  <Characters>20678</Characters>
  <CharactersWithSpaces>24258</CharactersWithSpaces>
  <Paragraphs>399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2026-09-23T10:49:50Z</dcterms:created>
  <dc:creator>ENFPE</dc:creator>
  <dc:description/>
  <dc:language>en-US</dc:language>
  <cp:lastModifiedBy/>
  <dcterms:modified xsi:type="dcterms:W3CDTF">2026-09-23T10:51:13Z</dcterms:modified>
  <cp:revision>2</cp:revision>
  <dc:subject/>
  <dc:title>Cinq expériences pratiques artisanales – EC2 Maladies et hygiène</dc:title>
</cp:coreProperties>
</file>