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9.xml" ContentType="application/vnd.openxmlformats-officedocument.wordprocessingml.footer+xml"/>
  <Override PartName="/word/footer10.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footer1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media/image1.jpeg" ContentType="image/jpeg"/>
  <Override PartName="/word/media/image6.png" ContentType="image/png"/>
  <Override PartName="/word/media/image10.png" ContentType="image/png"/>
  <Override PartName="/word/media/image14.png" ContentType="image/png"/>
  <Override PartName="/word/media/image5.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72" w:type="dxa"/>
        <w:jc w:val="left"/>
        <w:tblInd w:w="0" w:type="dxa"/>
        <w:tblLayout w:type="fixed"/>
        <w:tblCellMar>
          <w:top w:w="0" w:type="dxa"/>
          <w:left w:w="108" w:type="dxa"/>
          <w:bottom w:w="0" w:type="dxa"/>
          <w:right w:w="108" w:type="dxa"/>
        </w:tblCellMar>
      </w:tblPr>
      <w:tblGrid>
        <w:gridCol w:w="4536"/>
        <w:gridCol w:w="4535"/>
      </w:tblGrid>
      <w:tr>
        <w:trPr/>
        <w:tc>
          <w:tcPr>
            <w:tcW w:w="4536" w:type="dxa"/>
            <w:tcBorders/>
          </w:tcPr>
          <w:p>
            <w:pPr>
              <w:pStyle w:val="Normal"/>
              <w:spacing w:lineRule="auto" w:line="240" w:before="0" w:after="0"/>
              <w:jc w:val="center"/>
              <w:rPr/>
            </w:pPr>
            <w:r>
              <w:rPr>
                <w:rFonts w:eastAsia="Times New Roman" w:cs="Times New Roman"/>
                <w:b/>
                <w:bCs/>
                <w:sz w:val="20"/>
                <w:szCs w:val="20"/>
              </w:rPr>
              <w:t>MINISTÈRE DES ENSEIGNEMENTS PRIMAIRE ET SECONDAIRE</w:t>
            </w:r>
          </w:p>
          <w:p>
            <w:pPr>
              <w:pStyle w:val="Normal"/>
              <w:spacing w:lineRule="auto" w:line="240" w:before="0" w:after="0"/>
              <w:jc w:val="center"/>
              <w:rPr/>
            </w:pPr>
            <w:r>
              <w:rPr>
                <w:rFonts w:eastAsia="Times New Roman" w:cs="Times New Roman"/>
                <w:sz w:val="20"/>
                <w:szCs w:val="20"/>
              </w:rPr>
              <w:t>----------</w:t>
            </w:r>
          </w:p>
          <w:p>
            <w:pPr>
              <w:pStyle w:val="Normal"/>
              <w:spacing w:lineRule="auto" w:line="240" w:before="0" w:after="0"/>
              <w:jc w:val="center"/>
              <w:rPr/>
            </w:pPr>
            <w:r>
              <w:rPr>
                <w:rFonts w:eastAsia="Times New Roman" w:cs="Times New Roman"/>
                <w:b/>
                <w:bCs/>
                <w:sz w:val="20"/>
                <w:szCs w:val="20"/>
              </w:rPr>
              <w:t>SECRÉTARIAT GÉNÉRAL</w:t>
            </w:r>
          </w:p>
          <w:p>
            <w:pPr>
              <w:pStyle w:val="Normal"/>
              <w:spacing w:lineRule="auto" w:line="240" w:before="0" w:after="0"/>
              <w:jc w:val="center"/>
              <w:rPr/>
            </w:pPr>
            <w:r>
              <w:rPr>
                <w:rFonts w:eastAsia="Times New Roman" w:cs="Times New Roman"/>
                <w:sz w:val="20"/>
                <w:szCs w:val="20"/>
              </w:rPr>
              <w:t>----------</w:t>
            </w:r>
          </w:p>
          <w:p>
            <w:pPr>
              <w:pStyle w:val="Normal"/>
              <w:spacing w:lineRule="auto" w:line="240" w:before="0" w:after="0"/>
              <w:jc w:val="center"/>
              <w:rPr/>
            </w:pPr>
            <w:r>
              <w:rPr>
                <w:rFonts w:eastAsia="Times New Roman" w:cs="Times New Roman"/>
                <w:b/>
                <w:bCs/>
                <w:sz w:val="20"/>
                <w:szCs w:val="20"/>
              </w:rPr>
              <w:t>DIRECTION DES RESSOURCES HUMAINES (DRH)</w:t>
            </w:r>
          </w:p>
        </w:tc>
        <w:tc>
          <w:tcPr>
            <w:tcW w:w="4535" w:type="dxa"/>
            <w:tcBorders/>
          </w:tcPr>
          <w:p>
            <w:pPr>
              <w:pStyle w:val="Normal"/>
              <w:spacing w:lineRule="auto" w:line="240" w:before="0" w:after="0"/>
              <w:jc w:val="center"/>
              <w:rPr/>
            </w:pPr>
            <w:r>
              <w:rPr>
                <w:rFonts w:eastAsia="Times New Roman" w:cs="Times New Roman"/>
                <w:b/>
                <w:bCs/>
                <w:sz w:val="20"/>
                <w:szCs w:val="20"/>
              </w:rPr>
              <w:t>RÉPUBLIQUE TOGOLAISE</w:t>
            </w:r>
          </w:p>
          <w:p>
            <w:pPr>
              <w:pStyle w:val="Normal"/>
              <w:spacing w:lineRule="auto" w:line="240" w:before="0" w:after="0"/>
              <w:jc w:val="center"/>
              <w:rPr/>
            </w:pPr>
            <w:r>
              <w:rPr>
                <w:rFonts w:eastAsia="Times New Roman" w:cs="Times New Roman"/>
                <w:i/>
                <w:iCs/>
                <w:sz w:val="20"/>
                <w:szCs w:val="20"/>
              </w:rPr>
              <w:t>Travail – Liberté – Patrie</w:t>
            </w:r>
          </w:p>
          <w:p>
            <w:pPr>
              <w:pStyle w:val="Normal"/>
              <w:spacing w:lineRule="auto" w:line="240" w:before="0" w:after="0"/>
              <w:jc w:val="center"/>
              <w:rPr/>
            </w:pPr>
            <w:r>
              <w:rPr>
                <w:rFonts w:eastAsia="Times New Roman" w:cs="Times New Roman"/>
                <w:sz w:val="20"/>
                <w:szCs w:val="20"/>
              </w:rPr>
              <w:t>----------</w:t>
            </w:r>
          </w:p>
          <w:p>
            <w:pPr>
              <w:pStyle w:val="Normal"/>
              <w:spacing w:lineRule="auto" w:line="240" w:before="60" w:after="60"/>
              <w:jc w:val="center"/>
              <w:rPr/>
            </w:pPr>
            <w:r>
              <w:rPr/>
              <w:drawing>
                <wp:inline distT="0" distB="0" distL="0" distR="0">
                  <wp:extent cx="1400175" cy="6667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400175" cy="666750"/>
                          </a:xfrm>
                          <a:prstGeom prst="rect">
                            <a:avLst/>
                          </a:prstGeom>
                        </pic:spPr>
                      </pic:pic>
                    </a:graphicData>
                  </a:graphic>
                </wp:inline>
              </w:drawing>
            </w:r>
          </w:p>
          <w:p>
            <w:pPr>
              <w:pStyle w:val="Normal"/>
              <w:spacing w:lineRule="auto" w:line="240" w:before="0" w:after="0"/>
              <w:jc w:val="center"/>
              <w:rPr/>
            </w:pPr>
            <w:r>
              <w:rPr>
                <w:rFonts w:eastAsia="Times New Roman" w:cs="Times New Roman"/>
                <w:b/>
                <w:bCs/>
                <w:sz w:val="20"/>
                <w:szCs w:val="20"/>
              </w:rPr>
              <w:t>INSTITUT NATIONAL DES SCIENCES DE L’ÉDUCATION (INSE)</w:t>
            </w:r>
          </w:p>
        </w:tc>
      </w:tr>
    </w:tbl>
    <w:p>
      <w:pPr>
        <w:pStyle w:val="Normal"/>
        <w:spacing w:lineRule="auto" w:line="240" w:before="900" w:after="0"/>
        <w:jc w:val="center"/>
        <w:rPr/>
      </w:pPr>
      <w:r>
        <w:rPr>
          <w:rFonts w:eastAsia="Times New Roman" w:cs="Times New Roman"/>
          <w:b/>
          <w:bCs/>
          <w:sz w:val="24"/>
          <w:szCs w:val="24"/>
        </w:rPr>
        <w:t>MASTER PROFESSIONNEL EN SCIENCES DE L’ÉDUCATION ET DE LA FORMATION</w:t>
      </w:r>
    </w:p>
    <w:p>
      <w:pPr>
        <w:pStyle w:val="Normal"/>
        <w:spacing w:lineRule="auto" w:line="240" w:before="80" w:after="0"/>
        <w:jc w:val="center"/>
        <w:rPr/>
      </w:pPr>
      <w:r>
        <w:rPr>
          <w:rFonts w:eastAsia="Times New Roman" w:cs="Times New Roman"/>
          <w:sz w:val="24"/>
          <w:szCs w:val="24"/>
        </w:rPr>
        <w:t>Mention : Formation des formateurs des écoles normales</w:t>
      </w:r>
    </w:p>
    <w:p>
      <w:pPr>
        <w:pStyle w:val="Normal"/>
        <w:spacing w:lineRule="auto" w:line="240" w:before="40" w:after="0"/>
        <w:jc w:val="center"/>
        <w:rPr/>
      </w:pPr>
      <w:r>
        <w:rPr>
          <w:rFonts w:eastAsia="Times New Roman" w:cs="Times New Roman"/>
          <w:sz w:val="24"/>
          <w:szCs w:val="24"/>
        </w:rPr>
        <w:t>Spécialité : Sciences humaines</w:t>
      </w:r>
    </w:p>
    <w:p>
      <w:pPr>
        <w:pStyle w:val="Normal"/>
        <w:spacing w:lineRule="auto" w:line="240" w:before="900" w:after="0"/>
        <w:jc w:val="center"/>
        <w:rPr/>
      </w:pPr>
      <w:r>
        <w:rPr>
          <w:rFonts w:eastAsia="Times New Roman" w:cs="Times New Roman"/>
          <w:b/>
          <w:bCs/>
          <w:sz w:val="28"/>
          <w:szCs w:val="28"/>
        </w:rPr>
        <w:t>MÉMOIRE DE MASTER PROFESSIONNEL</w:t>
      </w:r>
    </w:p>
    <w:p>
      <w:pPr>
        <w:pStyle w:val="Normal"/>
        <w:spacing w:lineRule="auto" w:line="240" w:before="80" w:after="0"/>
        <w:jc w:val="center"/>
        <w:rPr/>
      </w:pPr>
      <w:r>
        <w:rPr>
          <w:rFonts w:eastAsia="Times New Roman" w:cs="Times New Roman"/>
          <w:sz w:val="24"/>
          <w:szCs w:val="24"/>
        </w:rPr>
        <w:t>Rapport de stage en responsabilité effectué à l’ENFPE de Notsè</w:t>
      </w:r>
    </w:p>
    <w:p>
      <w:pPr>
        <w:pStyle w:val="Normal"/>
        <w:spacing w:lineRule="auto" w:line="240" w:before="0" w:after="0"/>
        <w:jc w:val="center"/>
        <w:rPr/>
      </w:pPr>
      <w:r>
        <w:rPr>
          <w:rFonts w:eastAsia="Times New Roman" w:cs="Times New Roman"/>
          <w:sz w:val="24"/>
          <w:szCs w:val="24"/>
        </w:rPr>
        <w:t>du 16 mars au 13 juin 2026</w:t>
      </w:r>
    </w:p>
    <w:p>
      <w:pPr>
        <w:pStyle w:val="Normal"/>
        <w:spacing w:lineRule="auto" w:line="240" w:before="900" w:after="0"/>
        <w:jc w:val="center"/>
        <w:rPr/>
      </w:pPr>
      <w:r>
        <w:rPr>
          <w:rFonts w:eastAsia="Times New Roman" w:cs="Times New Roman"/>
          <w:b/>
          <w:bCs/>
          <w:sz w:val="24"/>
          <w:szCs w:val="24"/>
        </w:rPr>
        <w:t>THÈME</w:t>
      </w:r>
    </w:p>
    <w:p>
      <w:pPr>
        <w:pStyle w:val="Normal"/>
        <w:pBdr>
          <w:top w:val="double" w:sz="6" w:space="6" w:color="1F3864"/>
          <w:left w:val="double" w:sz="6" w:space="6" w:color="1F3864"/>
          <w:bottom w:val="double" w:sz="6" w:space="6" w:color="1F3864"/>
          <w:right w:val="double" w:sz="6" w:space="6" w:color="1F3864"/>
        </w:pBdr>
        <w:spacing w:lineRule="auto" w:line="276" w:before="120" w:after="120"/>
        <w:ind w:left="400" w:right="400"/>
        <w:jc w:val="center"/>
        <w:rPr/>
      </w:pPr>
      <w:r>
        <w:rPr>
          <w:rFonts w:eastAsia="Times New Roman" w:cs="Times New Roman"/>
          <w:b/>
          <w:bCs/>
          <w:sz w:val="28"/>
          <w:szCs w:val="28"/>
        </w:rPr>
        <w:t>ANALYSE DES TECHNIQUES D’ÉVALUATION EN ÉDUCATION CIVIQUE ET MORALE (ECM) SUR LA NOTION DE CITOYENNETÉ À L’ENFPE DE NOTSÈ</w:t>
      </w:r>
    </w:p>
    <w:tbl>
      <w:tblPr>
        <w:tblW w:w="9072" w:type="dxa"/>
        <w:jc w:val="left"/>
        <w:tblInd w:w="0" w:type="dxa"/>
        <w:tblLayout w:type="fixed"/>
        <w:tblCellMar>
          <w:top w:w="0" w:type="dxa"/>
          <w:left w:w="108" w:type="dxa"/>
          <w:bottom w:w="0" w:type="dxa"/>
          <w:right w:w="108" w:type="dxa"/>
        </w:tblCellMar>
      </w:tblPr>
      <w:tblGrid>
        <w:gridCol w:w="4536"/>
        <w:gridCol w:w="4535"/>
      </w:tblGrid>
      <w:tr>
        <w:trPr/>
        <w:tc>
          <w:tcPr>
            <w:tcW w:w="4536" w:type="dxa"/>
            <w:tcBorders/>
          </w:tcPr>
          <w:p>
            <w:pPr>
              <w:pStyle w:val="Normal"/>
              <w:spacing w:lineRule="auto" w:line="240" w:before="700" w:after="0"/>
              <w:jc w:val="left"/>
              <w:rPr/>
            </w:pPr>
            <w:r>
              <w:rPr>
                <w:rFonts w:eastAsia="Times New Roman" w:cs="Times New Roman"/>
                <w:b/>
                <w:bCs/>
                <w:sz w:val="24"/>
                <w:szCs w:val="24"/>
              </w:rPr>
              <w:t>Présenté par :</w:t>
            </w:r>
          </w:p>
          <w:p>
            <w:pPr>
              <w:pStyle w:val="Normal"/>
              <w:spacing w:lineRule="auto" w:line="240" w:before="60" w:after="0"/>
              <w:jc w:val="left"/>
              <w:rPr/>
            </w:pPr>
            <w:r>
              <w:rPr>
                <w:rFonts w:eastAsia="Times New Roman" w:cs="Times New Roman"/>
                <w:sz w:val="24"/>
                <w:szCs w:val="24"/>
              </w:rPr>
              <w:t>KOGNI Koffi Joseph</w:t>
            </w:r>
          </w:p>
        </w:tc>
        <w:tc>
          <w:tcPr>
            <w:tcW w:w="4535" w:type="dxa"/>
            <w:tcBorders/>
          </w:tcPr>
          <w:p>
            <w:pPr>
              <w:pStyle w:val="Normal"/>
              <w:spacing w:lineRule="auto" w:line="240" w:before="700" w:after="0"/>
              <w:jc w:val="left"/>
              <w:rPr/>
            </w:pPr>
            <w:r>
              <w:rPr>
                <w:rFonts w:eastAsia="Times New Roman" w:cs="Times New Roman"/>
                <w:b/>
                <w:bCs/>
                <w:sz w:val="24"/>
                <w:szCs w:val="24"/>
              </w:rPr>
              <w:t>Sous la direction de :</w:t>
            </w:r>
          </w:p>
          <w:p>
            <w:pPr>
              <w:pStyle w:val="Normal"/>
              <w:spacing w:lineRule="auto" w:line="240" w:before="60" w:after="0"/>
              <w:jc w:val="left"/>
              <w:rPr/>
            </w:pPr>
            <w:r>
              <w:rPr>
                <w:rFonts w:eastAsia="Times New Roman" w:cs="Times New Roman"/>
                <w:sz w:val="24"/>
                <w:szCs w:val="24"/>
                <w:highlight w:val="yellow"/>
              </w:rPr>
              <w:t>[Nom et grade du directeur de mémoire]</w:t>
            </w:r>
          </w:p>
          <w:p>
            <w:pPr>
              <w:pStyle w:val="Normal"/>
              <w:spacing w:lineRule="auto" w:line="240" w:before="200" w:after="0"/>
              <w:jc w:val="left"/>
              <w:rPr/>
            </w:pPr>
            <w:r>
              <w:rPr>
                <w:rFonts w:eastAsia="Times New Roman" w:cs="Times New Roman"/>
                <w:b/>
                <w:bCs/>
                <w:sz w:val="24"/>
                <w:szCs w:val="24"/>
              </w:rPr>
              <w:t>Encadreurs de stage :</w:t>
            </w:r>
          </w:p>
          <w:p>
            <w:pPr>
              <w:pStyle w:val="Normal"/>
              <w:spacing w:lineRule="auto" w:line="240" w:before="60" w:after="0"/>
              <w:jc w:val="left"/>
              <w:rPr/>
            </w:pPr>
            <w:r>
              <w:rPr>
                <w:rFonts w:eastAsia="Times New Roman" w:cs="Times New Roman"/>
                <w:sz w:val="24"/>
                <w:szCs w:val="24"/>
              </w:rPr>
              <w:t>M. ADANGLO Kwami, directeur de l’ENFPE</w:t>
            </w:r>
          </w:p>
          <w:p>
            <w:pPr>
              <w:pStyle w:val="Normal"/>
              <w:spacing w:lineRule="auto" w:line="240" w:before="0" w:after="0"/>
              <w:jc w:val="left"/>
              <w:rPr/>
            </w:pPr>
            <w:r>
              <w:rPr>
                <w:rFonts w:eastAsia="Times New Roman" w:cs="Times New Roman"/>
                <w:sz w:val="24"/>
                <w:szCs w:val="24"/>
              </w:rPr>
              <w:t>M. EZA Agbéko Kossi, DACE</w:t>
            </w:r>
          </w:p>
          <w:p>
            <w:pPr>
              <w:pStyle w:val="Normal"/>
              <w:spacing w:lineRule="auto" w:line="240" w:before="0" w:after="0"/>
              <w:jc w:val="left"/>
              <w:rPr/>
            </w:pPr>
            <w:r>
              <w:rPr>
                <w:rFonts w:eastAsia="Times New Roman" w:cs="Times New Roman"/>
                <w:sz w:val="24"/>
                <w:szCs w:val="24"/>
              </w:rPr>
              <w:t>Les formateurs du champ Sciences humaines</w:t>
            </w:r>
          </w:p>
        </w:tc>
      </w:tr>
    </w:tbl>
    <w:p>
      <w:pPr>
        <w:pStyle w:val="Normal"/>
        <w:spacing w:lineRule="auto" w:line="240" w:before="700" w:after="0"/>
        <w:jc w:val="center"/>
        <w:rPr/>
        <w:sectPr>
          <w:type w:val="nextPage"/>
          <w:pgSz w:w="11906" w:h="16838"/>
          <w:pgMar w:left="1418" w:right="1418" w:gutter="0" w:header="0" w:top="1418" w:footer="0" w:bottom="1418"/>
          <w:pgNumType w:fmt="decimal"/>
          <w:formProt w:val="false"/>
          <w:textDirection w:val="lrTb"/>
          <w:docGrid w:type="default" w:linePitch="360" w:charSpace="0"/>
        </w:sectPr>
      </w:pPr>
      <w:r>
        <w:rPr>
          <w:rFonts w:eastAsia="Times New Roman" w:cs="Times New Roman"/>
          <w:b/>
          <w:bCs/>
          <w:sz w:val="24"/>
          <w:szCs w:val="24"/>
        </w:rPr>
        <w:t xml:space="preserve">Année académique : </w:t>
      </w:r>
      <w:r>
        <w:rPr>
          <w:rFonts w:eastAsia="Times New Roman" w:cs="Times New Roman"/>
          <w:b/>
          <w:bCs/>
          <w:sz w:val="24"/>
          <w:szCs w:val="24"/>
          <w:highlight w:val="yellow"/>
        </w:rPr>
        <w:t>2025-2026</w:t>
      </w:r>
      <w:r>
        <w:rPr>
          <w:rFonts w:eastAsia="Times New Roman" w:cs="Times New Roman"/>
          <w:b/>
          <w:bCs/>
          <w:sz w:val="24"/>
          <w:szCs w:val="24"/>
        </w:rPr>
        <w:t xml:space="preserve"> – Harmattan 1</w:t>
      </w:r>
      <w:r>
        <w:br w:type="page"/>
      </w:r>
    </w:p>
    <w:p>
      <w:pPr>
        <w:pStyle w:val="Titreliminaire"/>
        <w:rPr/>
      </w:pPr>
      <w:r>
        <w:rPr>
          <w:rFonts w:eastAsia="Times New Roman" w:cs="Times New Roman"/>
        </w:rPr>
        <w:t>REMERCIEMENTS</w:t>
      </w:r>
    </w:p>
    <w:p>
      <w:pPr>
        <w:pStyle w:val="Normal"/>
        <w:spacing w:lineRule="auto" w:line="360" w:before="0" w:after="120"/>
        <w:jc w:val="both"/>
        <w:rPr/>
      </w:pPr>
      <w:r>
        <w:rPr>
          <w:rFonts w:eastAsia="Times New Roman" w:cs="Times New Roman"/>
        </w:rPr>
        <w:t>Nous tenons à exprimer notre sincère gratitude :</w:t>
      </w:r>
    </w:p>
    <w:p>
      <w:pPr>
        <w:pStyle w:val="ListParagraph"/>
        <w:numPr>
          <w:ilvl w:val="0"/>
          <w:numId w:val="41"/>
        </w:numPr>
        <w:spacing w:lineRule="auto" w:line="360" w:before="0" w:after="40"/>
        <w:jc w:val="both"/>
        <w:rPr/>
      </w:pPr>
      <w:r>
        <w:rPr>
          <w:rFonts w:eastAsia="Times New Roman" w:cs="Times New Roman"/>
        </w:rPr>
        <w:t>à Dieu tout-puissant, qui nous a permis d’accomplir ce stage en toute quiétude et en bonne santé ;</w:t>
      </w:r>
    </w:p>
    <w:p>
      <w:pPr>
        <w:pStyle w:val="ListParagraph"/>
        <w:numPr>
          <w:ilvl w:val="0"/>
          <w:numId w:val="1"/>
        </w:numPr>
        <w:spacing w:lineRule="auto" w:line="360" w:before="0" w:after="40"/>
        <w:jc w:val="both"/>
        <w:rPr/>
      </w:pPr>
      <w:r>
        <w:rPr>
          <w:rFonts w:eastAsia="Times New Roman" w:cs="Times New Roman"/>
        </w:rPr>
        <w:t xml:space="preserve">à </w:t>
      </w:r>
      <w:r>
        <w:rPr>
          <w:rFonts w:eastAsia="Times New Roman" w:cs="Times New Roman"/>
          <w:highlight w:val="yellow"/>
        </w:rPr>
        <w:t>[M./Mme …]</w:t>
      </w:r>
      <w:r>
        <w:rPr>
          <w:rFonts w:eastAsia="Times New Roman" w:cs="Times New Roman"/>
        </w:rPr>
        <w:t>, notre directeur de mémoire, pour sa disponibilité et ses orientations ;</w:t>
      </w:r>
    </w:p>
    <w:p>
      <w:pPr>
        <w:pStyle w:val="ListParagraph"/>
        <w:numPr>
          <w:ilvl w:val="0"/>
          <w:numId w:val="1"/>
        </w:numPr>
        <w:spacing w:lineRule="auto" w:line="360" w:before="0" w:after="40"/>
        <w:jc w:val="both"/>
        <w:rPr/>
      </w:pPr>
      <w:r>
        <w:rPr>
          <w:rFonts w:eastAsia="Times New Roman" w:cs="Times New Roman"/>
        </w:rPr>
        <w:t>à M. ADANGLO Kwami, directeur de l’ENFPE de Notsè, pour son accueil favorable au sein de son établissement, ainsi que pour ses encouragements et ses conseils ;</w:t>
      </w:r>
    </w:p>
    <w:p>
      <w:pPr>
        <w:pStyle w:val="ListParagraph"/>
        <w:numPr>
          <w:ilvl w:val="0"/>
          <w:numId w:val="1"/>
        </w:numPr>
        <w:spacing w:lineRule="auto" w:line="360" w:before="0" w:after="40"/>
        <w:jc w:val="both"/>
        <w:rPr/>
      </w:pPr>
      <w:r>
        <w:rPr>
          <w:rFonts w:eastAsia="Times New Roman" w:cs="Times New Roman"/>
        </w:rPr>
        <w:t>à M. EZA Agbéko Kossi, directeur adjoint chargé des études, pour ses encouragements, ses conseils et son encadrement pédagogique, malgré un emploi du temps très chargé ;</w:t>
      </w:r>
    </w:p>
    <w:p>
      <w:pPr>
        <w:pStyle w:val="ListParagraph"/>
        <w:numPr>
          <w:ilvl w:val="0"/>
          <w:numId w:val="1"/>
        </w:numPr>
        <w:spacing w:lineRule="auto" w:line="360" w:before="0" w:after="40"/>
        <w:jc w:val="both"/>
        <w:rPr/>
      </w:pPr>
      <w:r>
        <w:rPr>
          <w:rFonts w:eastAsia="Times New Roman" w:cs="Times New Roman"/>
        </w:rPr>
        <w:t>à M. DARE Oubote, M. DEGBE Vignon et M. OGATCHA, nos encadreurs, pour leurs conseils et leur accompagnement pédagogique indéfectible ;</w:t>
      </w:r>
    </w:p>
    <w:p>
      <w:pPr>
        <w:pStyle w:val="ListParagraph"/>
        <w:numPr>
          <w:ilvl w:val="0"/>
          <w:numId w:val="1"/>
        </w:numPr>
        <w:spacing w:lineRule="auto" w:line="360" w:before="0" w:after="120"/>
        <w:jc w:val="both"/>
        <w:rPr/>
      </w:pPr>
      <w:r>
        <w:rPr>
          <w:rFonts w:eastAsia="Times New Roman" w:cs="Times New Roman"/>
        </w:rPr>
        <w:t>à l’ensemble du personnel de l’ENFPE de Notsè, pour ses contributions multiformes à la réussite de notre stage en responsabilité.</w:t>
      </w:r>
    </w:p>
    <w:p>
      <w:pPr>
        <w:pStyle w:val="Normal"/>
        <w:spacing w:lineRule="auto" w:line="360" w:before="0" w:after="120"/>
        <w:ind w:firstLine="709"/>
        <w:jc w:val="both"/>
        <w:rPr/>
      </w:pPr>
      <w:r>
        <w:rPr>
          <w:rFonts w:eastAsia="Times New Roman" w:cs="Times New Roman"/>
        </w:rPr>
        <w:t>Que chacun trouve ici l’expression de notre profonde reconnaissance.</w:t>
      </w:r>
      <w:r>
        <w:br w:type="page"/>
      </w:r>
    </w:p>
    <w:p>
      <w:pPr>
        <w:pStyle w:val="Titreliminaire"/>
        <w:rPr/>
      </w:pPr>
      <w:r>
        <w:rPr>
          <w:rFonts w:eastAsia="Times New Roman" w:cs="Times New Roman"/>
        </w:rPr>
        <w:t>SIGLES, ABRÉVIATIONS ET ACRONYMES</w:t>
      </w:r>
    </w:p>
    <w:tbl>
      <w:tblPr>
        <w:tblW w:w="9072" w:type="dxa"/>
        <w:jc w:val="left"/>
        <w:tblInd w:w="0" w:type="dxa"/>
        <w:tblLayout w:type="fixed"/>
        <w:tblCellMar>
          <w:top w:w="0" w:type="dxa"/>
          <w:left w:w="108" w:type="dxa"/>
          <w:bottom w:w="0" w:type="dxa"/>
          <w:right w:w="108" w:type="dxa"/>
        </w:tblCellMar>
      </w:tblPr>
      <w:tblGrid>
        <w:gridCol w:w="2268"/>
        <w:gridCol w:w="6803"/>
      </w:tblGrid>
      <w:tr>
        <w:trPr/>
        <w:tc>
          <w:tcPr>
            <w:tcW w:w="2268" w:type="dxa"/>
            <w:tcBorders/>
          </w:tcPr>
          <w:p>
            <w:pPr>
              <w:pStyle w:val="Normal"/>
              <w:spacing w:lineRule="auto" w:line="276" w:before="0" w:after="20"/>
              <w:rPr/>
            </w:pPr>
            <w:r>
              <w:rPr>
                <w:rFonts w:eastAsia="Times New Roman" w:cs="Times New Roman"/>
                <w:b/>
                <w:bCs/>
              </w:rPr>
              <w:t>APC</w:t>
            </w:r>
          </w:p>
        </w:tc>
        <w:tc>
          <w:tcPr>
            <w:tcW w:w="6803" w:type="dxa"/>
            <w:tcBorders/>
          </w:tcPr>
          <w:p>
            <w:pPr>
              <w:pStyle w:val="Normal"/>
              <w:spacing w:lineRule="auto" w:line="276" w:before="0" w:after="20"/>
              <w:rPr/>
            </w:pPr>
            <w:r>
              <w:rPr>
                <w:rFonts w:eastAsia="Times New Roman" w:cs="Times New Roman"/>
              </w:rPr>
              <w:t>: Approche par les compétences</w:t>
            </w:r>
          </w:p>
        </w:tc>
      </w:tr>
      <w:tr>
        <w:trPr/>
        <w:tc>
          <w:tcPr>
            <w:tcW w:w="2268" w:type="dxa"/>
            <w:tcBorders/>
          </w:tcPr>
          <w:p>
            <w:pPr>
              <w:pStyle w:val="Normal"/>
              <w:spacing w:lineRule="auto" w:line="276" w:before="0" w:after="20"/>
              <w:rPr/>
            </w:pPr>
            <w:r>
              <w:rPr>
                <w:rFonts w:eastAsia="Times New Roman" w:cs="Times New Roman"/>
                <w:b/>
                <w:bCs/>
              </w:rPr>
              <w:t>CPE</w:t>
            </w:r>
          </w:p>
        </w:tc>
        <w:tc>
          <w:tcPr>
            <w:tcW w:w="6803" w:type="dxa"/>
            <w:tcBorders/>
          </w:tcPr>
          <w:p>
            <w:pPr>
              <w:pStyle w:val="Normal"/>
              <w:spacing w:lineRule="auto" w:line="276" w:before="0" w:after="20"/>
              <w:rPr/>
            </w:pPr>
            <w:r>
              <w:rPr>
                <w:rFonts w:eastAsia="Times New Roman" w:cs="Times New Roman"/>
              </w:rPr>
              <w:t>: Conseiller principal d’éducation</w:t>
            </w:r>
          </w:p>
        </w:tc>
      </w:tr>
      <w:tr>
        <w:trPr/>
        <w:tc>
          <w:tcPr>
            <w:tcW w:w="2268" w:type="dxa"/>
            <w:tcBorders/>
          </w:tcPr>
          <w:p>
            <w:pPr>
              <w:pStyle w:val="Normal"/>
              <w:spacing w:lineRule="auto" w:line="276" w:before="0" w:after="20"/>
              <w:rPr/>
            </w:pPr>
            <w:r>
              <w:rPr>
                <w:rFonts w:eastAsia="Times New Roman" w:cs="Times New Roman"/>
                <w:b/>
                <w:bCs/>
              </w:rPr>
              <w:t>DACE</w:t>
            </w:r>
          </w:p>
        </w:tc>
        <w:tc>
          <w:tcPr>
            <w:tcW w:w="6803" w:type="dxa"/>
            <w:tcBorders/>
          </w:tcPr>
          <w:p>
            <w:pPr>
              <w:pStyle w:val="Normal"/>
              <w:spacing w:lineRule="auto" w:line="276" w:before="0" w:after="20"/>
              <w:rPr/>
            </w:pPr>
            <w:r>
              <w:rPr>
                <w:rFonts w:eastAsia="Times New Roman" w:cs="Times New Roman"/>
              </w:rPr>
              <w:t>: Directeur adjoint chargé des études</w:t>
            </w:r>
          </w:p>
        </w:tc>
      </w:tr>
      <w:tr>
        <w:trPr/>
        <w:tc>
          <w:tcPr>
            <w:tcW w:w="2268" w:type="dxa"/>
            <w:tcBorders/>
          </w:tcPr>
          <w:p>
            <w:pPr>
              <w:pStyle w:val="Normal"/>
              <w:spacing w:lineRule="auto" w:line="276" w:before="0" w:after="20"/>
              <w:rPr/>
            </w:pPr>
            <w:r>
              <w:rPr>
                <w:rFonts w:eastAsia="Times New Roman" w:cs="Times New Roman"/>
                <w:b/>
                <w:bCs/>
              </w:rPr>
              <w:t>DAF</w:t>
            </w:r>
          </w:p>
        </w:tc>
        <w:tc>
          <w:tcPr>
            <w:tcW w:w="6803" w:type="dxa"/>
            <w:tcBorders/>
          </w:tcPr>
          <w:p>
            <w:pPr>
              <w:pStyle w:val="Normal"/>
              <w:spacing w:lineRule="auto" w:line="276" w:before="0" w:after="20"/>
              <w:rPr/>
            </w:pPr>
            <w:r>
              <w:rPr>
                <w:rFonts w:eastAsia="Times New Roman" w:cs="Times New Roman"/>
              </w:rPr>
              <w:t>: Direction des affaires financières</w:t>
            </w:r>
          </w:p>
        </w:tc>
      </w:tr>
      <w:tr>
        <w:trPr/>
        <w:tc>
          <w:tcPr>
            <w:tcW w:w="2268" w:type="dxa"/>
            <w:tcBorders/>
          </w:tcPr>
          <w:p>
            <w:pPr>
              <w:pStyle w:val="Normal"/>
              <w:spacing w:lineRule="auto" w:line="276" w:before="0" w:after="20"/>
              <w:rPr/>
            </w:pPr>
            <w:r>
              <w:rPr>
                <w:rFonts w:eastAsia="Times New Roman" w:cs="Times New Roman"/>
                <w:b/>
                <w:bCs/>
              </w:rPr>
              <w:t>DEPP</w:t>
            </w:r>
          </w:p>
        </w:tc>
        <w:tc>
          <w:tcPr>
            <w:tcW w:w="6803" w:type="dxa"/>
            <w:tcBorders/>
          </w:tcPr>
          <w:p>
            <w:pPr>
              <w:pStyle w:val="Normal"/>
              <w:spacing w:lineRule="auto" w:line="276" w:before="0" w:after="20"/>
              <w:rPr/>
            </w:pPr>
            <w:r>
              <w:rPr>
                <w:rFonts w:eastAsia="Times New Roman" w:cs="Times New Roman"/>
              </w:rPr>
              <w:t>: Direction des enseignements préscolaire et primaire</w:t>
            </w:r>
          </w:p>
        </w:tc>
      </w:tr>
      <w:tr>
        <w:trPr/>
        <w:tc>
          <w:tcPr>
            <w:tcW w:w="2268" w:type="dxa"/>
            <w:tcBorders/>
          </w:tcPr>
          <w:p>
            <w:pPr>
              <w:pStyle w:val="Normal"/>
              <w:spacing w:lineRule="auto" w:line="276" w:before="0" w:after="20"/>
              <w:rPr/>
            </w:pPr>
            <w:r>
              <w:rPr>
                <w:rFonts w:eastAsia="Times New Roman" w:cs="Times New Roman"/>
                <w:b/>
                <w:bCs/>
              </w:rPr>
              <w:t>DExCC</w:t>
            </w:r>
          </w:p>
        </w:tc>
        <w:tc>
          <w:tcPr>
            <w:tcW w:w="6803" w:type="dxa"/>
            <w:tcBorders/>
          </w:tcPr>
          <w:p>
            <w:pPr>
              <w:pStyle w:val="Normal"/>
              <w:spacing w:lineRule="auto" w:line="276" w:before="0" w:after="20"/>
              <w:rPr/>
            </w:pPr>
            <w:r>
              <w:rPr>
                <w:rFonts w:eastAsia="Times New Roman" w:cs="Times New Roman"/>
              </w:rPr>
              <w:t>: Direction des examens, concours et certifications</w:t>
            </w:r>
          </w:p>
        </w:tc>
      </w:tr>
      <w:tr>
        <w:trPr/>
        <w:tc>
          <w:tcPr>
            <w:tcW w:w="2268" w:type="dxa"/>
            <w:tcBorders/>
          </w:tcPr>
          <w:p>
            <w:pPr>
              <w:pStyle w:val="Normal"/>
              <w:spacing w:lineRule="auto" w:line="276" w:before="0" w:after="20"/>
              <w:rPr/>
            </w:pPr>
            <w:r>
              <w:rPr>
                <w:rFonts w:eastAsia="Times New Roman" w:cs="Times New Roman"/>
                <w:b/>
                <w:bCs/>
              </w:rPr>
              <w:t>DPIP</w:t>
            </w:r>
          </w:p>
        </w:tc>
        <w:tc>
          <w:tcPr>
            <w:tcW w:w="6803" w:type="dxa"/>
            <w:tcBorders/>
          </w:tcPr>
          <w:p>
            <w:pPr>
              <w:pStyle w:val="Normal"/>
              <w:spacing w:lineRule="auto" w:line="276" w:before="0" w:after="20"/>
              <w:rPr/>
            </w:pPr>
            <w:r>
              <w:rPr>
                <w:rFonts w:eastAsia="Times New Roman" w:cs="Times New Roman"/>
              </w:rPr>
              <w:t>: Direction des programmes et innovations pédagogiques</w:t>
            </w:r>
          </w:p>
        </w:tc>
      </w:tr>
      <w:tr>
        <w:trPr/>
        <w:tc>
          <w:tcPr>
            <w:tcW w:w="2268" w:type="dxa"/>
            <w:tcBorders/>
          </w:tcPr>
          <w:p>
            <w:pPr>
              <w:pStyle w:val="Normal"/>
              <w:spacing w:lineRule="auto" w:line="276" w:before="0" w:after="20"/>
              <w:rPr/>
            </w:pPr>
            <w:r>
              <w:rPr>
                <w:rFonts w:eastAsia="Times New Roman" w:cs="Times New Roman"/>
                <w:b/>
                <w:bCs/>
              </w:rPr>
              <w:t>DRH</w:t>
            </w:r>
          </w:p>
        </w:tc>
        <w:tc>
          <w:tcPr>
            <w:tcW w:w="6803" w:type="dxa"/>
            <w:tcBorders/>
          </w:tcPr>
          <w:p>
            <w:pPr>
              <w:pStyle w:val="Normal"/>
              <w:spacing w:lineRule="auto" w:line="276" w:before="0" w:after="20"/>
              <w:rPr/>
            </w:pPr>
            <w:r>
              <w:rPr>
                <w:rFonts w:eastAsia="Times New Roman" w:cs="Times New Roman"/>
              </w:rPr>
              <w:t>: Direction des ressources humaines</w:t>
            </w:r>
          </w:p>
        </w:tc>
      </w:tr>
      <w:tr>
        <w:trPr/>
        <w:tc>
          <w:tcPr>
            <w:tcW w:w="2268" w:type="dxa"/>
            <w:tcBorders/>
          </w:tcPr>
          <w:p>
            <w:pPr>
              <w:pStyle w:val="Normal"/>
              <w:spacing w:lineRule="auto" w:line="276" w:before="0" w:after="20"/>
              <w:rPr/>
            </w:pPr>
            <w:r>
              <w:rPr>
                <w:rFonts w:eastAsia="Times New Roman" w:cs="Times New Roman"/>
                <w:b/>
                <w:bCs/>
              </w:rPr>
              <w:t>DST</w:t>
            </w:r>
          </w:p>
        </w:tc>
        <w:tc>
          <w:tcPr>
            <w:tcW w:w="6803" w:type="dxa"/>
            <w:tcBorders/>
          </w:tcPr>
          <w:p>
            <w:pPr>
              <w:pStyle w:val="Normal"/>
              <w:spacing w:lineRule="auto" w:line="276" w:before="0" w:after="20"/>
              <w:rPr/>
            </w:pPr>
            <w:r>
              <w:rPr>
                <w:rFonts w:eastAsia="Times New Roman" w:cs="Times New Roman"/>
              </w:rPr>
              <w:t>: Devoir sur table</w:t>
            </w:r>
          </w:p>
        </w:tc>
      </w:tr>
      <w:tr>
        <w:trPr/>
        <w:tc>
          <w:tcPr>
            <w:tcW w:w="2268" w:type="dxa"/>
            <w:tcBorders/>
          </w:tcPr>
          <w:p>
            <w:pPr>
              <w:pStyle w:val="Normal"/>
              <w:spacing w:lineRule="auto" w:line="276" w:before="0" w:after="20"/>
              <w:rPr/>
            </w:pPr>
            <w:r>
              <w:rPr>
                <w:rFonts w:eastAsia="Times New Roman" w:cs="Times New Roman"/>
                <w:b/>
                <w:bCs/>
              </w:rPr>
              <w:t>ECM</w:t>
            </w:r>
          </w:p>
        </w:tc>
        <w:tc>
          <w:tcPr>
            <w:tcW w:w="6803" w:type="dxa"/>
            <w:tcBorders/>
          </w:tcPr>
          <w:p>
            <w:pPr>
              <w:pStyle w:val="Normal"/>
              <w:spacing w:lineRule="auto" w:line="276" w:before="0" w:after="20"/>
              <w:rPr/>
            </w:pPr>
            <w:r>
              <w:rPr>
                <w:rFonts w:eastAsia="Times New Roman" w:cs="Times New Roman"/>
              </w:rPr>
              <w:t>: Éducation civique et morale</w:t>
            </w:r>
          </w:p>
        </w:tc>
      </w:tr>
      <w:tr>
        <w:trPr/>
        <w:tc>
          <w:tcPr>
            <w:tcW w:w="2268" w:type="dxa"/>
            <w:tcBorders/>
          </w:tcPr>
          <w:p>
            <w:pPr>
              <w:pStyle w:val="Normal"/>
              <w:spacing w:lineRule="auto" w:line="276" w:before="0" w:after="20"/>
              <w:rPr/>
            </w:pPr>
            <w:r>
              <w:rPr>
                <w:rFonts w:eastAsia="Times New Roman" w:cs="Times New Roman"/>
                <w:b/>
                <w:bCs/>
              </w:rPr>
              <w:t>ENFPE</w:t>
            </w:r>
          </w:p>
        </w:tc>
        <w:tc>
          <w:tcPr>
            <w:tcW w:w="6803" w:type="dxa"/>
            <w:tcBorders/>
          </w:tcPr>
          <w:p>
            <w:pPr>
              <w:pStyle w:val="Normal"/>
              <w:spacing w:lineRule="auto" w:line="276" w:before="0" w:after="20"/>
              <w:rPr/>
            </w:pPr>
            <w:r>
              <w:rPr>
                <w:rFonts w:eastAsia="Times New Roman" w:cs="Times New Roman"/>
              </w:rPr>
              <w:t>: École normale de formation des professeurs d’école</w:t>
            </w:r>
          </w:p>
        </w:tc>
      </w:tr>
      <w:tr>
        <w:trPr/>
        <w:tc>
          <w:tcPr>
            <w:tcW w:w="2268" w:type="dxa"/>
            <w:tcBorders/>
          </w:tcPr>
          <w:p>
            <w:pPr>
              <w:pStyle w:val="Normal"/>
              <w:spacing w:lineRule="auto" w:line="276" w:before="0" w:after="20"/>
              <w:rPr/>
            </w:pPr>
            <w:r>
              <w:rPr>
                <w:rFonts w:eastAsia="Times New Roman" w:cs="Times New Roman"/>
                <w:b/>
                <w:bCs/>
              </w:rPr>
              <w:t>ENI</w:t>
            </w:r>
          </w:p>
        </w:tc>
        <w:tc>
          <w:tcPr>
            <w:tcW w:w="6803" w:type="dxa"/>
            <w:tcBorders/>
          </w:tcPr>
          <w:p>
            <w:pPr>
              <w:pStyle w:val="Normal"/>
              <w:spacing w:lineRule="auto" w:line="276" w:before="0" w:after="20"/>
              <w:rPr/>
            </w:pPr>
            <w:r>
              <w:rPr>
                <w:rFonts w:eastAsia="Times New Roman" w:cs="Times New Roman"/>
              </w:rPr>
              <w:t>: École normale d’instituteurs</w:t>
            </w:r>
          </w:p>
        </w:tc>
      </w:tr>
      <w:tr>
        <w:trPr/>
        <w:tc>
          <w:tcPr>
            <w:tcW w:w="2268" w:type="dxa"/>
            <w:tcBorders/>
          </w:tcPr>
          <w:p>
            <w:pPr>
              <w:pStyle w:val="Normal"/>
              <w:spacing w:lineRule="auto" w:line="276" w:before="0" w:after="20"/>
              <w:rPr/>
            </w:pPr>
            <w:r>
              <w:rPr>
                <w:rFonts w:eastAsia="Times New Roman" w:cs="Times New Roman"/>
                <w:b/>
                <w:bCs/>
              </w:rPr>
              <w:t>EPA</w:t>
            </w:r>
          </w:p>
        </w:tc>
        <w:tc>
          <w:tcPr>
            <w:tcW w:w="6803" w:type="dxa"/>
            <w:tcBorders/>
          </w:tcPr>
          <w:p>
            <w:pPr>
              <w:pStyle w:val="Normal"/>
              <w:spacing w:lineRule="auto" w:line="276" w:before="0" w:after="20"/>
              <w:rPr/>
            </w:pPr>
            <w:r>
              <w:rPr>
                <w:rFonts w:eastAsia="Times New Roman" w:cs="Times New Roman"/>
              </w:rPr>
              <w:t>: École primaire d’application</w:t>
            </w:r>
          </w:p>
        </w:tc>
      </w:tr>
      <w:tr>
        <w:trPr/>
        <w:tc>
          <w:tcPr>
            <w:tcW w:w="2268" w:type="dxa"/>
            <w:tcBorders/>
          </w:tcPr>
          <w:p>
            <w:pPr>
              <w:pStyle w:val="Normal"/>
              <w:spacing w:lineRule="auto" w:line="276" w:before="0" w:after="20"/>
              <w:rPr/>
            </w:pPr>
            <w:r>
              <w:rPr>
                <w:rFonts w:eastAsia="Times New Roman" w:cs="Times New Roman"/>
                <w:b/>
                <w:bCs/>
              </w:rPr>
              <w:t>EPE</w:t>
            </w:r>
          </w:p>
        </w:tc>
        <w:tc>
          <w:tcPr>
            <w:tcW w:w="6803" w:type="dxa"/>
            <w:tcBorders/>
          </w:tcPr>
          <w:p>
            <w:pPr>
              <w:pStyle w:val="Normal"/>
              <w:spacing w:lineRule="auto" w:line="276" w:before="0" w:after="20"/>
              <w:rPr/>
            </w:pPr>
            <w:r>
              <w:rPr>
                <w:rFonts w:eastAsia="Times New Roman" w:cs="Times New Roman"/>
              </w:rPr>
              <w:t>: Élève-professeur d’école</w:t>
            </w:r>
          </w:p>
        </w:tc>
      </w:tr>
      <w:tr>
        <w:trPr/>
        <w:tc>
          <w:tcPr>
            <w:tcW w:w="2268" w:type="dxa"/>
            <w:tcBorders/>
          </w:tcPr>
          <w:p>
            <w:pPr>
              <w:pStyle w:val="Normal"/>
              <w:spacing w:lineRule="auto" w:line="276" w:before="0" w:after="20"/>
              <w:rPr/>
            </w:pPr>
            <w:r>
              <w:rPr>
                <w:rFonts w:eastAsia="Times New Roman" w:cs="Times New Roman"/>
                <w:b/>
                <w:bCs/>
              </w:rPr>
              <w:t>EP-ENFPE</w:t>
            </w:r>
          </w:p>
        </w:tc>
        <w:tc>
          <w:tcPr>
            <w:tcW w:w="6803" w:type="dxa"/>
            <w:tcBorders/>
          </w:tcPr>
          <w:p>
            <w:pPr>
              <w:pStyle w:val="Normal"/>
              <w:spacing w:lineRule="auto" w:line="276" w:before="0" w:after="20"/>
              <w:rPr/>
            </w:pPr>
            <w:r>
              <w:rPr>
                <w:rFonts w:eastAsia="Times New Roman" w:cs="Times New Roman"/>
              </w:rPr>
              <w:t>: Élève-professeur d’École normale de formation des professeurs d’école</w:t>
            </w:r>
          </w:p>
        </w:tc>
      </w:tr>
      <w:tr>
        <w:trPr/>
        <w:tc>
          <w:tcPr>
            <w:tcW w:w="2268" w:type="dxa"/>
            <w:tcBorders/>
          </w:tcPr>
          <w:p>
            <w:pPr>
              <w:pStyle w:val="Normal"/>
              <w:spacing w:lineRule="auto" w:line="276" w:before="0" w:after="20"/>
              <w:rPr/>
            </w:pPr>
            <w:r>
              <w:rPr>
                <w:rFonts w:eastAsia="Times New Roman" w:cs="Times New Roman"/>
                <w:b/>
                <w:bCs/>
              </w:rPr>
              <w:t>EPP</w:t>
            </w:r>
          </w:p>
        </w:tc>
        <w:tc>
          <w:tcPr>
            <w:tcW w:w="6803" w:type="dxa"/>
            <w:tcBorders/>
          </w:tcPr>
          <w:p>
            <w:pPr>
              <w:pStyle w:val="Normal"/>
              <w:spacing w:lineRule="auto" w:line="276" w:before="0" w:after="20"/>
              <w:rPr/>
            </w:pPr>
            <w:r>
              <w:rPr>
                <w:rFonts w:eastAsia="Times New Roman" w:cs="Times New Roman"/>
              </w:rPr>
              <w:t>: École primaire publique</w:t>
            </w:r>
          </w:p>
        </w:tc>
      </w:tr>
      <w:tr>
        <w:trPr/>
        <w:tc>
          <w:tcPr>
            <w:tcW w:w="2268" w:type="dxa"/>
            <w:tcBorders/>
          </w:tcPr>
          <w:p>
            <w:pPr>
              <w:pStyle w:val="Normal"/>
              <w:spacing w:lineRule="auto" w:line="276" w:before="0" w:after="20"/>
              <w:rPr/>
            </w:pPr>
            <w:r>
              <w:rPr>
                <w:rFonts w:eastAsia="Times New Roman" w:cs="Times New Roman"/>
                <w:b/>
                <w:bCs/>
              </w:rPr>
              <w:t>EPS</w:t>
            </w:r>
          </w:p>
        </w:tc>
        <w:tc>
          <w:tcPr>
            <w:tcW w:w="6803" w:type="dxa"/>
            <w:tcBorders/>
          </w:tcPr>
          <w:p>
            <w:pPr>
              <w:pStyle w:val="Normal"/>
              <w:spacing w:lineRule="auto" w:line="276" w:before="0" w:after="20"/>
              <w:rPr/>
            </w:pPr>
            <w:r>
              <w:rPr>
                <w:rFonts w:eastAsia="Times New Roman" w:cs="Times New Roman"/>
              </w:rPr>
              <w:t>: Éducation physique et sportive</w:t>
            </w:r>
          </w:p>
        </w:tc>
      </w:tr>
      <w:tr>
        <w:trPr/>
        <w:tc>
          <w:tcPr>
            <w:tcW w:w="2268" w:type="dxa"/>
            <w:tcBorders/>
          </w:tcPr>
          <w:p>
            <w:pPr>
              <w:pStyle w:val="Normal"/>
              <w:spacing w:lineRule="auto" w:line="276" w:before="0" w:after="20"/>
              <w:rPr/>
            </w:pPr>
            <w:r>
              <w:rPr>
                <w:rFonts w:eastAsia="Times New Roman" w:cs="Times New Roman"/>
                <w:b/>
                <w:bCs/>
              </w:rPr>
              <w:t>GC</w:t>
            </w:r>
          </w:p>
        </w:tc>
        <w:tc>
          <w:tcPr>
            <w:tcW w:w="6803" w:type="dxa"/>
            <w:tcBorders/>
          </w:tcPr>
          <w:p>
            <w:pPr>
              <w:pStyle w:val="Normal"/>
              <w:spacing w:lineRule="auto" w:line="276" w:before="0" w:after="20"/>
              <w:rPr/>
            </w:pPr>
            <w:r>
              <w:rPr>
                <w:rFonts w:eastAsia="Times New Roman" w:cs="Times New Roman"/>
              </w:rPr>
              <w:t>: Groupe-classe</w:t>
            </w:r>
          </w:p>
        </w:tc>
      </w:tr>
      <w:tr>
        <w:trPr/>
        <w:tc>
          <w:tcPr>
            <w:tcW w:w="2268" w:type="dxa"/>
            <w:tcBorders/>
          </w:tcPr>
          <w:p>
            <w:pPr>
              <w:pStyle w:val="Normal"/>
              <w:spacing w:lineRule="auto" w:line="276" w:before="0" w:after="20"/>
              <w:rPr/>
            </w:pPr>
            <w:r>
              <w:rPr>
                <w:rFonts w:eastAsia="Times New Roman" w:cs="Times New Roman"/>
                <w:b/>
                <w:bCs/>
              </w:rPr>
              <w:t>IFADEM</w:t>
            </w:r>
          </w:p>
        </w:tc>
        <w:tc>
          <w:tcPr>
            <w:tcW w:w="6803" w:type="dxa"/>
            <w:tcBorders/>
          </w:tcPr>
          <w:p>
            <w:pPr>
              <w:pStyle w:val="Normal"/>
              <w:spacing w:lineRule="auto" w:line="276" w:before="0" w:after="20"/>
              <w:rPr/>
            </w:pPr>
            <w:r>
              <w:rPr>
                <w:rFonts w:eastAsia="Times New Roman" w:cs="Times New Roman"/>
              </w:rPr>
              <w:t>: Initiative francophone pour la formation à distance des maîtres</w:t>
            </w:r>
          </w:p>
        </w:tc>
      </w:tr>
      <w:tr>
        <w:trPr/>
        <w:tc>
          <w:tcPr>
            <w:tcW w:w="2268" w:type="dxa"/>
            <w:tcBorders/>
          </w:tcPr>
          <w:p>
            <w:pPr>
              <w:pStyle w:val="Normal"/>
              <w:spacing w:lineRule="auto" w:line="276" w:before="0" w:after="20"/>
              <w:rPr/>
            </w:pPr>
            <w:r>
              <w:rPr>
                <w:rFonts w:eastAsia="Times New Roman" w:cs="Times New Roman"/>
                <w:b/>
                <w:bCs/>
              </w:rPr>
              <w:t>IGE</w:t>
            </w:r>
          </w:p>
        </w:tc>
        <w:tc>
          <w:tcPr>
            <w:tcW w:w="6803" w:type="dxa"/>
            <w:tcBorders/>
          </w:tcPr>
          <w:p>
            <w:pPr>
              <w:pStyle w:val="Normal"/>
              <w:spacing w:lineRule="auto" w:line="276" w:before="0" w:after="20"/>
              <w:rPr/>
            </w:pPr>
            <w:r>
              <w:rPr>
                <w:rFonts w:eastAsia="Times New Roman" w:cs="Times New Roman"/>
              </w:rPr>
              <w:t>: Inspection générale de l’éducation</w:t>
            </w:r>
          </w:p>
        </w:tc>
      </w:tr>
      <w:tr>
        <w:trPr/>
        <w:tc>
          <w:tcPr>
            <w:tcW w:w="2268" w:type="dxa"/>
            <w:tcBorders/>
          </w:tcPr>
          <w:p>
            <w:pPr>
              <w:pStyle w:val="Normal"/>
              <w:spacing w:lineRule="auto" w:line="276" w:before="0" w:after="20"/>
              <w:rPr/>
            </w:pPr>
            <w:r>
              <w:rPr>
                <w:rFonts w:eastAsia="Times New Roman" w:cs="Times New Roman"/>
                <w:b/>
                <w:bCs/>
              </w:rPr>
              <w:t>INSE</w:t>
            </w:r>
          </w:p>
        </w:tc>
        <w:tc>
          <w:tcPr>
            <w:tcW w:w="6803" w:type="dxa"/>
            <w:tcBorders/>
          </w:tcPr>
          <w:p>
            <w:pPr>
              <w:pStyle w:val="Normal"/>
              <w:spacing w:lineRule="auto" w:line="276" w:before="0" w:after="20"/>
              <w:rPr/>
            </w:pPr>
            <w:r>
              <w:rPr>
                <w:rFonts w:eastAsia="Times New Roman" w:cs="Times New Roman"/>
              </w:rPr>
              <w:t>: Institut national des sciences de l’éducation</w:t>
            </w:r>
          </w:p>
        </w:tc>
      </w:tr>
      <w:tr>
        <w:trPr/>
        <w:tc>
          <w:tcPr>
            <w:tcW w:w="2268" w:type="dxa"/>
            <w:tcBorders/>
          </w:tcPr>
          <w:p>
            <w:pPr>
              <w:pStyle w:val="Normal"/>
              <w:spacing w:lineRule="auto" w:line="276" w:before="0" w:after="20"/>
              <w:rPr/>
            </w:pPr>
            <w:r>
              <w:rPr>
                <w:rFonts w:eastAsia="Times New Roman" w:cs="Times New Roman"/>
                <w:b/>
                <w:bCs/>
              </w:rPr>
              <w:t>MEPS</w:t>
            </w:r>
          </w:p>
        </w:tc>
        <w:tc>
          <w:tcPr>
            <w:tcW w:w="6803" w:type="dxa"/>
            <w:tcBorders/>
          </w:tcPr>
          <w:p>
            <w:pPr>
              <w:pStyle w:val="Normal"/>
              <w:spacing w:lineRule="auto" w:line="276" w:before="0" w:after="20"/>
              <w:rPr/>
            </w:pPr>
            <w:r>
              <w:rPr>
                <w:rFonts w:eastAsia="Times New Roman" w:cs="Times New Roman"/>
              </w:rPr>
              <w:t>: Ministère des Enseignements primaire et secondaire</w:t>
            </w:r>
          </w:p>
        </w:tc>
      </w:tr>
      <w:tr>
        <w:trPr/>
        <w:tc>
          <w:tcPr>
            <w:tcW w:w="2268" w:type="dxa"/>
            <w:tcBorders/>
          </w:tcPr>
          <w:p>
            <w:pPr>
              <w:pStyle w:val="Normal"/>
              <w:spacing w:lineRule="auto" w:line="276" w:before="0" w:after="20"/>
              <w:rPr/>
            </w:pPr>
            <w:r>
              <w:rPr>
                <w:rFonts w:eastAsia="Times New Roman" w:cs="Times New Roman"/>
                <w:b/>
                <w:bCs/>
              </w:rPr>
              <w:t>MEPSTA</w:t>
            </w:r>
          </w:p>
        </w:tc>
        <w:tc>
          <w:tcPr>
            <w:tcW w:w="6803" w:type="dxa"/>
            <w:tcBorders/>
          </w:tcPr>
          <w:p>
            <w:pPr>
              <w:pStyle w:val="Normal"/>
              <w:spacing w:lineRule="auto" w:line="276" w:before="0" w:after="20"/>
              <w:rPr/>
            </w:pPr>
            <w:r>
              <w:rPr>
                <w:rFonts w:eastAsia="Times New Roman" w:cs="Times New Roman"/>
              </w:rPr>
              <w:t>: Ministère des Enseignements primaire, secondaire, technique et de l’Artisanat</w:t>
            </w:r>
          </w:p>
        </w:tc>
      </w:tr>
      <w:tr>
        <w:trPr/>
        <w:tc>
          <w:tcPr>
            <w:tcW w:w="2268" w:type="dxa"/>
            <w:tcBorders/>
          </w:tcPr>
          <w:p>
            <w:pPr>
              <w:pStyle w:val="Normal"/>
              <w:spacing w:lineRule="auto" w:line="276" w:before="0" w:after="20"/>
              <w:rPr/>
            </w:pPr>
            <w:r>
              <w:rPr>
                <w:rFonts w:eastAsia="Times New Roman" w:cs="Times New Roman"/>
                <w:b/>
                <w:bCs/>
              </w:rPr>
              <w:t>ODD</w:t>
            </w:r>
          </w:p>
        </w:tc>
        <w:tc>
          <w:tcPr>
            <w:tcW w:w="6803" w:type="dxa"/>
            <w:tcBorders/>
          </w:tcPr>
          <w:p>
            <w:pPr>
              <w:pStyle w:val="Normal"/>
              <w:spacing w:lineRule="auto" w:line="276" w:before="0" w:after="20"/>
              <w:rPr/>
            </w:pPr>
            <w:r>
              <w:rPr>
                <w:rFonts w:eastAsia="Times New Roman" w:cs="Times New Roman"/>
              </w:rPr>
              <w:t>: Objectif de développement durable</w:t>
            </w:r>
          </w:p>
        </w:tc>
      </w:tr>
      <w:tr>
        <w:trPr/>
        <w:tc>
          <w:tcPr>
            <w:tcW w:w="2268" w:type="dxa"/>
            <w:tcBorders/>
          </w:tcPr>
          <w:p>
            <w:pPr>
              <w:pStyle w:val="Normal"/>
              <w:spacing w:lineRule="auto" w:line="276" w:before="0" w:after="20"/>
              <w:rPr/>
            </w:pPr>
            <w:r>
              <w:rPr>
                <w:rFonts w:eastAsia="Times New Roman" w:cs="Times New Roman"/>
                <w:b/>
                <w:bCs/>
              </w:rPr>
              <w:t>OO</w:t>
            </w:r>
          </w:p>
        </w:tc>
        <w:tc>
          <w:tcPr>
            <w:tcW w:w="6803" w:type="dxa"/>
            <w:tcBorders/>
          </w:tcPr>
          <w:p>
            <w:pPr>
              <w:pStyle w:val="Normal"/>
              <w:spacing w:lineRule="auto" w:line="276" w:before="0" w:after="20"/>
              <w:rPr/>
            </w:pPr>
            <w:r>
              <w:rPr>
                <w:rFonts w:eastAsia="Times New Roman" w:cs="Times New Roman"/>
              </w:rPr>
              <w:t>: Objectif opérationnel</w:t>
            </w:r>
          </w:p>
        </w:tc>
      </w:tr>
      <w:tr>
        <w:trPr/>
        <w:tc>
          <w:tcPr>
            <w:tcW w:w="2268" w:type="dxa"/>
            <w:tcBorders/>
          </w:tcPr>
          <w:p>
            <w:pPr>
              <w:pStyle w:val="Normal"/>
              <w:spacing w:lineRule="auto" w:line="276" w:before="0" w:after="20"/>
              <w:rPr/>
            </w:pPr>
            <w:r>
              <w:rPr>
                <w:rFonts w:eastAsia="Times New Roman" w:cs="Times New Roman"/>
                <w:b/>
                <w:bCs/>
              </w:rPr>
              <w:t>PSE</w:t>
            </w:r>
          </w:p>
        </w:tc>
        <w:tc>
          <w:tcPr>
            <w:tcW w:w="6803" w:type="dxa"/>
            <w:tcBorders/>
          </w:tcPr>
          <w:p>
            <w:pPr>
              <w:pStyle w:val="Normal"/>
              <w:spacing w:lineRule="auto" w:line="276" w:before="0" w:after="20"/>
              <w:rPr/>
            </w:pPr>
            <w:r>
              <w:rPr>
                <w:rFonts w:eastAsia="Times New Roman" w:cs="Times New Roman"/>
              </w:rPr>
              <w:t>: Plan sectoriel de l’éducation</w:t>
            </w:r>
          </w:p>
        </w:tc>
      </w:tr>
      <w:tr>
        <w:trPr/>
        <w:tc>
          <w:tcPr>
            <w:tcW w:w="2268" w:type="dxa"/>
            <w:tcBorders/>
          </w:tcPr>
          <w:p>
            <w:pPr>
              <w:pStyle w:val="Normal"/>
              <w:spacing w:lineRule="auto" w:line="276" w:before="0" w:after="20"/>
              <w:rPr/>
            </w:pPr>
            <w:r>
              <w:rPr>
                <w:rFonts w:eastAsia="Times New Roman" w:cs="Times New Roman"/>
                <w:b/>
                <w:bCs/>
              </w:rPr>
              <w:t>QS</w:t>
            </w:r>
          </w:p>
        </w:tc>
        <w:tc>
          <w:tcPr>
            <w:tcW w:w="6803" w:type="dxa"/>
            <w:tcBorders/>
          </w:tcPr>
          <w:p>
            <w:pPr>
              <w:pStyle w:val="Normal"/>
              <w:spacing w:lineRule="auto" w:line="276" w:before="0" w:after="20"/>
              <w:rPr/>
            </w:pPr>
            <w:r>
              <w:rPr>
                <w:rFonts w:eastAsia="Times New Roman" w:cs="Times New Roman"/>
              </w:rPr>
              <w:t>: Question secondaire</w:t>
            </w:r>
          </w:p>
        </w:tc>
      </w:tr>
      <w:tr>
        <w:trPr/>
        <w:tc>
          <w:tcPr>
            <w:tcW w:w="2268" w:type="dxa"/>
            <w:tcBorders/>
          </w:tcPr>
          <w:p>
            <w:pPr>
              <w:pStyle w:val="Normal"/>
              <w:spacing w:lineRule="auto" w:line="276" w:before="0" w:after="20"/>
              <w:rPr/>
            </w:pPr>
            <w:r>
              <w:rPr>
                <w:rFonts w:eastAsia="Times New Roman" w:cs="Times New Roman"/>
                <w:b/>
                <w:bCs/>
              </w:rPr>
              <w:t>SH</w:t>
            </w:r>
          </w:p>
        </w:tc>
        <w:tc>
          <w:tcPr>
            <w:tcW w:w="6803" w:type="dxa"/>
            <w:tcBorders/>
          </w:tcPr>
          <w:p>
            <w:pPr>
              <w:pStyle w:val="Normal"/>
              <w:spacing w:lineRule="auto" w:line="276" w:before="0" w:after="20"/>
              <w:rPr/>
            </w:pPr>
            <w:r>
              <w:rPr>
                <w:rFonts w:eastAsia="Times New Roman" w:cs="Times New Roman"/>
              </w:rPr>
              <w:t>: Sciences humaines</w:t>
            </w:r>
          </w:p>
        </w:tc>
      </w:tr>
      <w:tr>
        <w:trPr/>
        <w:tc>
          <w:tcPr>
            <w:tcW w:w="2268" w:type="dxa"/>
            <w:tcBorders/>
          </w:tcPr>
          <w:p>
            <w:pPr>
              <w:pStyle w:val="Normal"/>
              <w:spacing w:lineRule="auto" w:line="276" w:before="0" w:after="20"/>
              <w:rPr/>
            </w:pPr>
            <w:r>
              <w:rPr>
                <w:rFonts w:eastAsia="Times New Roman" w:cs="Times New Roman"/>
                <w:b/>
                <w:bCs/>
              </w:rPr>
              <w:t>SPA</w:t>
            </w:r>
          </w:p>
        </w:tc>
        <w:tc>
          <w:tcPr>
            <w:tcW w:w="6803" w:type="dxa"/>
            <w:tcBorders/>
          </w:tcPr>
          <w:p>
            <w:pPr>
              <w:pStyle w:val="Normal"/>
              <w:spacing w:lineRule="auto" w:line="276" w:before="0" w:after="20"/>
              <w:rPr/>
            </w:pPr>
            <w:r>
              <w:rPr>
                <w:rFonts w:eastAsia="Times New Roman" w:cs="Times New Roman"/>
              </w:rPr>
              <w:t>: Stage de pratique accompagnée</w:t>
            </w:r>
          </w:p>
        </w:tc>
      </w:tr>
      <w:tr>
        <w:trPr/>
        <w:tc>
          <w:tcPr>
            <w:tcW w:w="2268" w:type="dxa"/>
            <w:tcBorders/>
          </w:tcPr>
          <w:p>
            <w:pPr>
              <w:pStyle w:val="Normal"/>
              <w:spacing w:lineRule="auto" w:line="276" w:before="0" w:after="20"/>
              <w:rPr/>
            </w:pPr>
            <w:r>
              <w:rPr>
                <w:rFonts w:eastAsia="Times New Roman" w:cs="Times New Roman"/>
                <w:b/>
                <w:bCs/>
              </w:rPr>
              <w:t>SR</w:t>
            </w:r>
          </w:p>
        </w:tc>
        <w:tc>
          <w:tcPr>
            <w:tcW w:w="6803" w:type="dxa"/>
            <w:tcBorders/>
          </w:tcPr>
          <w:p>
            <w:pPr>
              <w:pStyle w:val="Normal"/>
              <w:spacing w:lineRule="auto" w:line="276" w:before="0" w:after="20"/>
              <w:rPr/>
            </w:pPr>
            <w:r>
              <w:rPr>
                <w:rFonts w:eastAsia="Times New Roman" w:cs="Times New Roman"/>
              </w:rPr>
              <w:t>: Stage en responsabilité</w:t>
            </w:r>
          </w:p>
        </w:tc>
      </w:tr>
      <w:tr>
        <w:trPr/>
        <w:tc>
          <w:tcPr>
            <w:tcW w:w="2268" w:type="dxa"/>
            <w:tcBorders/>
          </w:tcPr>
          <w:p>
            <w:pPr>
              <w:pStyle w:val="Normal"/>
              <w:spacing w:lineRule="auto" w:line="276" w:before="0" w:after="20"/>
              <w:rPr/>
            </w:pPr>
            <w:r>
              <w:rPr>
                <w:rFonts w:eastAsia="Times New Roman" w:cs="Times New Roman"/>
                <w:b/>
                <w:bCs/>
              </w:rPr>
              <w:t>TPA</w:t>
            </w:r>
          </w:p>
        </w:tc>
        <w:tc>
          <w:tcPr>
            <w:tcW w:w="6803" w:type="dxa"/>
            <w:tcBorders/>
          </w:tcPr>
          <w:p>
            <w:pPr>
              <w:pStyle w:val="Normal"/>
              <w:spacing w:lineRule="auto" w:line="276" w:before="0" w:after="20"/>
              <w:rPr/>
            </w:pPr>
            <w:r>
              <w:rPr>
                <w:rFonts w:eastAsia="Times New Roman" w:cs="Times New Roman"/>
              </w:rPr>
              <w:t>: Techniques de pédagogie active</w:t>
            </w:r>
          </w:p>
        </w:tc>
      </w:tr>
      <w:tr>
        <w:trPr/>
        <w:tc>
          <w:tcPr>
            <w:tcW w:w="2268" w:type="dxa"/>
            <w:tcBorders/>
          </w:tcPr>
          <w:p>
            <w:pPr>
              <w:pStyle w:val="Normal"/>
              <w:spacing w:lineRule="auto" w:line="276" w:before="0" w:after="20"/>
              <w:rPr/>
            </w:pPr>
            <w:r>
              <w:rPr>
                <w:rFonts w:eastAsia="Times New Roman" w:cs="Times New Roman"/>
                <w:b/>
                <w:bCs/>
              </w:rPr>
              <w:t>UE</w:t>
            </w:r>
          </w:p>
        </w:tc>
        <w:tc>
          <w:tcPr>
            <w:tcW w:w="6803" w:type="dxa"/>
            <w:tcBorders/>
          </w:tcPr>
          <w:p>
            <w:pPr>
              <w:pStyle w:val="Normal"/>
              <w:spacing w:lineRule="auto" w:line="276" w:before="0" w:after="20"/>
              <w:rPr/>
            </w:pPr>
            <w:r>
              <w:rPr>
                <w:rFonts w:eastAsia="Times New Roman" w:cs="Times New Roman"/>
              </w:rPr>
              <w:t>: Unité d’enseignement</w:t>
            </w:r>
          </w:p>
        </w:tc>
      </w:tr>
      <w:tr>
        <w:trPr/>
        <w:tc>
          <w:tcPr>
            <w:tcW w:w="2268" w:type="dxa"/>
            <w:tcBorders/>
          </w:tcPr>
          <w:p>
            <w:pPr>
              <w:pStyle w:val="Normal"/>
              <w:spacing w:lineRule="auto" w:line="276" w:before="0" w:after="20"/>
              <w:rPr/>
            </w:pPr>
            <w:r>
              <w:rPr>
                <w:rFonts w:eastAsia="Times New Roman" w:cs="Times New Roman"/>
                <w:b/>
                <w:bCs/>
              </w:rPr>
              <w:t>UEL</w:t>
            </w:r>
          </w:p>
        </w:tc>
        <w:tc>
          <w:tcPr>
            <w:tcW w:w="6803" w:type="dxa"/>
            <w:tcBorders/>
          </w:tcPr>
          <w:p>
            <w:pPr>
              <w:pStyle w:val="Normal"/>
              <w:spacing w:lineRule="auto" w:line="276" w:before="0" w:after="20"/>
              <w:rPr/>
            </w:pPr>
            <w:r>
              <w:rPr>
                <w:rFonts w:eastAsia="Times New Roman" w:cs="Times New Roman"/>
              </w:rPr>
              <w:t>: Unité d’enseignement libre</w:t>
            </w:r>
          </w:p>
        </w:tc>
      </w:tr>
      <w:tr>
        <w:trPr/>
        <w:tc>
          <w:tcPr>
            <w:tcW w:w="2268" w:type="dxa"/>
            <w:tcBorders/>
          </w:tcPr>
          <w:p>
            <w:pPr>
              <w:pStyle w:val="Normal"/>
              <w:spacing w:lineRule="auto" w:line="276" w:before="0" w:after="20"/>
              <w:rPr/>
            </w:pPr>
            <w:r>
              <w:rPr>
                <w:rFonts w:eastAsia="Times New Roman" w:cs="Times New Roman"/>
                <w:b/>
                <w:bCs/>
              </w:rPr>
              <w:t>UNESCO</w:t>
            </w:r>
          </w:p>
        </w:tc>
        <w:tc>
          <w:tcPr>
            <w:tcW w:w="6803" w:type="dxa"/>
            <w:tcBorders/>
          </w:tcPr>
          <w:p>
            <w:pPr>
              <w:pStyle w:val="Normal"/>
              <w:spacing w:lineRule="auto" w:line="276" w:before="0" w:after="20"/>
              <w:rPr/>
            </w:pPr>
            <w:r>
              <w:rPr>
                <w:rFonts w:eastAsia="Times New Roman" w:cs="Times New Roman"/>
              </w:rPr>
              <w:t>: Organisation des Nations unies pour l’éducation, la science et la culture</w:t>
            </w:r>
          </w:p>
        </w:tc>
      </w:tr>
    </w:tbl>
    <w:p>
      <w:pPr>
        <w:pStyle w:val="Titreliminaire"/>
        <w:rPr/>
      </w:pPr>
      <w:r>
        <w:br w:type="page"/>
      </w:r>
      <w:r>
        <w:rPr>
          <w:rFonts w:eastAsia="Times New Roman" w:cs="Times New Roman"/>
        </w:rPr>
        <w:t>SOMMAIRE</w:t>
      </w:r>
    </w:p>
    <w:sdt>
      <w:sdtPr>
        <w:docPartObj>
          <w:docPartGallery w:val="Table of Contents"/>
          <w:docPartUnique w:val="true"/>
        </w:docPartObj>
      </w:sdtPr>
      <w:sdtContent>
        <w:p>
          <w:pPr>
            <w:pStyle w:val="TOC1"/>
            <w:tabs>
              <w:tab w:val="clear" w:pos="9070"/>
              <w:tab w:val="right" w:pos="9069" w:leader="dot"/>
            </w:tabs>
            <w:rPr/>
          </w:pPr>
          <w:r>
            <w:fldChar w:fldCharType="begin"/>
          </w:r>
          <w:r>
            <w:rPr>
              <w:rStyle w:val="IndexLink"/>
            </w:rPr>
            <w:instrText xml:space="preserve"> TOC \o "1-2" \h</w:instrText>
          </w:r>
          <w:r>
            <w:rPr>
              <w:rStyle w:val="IndexLink"/>
            </w:rPr>
            <w:fldChar w:fldCharType="separate"/>
          </w:r>
          <w:hyperlink w:anchor="__RefHeading___Toc49418_3411847120">
            <w:r>
              <w:rPr>
                <w:rStyle w:val="IndexLink"/>
              </w:rPr>
              <w:t>CHAPITRE 1 : CADRE DU STAGE, ACTIVITÉS RÉALISÉES, ACQUIS PROFESSIONNELS ET DIFFICULTÉS RENCONTRÉES</w:t>
              <w:tab/>
              <w:t>1</w:t>
            </w:r>
          </w:hyperlink>
        </w:p>
        <w:p>
          <w:pPr>
            <w:pStyle w:val="TOC2"/>
            <w:tabs>
              <w:tab w:val="clear" w:pos="8787"/>
              <w:tab w:val="right" w:pos="9069" w:leader="dot"/>
            </w:tabs>
            <w:rPr/>
          </w:pPr>
          <w:hyperlink w:anchor="__RefHeading___Toc49420_3411847120">
            <w:r>
              <w:rPr>
                <w:rStyle w:val="IndexLink"/>
              </w:rPr>
              <w:t>Introduction</w:t>
              <w:tab/>
              <w:t>1</w:t>
            </w:r>
          </w:hyperlink>
        </w:p>
        <w:p>
          <w:pPr>
            <w:pStyle w:val="TOC2"/>
            <w:tabs>
              <w:tab w:val="clear" w:pos="8787"/>
              <w:tab w:val="right" w:pos="9069" w:leader="dot"/>
            </w:tabs>
            <w:rPr/>
          </w:pPr>
          <w:hyperlink w:anchor="__RefHeading___Toc49422_3411847120">
            <w:r>
              <w:rPr>
                <w:rStyle w:val="IndexLink"/>
              </w:rPr>
              <w:t>1.1. Cadre institutionnel du stage</w:t>
              <w:tab/>
              <w:t>2</w:t>
            </w:r>
          </w:hyperlink>
        </w:p>
        <w:p>
          <w:pPr>
            <w:pStyle w:val="TOC2"/>
            <w:tabs>
              <w:tab w:val="clear" w:pos="8787"/>
              <w:tab w:val="right" w:pos="9069" w:leader="dot"/>
            </w:tabs>
            <w:rPr/>
          </w:pPr>
          <w:hyperlink w:anchor="__RefHeading___Toc49424_3411847120">
            <w:r>
              <w:rPr>
                <w:rStyle w:val="IndexLink"/>
              </w:rPr>
              <w:t>1.2. Compte rendu des activités menées</w:t>
              <w:tab/>
              <w:t>3</w:t>
            </w:r>
          </w:hyperlink>
        </w:p>
        <w:p>
          <w:pPr>
            <w:pStyle w:val="TOC2"/>
            <w:tabs>
              <w:tab w:val="clear" w:pos="8787"/>
              <w:tab w:val="right" w:pos="9069" w:leader="dot"/>
            </w:tabs>
            <w:rPr/>
          </w:pPr>
          <w:hyperlink w:anchor="__RefHeading___Toc49426_3411847120">
            <w:r>
              <w:rPr>
                <w:rStyle w:val="IndexLink"/>
              </w:rPr>
              <w:t>1.3. Acquis professionnels : bonnes pratiques et expériences à capitaliser</w:t>
              <w:tab/>
              <w:t>14</w:t>
            </w:r>
          </w:hyperlink>
        </w:p>
        <w:p>
          <w:pPr>
            <w:pStyle w:val="TOC2"/>
            <w:tabs>
              <w:tab w:val="clear" w:pos="8787"/>
              <w:tab w:val="right" w:pos="9069" w:leader="dot"/>
            </w:tabs>
            <w:rPr/>
          </w:pPr>
          <w:hyperlink w:anchor="__RefHeading___Toc49428_3411847120">
            <w:r>
              <w:rPr>
                <w:rStyle w:val="IndexLink"/>
              </w:rPr>
              <w:t>1.4. Difficultés rencontrées</w:t>
              <w:tab/>
              <w:t>16</w:t>
            </w:r>
          </w:hyperlink>
        </w:p>
        <w:p>
          <w:pPr>
            <w:pStyle w:val="TOC2"/>
            <w:tabs>
              <w:tab w:val="clear" w:pos="8787"/>
              <w:tab w:val="right" w:pos="9069" w:leader="dot"/>
            </w:tabs>
            <w:rPr/>
          </w:pPr>
          <w:hyperlink w:anchor="__RefHeading___Toc49430_3411847120">
            <w:r>
              <w:rPr>
                <w:rStyle w:val="IndexLink"/>
              </w:rPr>
              <w:t>1.5. Analyse des difficultés et suggestions</w:t>
              <w:tab/>
              <w:t>17</w:t>
            </w:r>
          </w:hyperlink>
        </w:p>
        <w:p>
          <w:pPr>
            <w:pStyle w:val="TOC2"/>
            <w:tabs>
              <w:tab w:val="clear" w:pos="8787"/>
              <w:tab w:val="right" w:pos="9069" w:leader="dot"/>
            </w:tabs>
            <w:rPr/>
          </w:pPr>
          <w:hyperlink w:anchor="__RefHeading___Toc49432_3411847120">
            <w:r>
              <w:rPr>
                <w:rStyle w:val="IndexLink"/>
              </w:rPr>
              <w:t>Conclusion</w:t>
              <w:tab/>
              <w:t>18</w:t>
            </w:r>
          </w:hyperlink>
        </w:p>
        <w:p>
          <w:pPr>
            <w:pStyle w:val="TOC1"/>
            <w:tabs>
              <w:tab w:val="clear" w:pos="9070"/>
              <w:tab w:val="right" w:pos="9069" w:leader="dot"/>
            </w:tabs>
            <w:rPr/>
          </w:pPr>
          <w:hyperlink w:anchor="__RefHeading___Toc49434_3411847120">
            <w:r>
              <w:rPr>
                <w:rStyle w:val="IndexLink"/>
              </w:rPr>
              <w:t>CHAPITRE 2 : PROBLÈME SOULEVÉ AU COURS DU STAGE</w:t>
              <w:tab/>
              <w:t>19</w:t>
            </w:r>
          </w:hyperlink>
        </w:p>
        <w:p>
          <w:pPr>
            <w:pStyle w:val="TOC2"/>
            <w:tabs>
              <w:tab w:val="clear" w:pos="8787"/>
              <w:tab w:val="right" w:pos="9069" w:leader="dot"/>
            </w:tabs>
            <w:rPr/>
          </w:pPr>
          <w:hyperlink w:anchor="__RefHeading___Toc49436_3411847120">
            <w:r>
              <w:rPr>
                <w:rStyle w:val="IndexLink"/>
              </w:rPr>
              <w:t>2.1. Introduction</w:t>
              <w:tab/>
              <w:t>19</w:t>
            </w:r>
          </w:hyperlink>
        </w:p>
        <w:p>
          <w:pPr>
            <w:pStyle w:val="TOC2"/>
            <w:tabs>
              <w:tab w:val="clear" w:pos="8787"/>
              <w:tab w:val="right" w:pos="9069" w:leader="dot"/>
            </w:tabs>
            <w:rPr/>
          </w:pPr>
          <w:hyperlink w:anchor="__RefHeading___Toc49438_3411847120">
            <w:r>
              <w:rPr>
                <w:rStyle w:val="IndexLink"/>
              </w:rPr>
              <w:t>2.2. Contexte et justification de l’étude</w:t>
              <w:tab/>
              <w:t>20</w:t>
            </w:r>
          </w:hyperlink>
        </w:p>
        <w:p>
          <w:pPr>
            <w:pStyle w:val="TOC2"/>
            <w:tabs>
              <w:tab w:val="clear" w:pos="8787"/>
              <w:tab w:val="right" w:pos="9069" w:leader="dot"/>
            </w:tabs>
            <w:rPr/>
          </w:pPr>
          <w:hyperlink w:anchor="__RefHeading___Toc49440_3411847120">
            <w:r>
              <w:rPr>
                <w:rStyle w:val="IndexLink"/>
              </w:rPr>
              <w:t>2.3. Énoncé du problème</w:t>
              <w:tab/>
              <w:t>22</w:t>
            </w:r>
          </w:hyperlink>
        </w:p>
        <w:p>
          <w:pPr>
            <w:pStyle w:val="TOC2"/>
            <w:tabs>
              <w:tab w:val="clear" w:pos="8787"/>
              <w:tab w:val="right" w:pos="9069" w:leader="dot"/>
            </w:tabs>
            <w:rPr/>
          </w:pPr>
          <w:hyperlink w:anchor="__RefHeading___Toc49442_3411847120">
            <w:r>
              <w:rPr>
                <w:rStyle w:val="IndexLink"/>
              </w:rPr>
              <w:t>2.4. Questions de recherche</w:t>
              <w:tab/>
              <w:t>23</w:t>
            </w:r>
          </w:hyperlink>
        </w:p>
        <w:p>
          <w:pPr>
            <w:pStyle w:val="TOC2"/>
            <w:tabs>
              <w:tab w:val="clear" w:pos="8787"/>
              <w:tab w:val="right" w:pos="9069" w:leader="dot"/>
            </w:tabs>
            <w:rPr/>
          </w:pPr>
          <w:hyperlink w:anchor="__RefHeading___Toc49444_3411847120">
            <w:r>
              <w:rPr>
                <w:rStyle w:val="IndexLink"/>
              </w:rPr>
              <w:t>2.5. Hypothèses de l’étude</w:t>
              <w:tab/>
              <w:t>24</w:t>
            </w:r>
          </w:hyperlink>
        </w:p>
        <w:p>
          <w:pPr>
            <w:pStyle w:val="TOC2"/>
            <w:tabs>
              <w:tab w:val="clear" w:pos="8787"/>
              <w:tab w:val="right" w:pos="9069" w:leader="dot"/>
            </w:tabs>
            <w:rPr/>
          </w:pPr>
          <w:hyperlink w:anchor="__RefHeading___Toc49446_3411847120">
            <w:r>
              <w:rPr>
                <w:rStyle w:val="IndexLink"/>
              </w:rPr>
              <w:t>2.6. Variables et indicateurs</w:t>
              <w:tab/>
              <w:t>24</w:t>
            </w:r>
          </w:hyperlink>
        </w:p>
        <w:p>
          <w:pPr>
            <w:pStyle w:val="TOC2"/>
            <w:tabs>
              <w:tab w:val="clear" w:pos="8787"/>
              <w:tab w:val="right" w:pos="9069" w:leader="dot"/>
            </w:tabs>
            <w:rPr/>
          </w:pPr>
          <w:hyperlink w:anchor="__RefHeading___Toc49448_3411847120">
            <w:r>
              <w:rPr>
                <w:rStyle w:val="IndexLink"/>
              </w:rPr>
              <w:t>2.7. Objectifs de l’étude</w:t>
              <w:tab/>
              <w:t>25</w:t>
            </w:r>
          </w:hyperlink>
        </w:p>
        <w:p>
          <w:pPr>
            <w:pStyle w:val="TOC1"/>
            <w:tabs>
              <w:tab w:val="clear" w:pos="9070"/>
              <w:tab w:val="right" w:pos="9069" w:leader="dot"/>
            </w:tabs>
            <w:rPr/>
          </w:pPr>
          <w:hyperlink w:anchor="__RefHeading___Toc49450_3411847120">
            <w:r>
              <w:rPr>
                <w:rStyle w:val="IndexLink"/>
              </w:rPr>
              <w:t>CHAPITRE 3 : APPROCHE THÉORIQUE ET MÉTHODOLOGIQUE</w:t>
              <w:tab/>
              <w:t>27</w:t>
            </w:r>
          </w:hyperlink>
        </w:p>
        <w:p>
          <w:pPr>
            <w:pStyle w:val="TOC2"/>
            <w:tabs>
              <w:tab w:val="clear" w:pos="8787"/>
              <w:tab w:val="right" w:pos="9069" w:leader="dot"/>
            </w:tabs>
            <w:rPr/>
          </w:pPr>
          <w:hyperlink w:anchor="__RefHeading___Toc49452_3411847120">
            <w:r>
              <w:rPr>
                <w:rStyle w:val="IndexLink"/>
              </w:rPr>
              <w:t>3.1. Clarification des concepts</w:t>
              <w:tab/>
              <w:t>27</w:t>
            </w:r>
          </w:hyperlink>
        </w:p>
        <w:p>
          <w:pPr>
            <w:pStyle w:val="TOC2"/>
            <w:tabs>
              <w:tab w:val="clear" w:pos="8787"/>
              <w:tab w:val="right" w:pos="9069" w:leader="dot"/>
            </w:tabs>
            <w:rPr/>
          </w:pPr>
          <w:hyperlink w:anchor="__RefHeading___Toc49454_3411847120">
            <w:r>
              <w:rPr>
                <w:rStyle w:val="IndexLink"/>
              </w:rPr>
              <w:t>3.2. Revue de la littérature</w:t>
              <w:tab/>
              <w:t>30</w:t>
            </w:r>
          </w:hyperlink>
        </w:p>
        <w:p>
          <w:pPr>
            <w:pStyle w:val="TOC2"/>
            <w:tabs>
              <w:tab w:val="clear" w:pos="8787"/>
              <w:tab w:val="right" w:pos="9069" w:leader="dot"/>
            </w:tabs>
            <w:rPr/>
          </w:pPr>
          <w:hyperlink w:anchor="__RefHeading___Toc49456_3411847120">
            <w:r>
              <w:rPr>
                <w:rStyle w:val="IndexLink"/>
              </w:rPr>
              <w:t>3.3. Cadre théorique</w:t>
              <w:tab/>
              <w:t>32</w:t>
            </w:r>
          </w:hyperlink>
        </w:p>
        <w:p>
          <w:pPr>
            <w:pStyle w:val="TOC2"/>
            <w:tabs>
              <w:tab w:val="clear" w:pos="8787"/>
              <w:tab w:val="right" w:pos="9069" w:leader="dot"/>
            </w:tabs>
            <w:rPr/>
          </w:pPr>
          <w:hyperlink w:anchor="__RefHeading___Toc49458_3411847120">
            <w:r>
              <w:rPr>
                <w:rStyle w:val="IndexLink"/>
              </w:rPr>
              <w:t>3.4. Démarche méthodologique</w:t>
              <w:tab/>
              <w:t>34</w:t>
            </w:r>
          </w:hyperlink>
        </w:p>
        <w:p>
          <w:pPr>
            <w:pStyle w:val="TOC1"/>
            <w:tabs>
              <w:tab w:val="clear" w:pos="9070"/>
              <w:tab w:val="right" w:pos="9069" w:leader="dot"/>
            </w:tabs>
            <w:rPr/>
          </w:pPr>
          <w:hyperlink w:anchor="__RefHeading___Toc49460_3411847120">
            <w:r>
              <w:rPr>
                <w:rStyle w:val="IndexLink"/>
              </w:rPr>
              <w:t>CHAPITRE 4 : PRÉSENTATION, ANALYSE ET INTERPRÉTATION DES RÉSULTATS</w:t>
              <w:tab/>
              <w:t>39</w:t>
            </w:r>
          </w:hyperlink>
        </w:p>
        <w:p>
          <w:pPr>
            <w:pStyle w:val="TOC2"/>
            <w:tabs>
              <w:tab w:val="clear" w:pos="8787"/>
              <w:tab w:val="right" w:pos="9069" w:leader="dot"/>
            </w:tabs>
            <w:rPr/>
          </w:pPr>
          <w:hyperlink w:anchor="__RefHeading___Toc49462_3411847120">
            <w:r>
              <w:rPr>
                <w:rStyle w:val="IndexLink"/>
              </w:rPr>
              <w:t>4.1. Résultats de l’enquête auprès des élèves-professeurs d’école</w:t>
              <w:tab/>
              <w:t>39</w:t>
            </w:r>
          </w:hyperlink>
        </w:p>
        <w:p>
          <w:pPr>
            <w:pStyle w:val="TOC2"/>
            <w:tabs>
              <w:tab w:val="clear" w:pos="8787"/>
              <w:tab w:val="right" w:pos="9069" w:leader="dot"/>
            </w:tabs>
            <w:rPr/>
          </w:pPr>
          <w:hyperlink w:anchor="__RefHeading___Toc49464_3411847120">
            <w:r>
              <w:rPr>
                <w:rStyle w:val="IndexLink"/>
              </w:rPr>
              <w:t>4.2. Résultats de l’enquête auprès des formateurs d’ECM</w:t>
              <w:tab/>
              <w:t>48</w:t>
            </w:r>
          </w:hyperlink>
        </w:p>
        <w:p>
          <w:pPr>
            <w:pStyle w:val="TOC2"/>
            <w:tabs>
              <w:tab w:val="clear" w:pos="8787"/>
              <w:tab w:val="right" w:pos="9069" w:leader="dot"/>
            </w:tabs>
            <w:rPr/>
          </w:pPr>
          <w:hyperlink w:anchor="__RefHeading___Toc49466_3411847120">
            <w:r>
              <w:rPr>
                <w:rStyle w:val="IndexLink"/>
              </w:rPr>
              <w:t>4.3. Discussion générale et vérification des hypothèses</w:t>
              <w:tab/>
              <w:t>52</w:t>
            </w:r>
          </w:hyperlink>
        </w:p>
        <w:p>
          <w:pPr>
            <w:pStyle w:val="TOC1"/>
            <w:tabs>
              <w:tab w:val="clear" w:pos="9070"/>
              <w:tab w:val="right" w:pos="9069" w:leader="dot"/>
            </w:tabs>
            <w:rPr/>
          </w:pPr>
          <w:hyperlink w:anchor="__RefHeading___Toc49468_3411847120">
            <w:r>
              <w:rPr>
                <w:rStyle w:val="IndexLink"/>
              </w:rPr>
              <w:t>CHAPITRE 5 : CONTRIBUTION PROFESSIONNELLE</w:t>
              <w:tab/>
              <w:t>56</w:t>
            </w:r>
          </w:hyperlink>
        </w:p>
        <w:p>
          <w:pPr>
            <w:pStyle w:val="TOC2"/>
            <w:tabs>
              <w:tab w:val="clear" w:pos="8787"/>
              <w:tab w:val="right" w:pos="9069" w:leader="dot"/>
            </w:tabs>
            <w:rPr/>
          </w:pPr>
          <w:hyperlink w:anchor="__RefHeading___Toc49470_3411847120">
            <w:r>
              <w:rPr>
                <w:rStyle w:val="IndexLink"/>
              </w:rPr>
              <w:t>5.1. Fondements d’une évaluation adaptée à la citoyenneté</w:t>
              <w:tab/>
              <w:t>56</w:t>
            </w:r>
          </w:hyperlink>
        </w:p>
        <w:p>
          <w:pPr>
            <w:pStyle w:val="TOC2"/>
            <w:tabs>
              <w:tab w:val="clear" w:pos="8787"/>
              <w:tab w:val="right" w:pos="9069" w:leader="dot"/>
            </w:tabs>
            <w:rPr/>
          </w:pPr>
          <w:hyperlink w:anchor="__RefHeading___Toc49472_3411847120">
            <w:r>
              <w:rPr>
                <w:rStyle w:val="IndexLink"/>
              </w:rPr>
              <w:t>5.2. Difficultés liées à l’évaluation de l’ECM</w:t>
              <w:tab/>
              <w:t>56</w:t>
            </w:r>
          </w:hyperlink>
        </w:p>
        <w:p>
          <w:pPr>
            <w:pStyle w:val="TOC2"/>
            <w:tabs>
              <w:tab w:val="clear" w:pos="8787"/>
              <w:tab w:val="right" w:pos="9069" w:leader="dot"/>
            </w:tabs>
            <w:rPr/>
          </w:pPr>
          <w:hyperlink w:anchor="__RefHeading___Toc49474_3411847120">
            <w:r>
              <w:rPr>
                <w:rStyle w:val="IndexLink"/>
              </w:rPr>
              <w:t>5.3. Propositions de techniques et d’outils d’évaluation</w:t>
              <w:tab/>
              <w:t>57</w:t>
            </w:r>
          </w:hyperlink>
        </w:p>
        <w:p>
          <w:pPr>
            <w:pStyle w:val="TOC2"/>
            <w:tabs>
              <w:tab w:val="clear" w:pos="8787"/>
              <w:tab w:val="right" w:pos="9069" w:leader="dot"/>
            </w:tabs>
            <w:rPr/>
          </w:pPr>
          <w:hyperlink w:anchor="__RefHeading___Toc49476_3411847120">
            <w:r>
              <w:rPr>
                <w:rStyle w:val="IndexLink"/>
              </w:rPr>
              <w:t>5.4. Recommandations</w:t>
              <w:tab/>
              <w:t>59</w:t>
            </w:r>
          </w:hyperlink>
        </w:p>
        <w:p>
          <w:pPr>
            <w:pStyle w:val="TOC1"/>
            <w:tabs>
              <w:tab w:val="clear" w:pos="9070"/>
              <w:tab w:val="right" w:pos="9069" w:leader="dot"/>
            </w:tabs>
            <w:rPr/>
          </w:pPr>
          <w:hyperlink w:anchor="__RefHeading___Toc49478_3411847120">
            <w:r>
              <w:rPr>
                <w:rStyle w:val="IndexLink"/>
              </w:rPr>
              <w:t>CONCLUSION GÉNÉRALE</w:t>
              <w:tab/>
              <w:t>61</w:t>
            </w:r>
          </w:hyperlink>
        </w:p>
        <w:p>
          <w:pPr>
            <w:pStyle w:val="TOC1"/>
            <w:tabs>
              <w:tab w:val="clear" w:pos="9070"/>
              <w:tab w:val="right" w:pos="9069" w:leader="dot"/>
            </w:tabs>
            <w:rPr/>
          </w:pPr>
          <w:hyperlink w:anchor="__RefHeading___Toc49480_3411847120">
            <w:r>
              <w:rPr>
                <w:rStyle w:val="IndexLink"/>
              </w:rPr>
              <w:t>RÉFÉRENCES BIBLIOGRAPHIQUES</w:t>
              <w:tab/>
              <w:t>63</w:t>
            </w:r>
          </w:hyperlink>
        </w:p>
        <w:p>
          <w:pPr>
            <w:pStyle w:val="TOC1"/>
            <w:tabs>
              <w:tab w:val="clear" w:pos="9070"/>
              <w:tab w:val="right" w:pos="9069" w:leader="dot"/>
            </w:tabs>
            <w:rPr/>
          </w:pPr>
          <w:hyperlink w:anchor="__RefHeading___Toc49482_3411847120">
            <w:r>
              <w:rPr>
                <w:rStyle w:val="IndexLink"/>
              </w:rPr>
              <w:t>ANNEXES</w:t>
              <w:tab/>
              <w:t>65</w:t>
            </w:r>
          </w:hyperlink>
        </w:p>
        <w:p>
          <w:pPr>
            <w:pStyle w:val="TOC2"/>
            <w:tabs>
              <w:tab w:val="clear" w:pos="8787"/>
              <w:tab w:val="right" w:pos="9069" w:leader="dot"/>
            </w:tabs>
            <w:rPr/>
          </w:pPr>
          <w:hyperlink w:anchor="__RefHeading___Toc49484_3411847120">
            <w:r>
              <w:rPr>
                <w:rStyle w:val="IndexLink"/>
              </w:rPr>
              <w:t>Annexe 1 : Guide d’entretien semi-directif avec les formateurs</w:t>
              <w:tab/>
              <w:t>65</w:t>
            </w:r>
          </w:hyperlink>
        </w:p>
        <w:p>
          <w:pPr>
            <w:pStyle w:val="TOC2"/>
            <w:tabs>
              <w:tab w:val="clear" w:pos="8787"/>
              <w:tab w:val="right" w:pos="9069" w:leader="dot"/>
            </w:tabs>
            <w:rPr/>
          </w:pPr>
          <w:hyperlink w:anchor="__RefHeading___Toc49486_3411847120">
            <w:r>
              <w:rPr>
                <w:rStyle w:val="IndexLink"/>
              </w:rPr>
              <w:t>Annexe 2 : Grille d’observation des séances d’ECM</w:t>
              <w:tab/>
              <w:t>65</w:t>
            </w:r>
          </w:hyperlink>
        </w:p>
        <w:p>
          <w:pPr>
            <w:pStyle w:val="TOC2"/>
            <w:tabs>
              <w:tab w:val="clear" w:pos="8787"/>
              <w:tab w:val="right" w:pos="9069" w:leader="dot"/>
            </w:tabs>
            <w:rPr/>
          </w:pPr>
          <w:hyperlink w:anchor="__RefHeading___Toc49488_3411847120">
            <w:r>
              <w:rPr>
                <w:rStyle w:val="IndexLink"/>
              </w:rPr>
              <w:t>Annexe 3 : Principaux items des questionnaires</w:t>
              <w:tab/>
              <w:t>66</w:t>
            </w:r>
          </w:hyperlink>
        </w:p>
        <w:p>
          <w:pPr>
            <w:pStyle w:val="TOC2"/>
            <w:tabs>
              <w:tab w:val="clear" w:pos="8787"/>
              <w:tab w:val="right" w:pos="9069" w:leader="dot"/>
            </w:tabs>
            <w:rPr/>
          </w:pPr>
          <w:hyperlink w:anchor="__RefHeading___Toc49490_3411847120">
            <w:r>
              <w:rPr>
                <w:rStyle w:val="IndexLink"/>
              </w:rPr>
              <w:t>Annexe 4 : Résultats détaillés du semestre 1 de la promotion 4 par ENFPE et par sexe</w:t>
              <w:tab/>
              <w:t>68</w:t>
            </w:r>
          </w:hyperlink>
          <w:r>
            <w:rPr>
              <w:rStyle w:val="IndexLink"/>
            </w:rPr>
            <w:fldChar w:fldCharType="end"/>
          </w:r>
        </w:p>
      </w:sdtContent>
    </w:sdt>
    <w:p>
      <w:pPr>
        <w:pStyle w:val="Normal"/>
        <w:rPr/>
      </w:pPr>
      <w:r>
        <w:rPr/>
      </w:r>
      <w:r>
        <w:br w:type="page"/>
      </w:r>
    </w:p>
    <w:p>
      <w:pPr>
        <w:pStyle w:val="Titreliminaire"/>
        <w:rPr/>
      </w:pPr>
      <w:r>
        <w:rPr>
          <w:rFonts w:eastAsia="Times New Roman" w:cs="Times New Roman"/>
        </w:rPr>
        <w:t>LISTE DES TABLEAUX</w:t>
      </w:r>
    </w:p>
    <w:p>
      <w:pPr>
        <w:pStyle w:val="TableofFigures"/>
        <w:tabs>
          <w:tab w:val="clear" w:pos="9070"/>
          <w:tab w:val="right" w:pos="9069" w:leader="dot"/>
        </w:tabs>
        <w:rPr/>
      </w:pPr>
      <w:r>
        <w:fldChar w:fldCharType="begin"/>
      </w:r>
      <w:r>
        <w:rPr/>
        <w:instrText xml:space="preserve"> TOC \c "Tableau" \h </w:instrText>
      </w:r>
      <w:r>
        <w:rPr/>
        <w:fldChar w:fldCharType="separate"/>
      </w:r>
      <w:hyperlink w:anchor="Tableau!0|sequence">
        <w:r>
          <w:rPr/>
          <w:t>Tableau 1 : Répartition du personnel de l’ENFPE de Notsè selon la catégorie et le sexe</w:t>
          <w:tab/>
          <w:t>2</w:t>
        </w:r>
      </w:hyperlink>
    </w:p>
    <w:p>
      <w:pPr>
        <w:pStyle w:val="TableofFigures"/>
        <w:tabs>
          <w:tab w:val="clear" w:pos="9070"/>
          <w:tab w:val="right" w:pos="9069" w:leader="dot"/>
        </w:tabs>
        <w:rPr/>
      </w:pPr>
      <w:hyperlink w:anchor="Tableau!1|sequence">
        <w:r>
          <w:rPr/>
          <w:t>Tableau 2 : Leçons dispensées dans le groupe-classe 2 de la promotion 4 (mars-mai 2026)</w:t>
          <w:tab/>
          <w:t>6</w:t>
        </w:r>
      </w:hyperlink>
    </w:p>
    <w:p>
      <w:pPr>
        <w:pStyle w:val="TableofFigures"/>
        <w:tabs>
          <w:tab w:val="clear" w:pos="9070"/>
          <w:tab w:val="right" w:pos="9069" w:leader="dot"/>
        </w:tabs>
        <w:rPr/>
      </w:pPr>
      <w:hyperlink w:anchor="Tableau!2|sequence">
        <w:r>
          <w:rPr/>
          <w:t>Tableau 3 : Résultats du devoir sur table dans le groupe-classe 2 (mai 2026)</w:t>
          <w:tab/>
          <w:t>7</w:t>
        </w:r>
      </w:hyperlink>
    </w:p>
    <w:p>
      <w:pPr>
        <w:pStyle w:val="TableofFigures"/>
        <w:tabs>
          <w:tab w:val="clear" w:pos="9070"/>
          <w:tab w:val="right" w:pos="9069" w:leader="dot"/>
        </w:tabs>
        <w:rPr/>
      </w:pPr>
      <w:hyperlink w:anchor="Tableau!3|sequence">
        <w:r>
          <w:rPr/>
          <w:t>Tableau 4 : Résultats du semestre 1 de la promotion 4 par ENFPE (effectifs totaux)</w:t>
          <w:tab/>
          <w:t>11</w:t>
        </w:r>
      </w:hyperlink>
    </w:p>
    <w:p>
      <w:pPr>
        <w:pStyle w:val="TableofFigures"/>
        <w:tabs>
          <w:tab w:val="clear" w:pos="9070"/>
          <w:tab w:val="right" w:pos="9069" w:leader="dot"/>
        </w:tabs>
        <w:rPr/>
      </w:pPr>
      <w:hyperlink w:anchor="Tableau!4|sequence">
        <w:r>
          <w:rPr/>
          <w:t>Tableau 5 : Composition de l’échantillon de l’étude</w:t>
          <w:tab/>
          <w:t>36</w:t>
        </w:r>
      </w:hyperlink>
    </w:p>
    <w:p>
      <w:pPr>
        <w:pStyle w:val="TableofFigures"/>
        <w:tabs>
          <w:tab w:val="clear" w:pos="9070"/>
          <w:tab w:val="right" w:pos="9069" w:leader="dot"/>
        </w:tabs>
        <w:rPr/>
      </w:pPr>
      <w:hyperlink w:anchor="Tableau!5|sequence">
        <w:r>
          <w:rPr/>
          <w:t>Tableau 6 : Répartition des EPE enquêtés selon le sexe (n = 62)</w:t>
          <w:tab/>
          <w:t>39</w:t>
        </w:r>
      </w:hyperlink>
    </w:p>
    <w:p>
      <w:pPr>
        <w:pStyle w:val="TableofFigures"/>
        <w:tabs>
          <w:tab w:val="clear" w:pos="9070"/>
          <w:tab w:val="right" w:pos="9069" w:leader="dot"/>
        </w:tabs>
        <w:rPr/>
      </w:pPr>
      <w:hyperlink w:anchor="Tableau!6|sequence">
        <w:r>
          <w:rPr/>
          <w:t>Tableau 7 : Techniques d’évaluation utilisées par les EPE en éducation sociale (réponses multiples, n = 62)</w:t>
          <w:tab/>
          <w:t>40</w:t>
        </w:r>
      </w:hyperlink>
    </w:p>
    <w:p>
      <w:pPr>
        <w:pStyle w:val="TableofFigures"/>
        <w:tabs>
          <w:tab w:val="clear" w:pos="9070"/>
          <w:tab w:val="right" w:pos="9069" w:leader="dot"/>
        </w:tabs>
        <w:rPr/>
      </w:pPr>
      <w:hyperlink w:anchor="Tableau!7|sequence">
        <w:r>
          <w:rPr/>
          <w:t>Tableau 8 : Profil dominant des techniques d’évaluation mobilisées par les EPE (n = 62)</w:t>
          <w:tab/>
          <w:t>41</w:t>
        </w:r>
      </w:hyperlink>
    </w:p>
    <w:p>
      <w:pPr>
        <w:pStyle w:val="TableofFigures"/>
        <w:tabs>
          <w:tab w:val="clear" w:pos="9070"/>
          <w:tab w:val="right" w:pos="9069" w:leader="dot"/>
        </w:tabs>
        <w:rPr/>
      </w:pPr>
      <w:hyperlink w:anchor="Tableau!8|sequence">
        <w:r>
          <w:rPr/>
          <w:t>Tableau 9 : Fréquence d’utilisation des techniques d’évaluation (n = 61)</w:t>
          <w:tab/>
          <w:t>42</w:t>
        </w:r>
      </w:hyperlink>
    </w:p>
    <w:p>
      <w:pPr>
        <w:pStyle w:val="TableofFigures"/>
        <w:tabs>
          <w:tab w:val="clear" w:pos="9070"/>
          <w:tab w:val="right" w:pos="9069" w:leader="dot"/>
        </w:tabs>
        <w:rPr/>
      </w:pPr>
      <w:hyperlink w:anchor="Tableau!9|sequence">
        <w:r>
          <w:rPr/>
          <w:t>Tableau 10 : Capacité perçue des techniques à évaluer les compétences civiques et morales (n = 62)</w:t>
          <w:tab/>
          <w:t>42</w:t>
        </w:r>
      </w:hyperlink>
    </w:p>
    <w:p>
      <w:pPr>
        <w:pStyle w:val="TableofFigures"/>
        <w:tabs>
          <w:tab w:val="clear" w:pos="9070"/>
          <w:tab w:val="right" w:pos="9069" w:leader="dot"/>
        </w:tabs>
        <w:rPr/>
      </w:pPr>
      <w:hyperlink w:anchor="Tableau!10|sequence">
        <w:r>
          <w:rPr/>
          <w:t>Tableau 11 : Capacité perçue à évaluer les compétences civiques selon le profil dominant des techniques (% en ligne, n = 62)</w:t>
          <w:tab/>
          <w:t>43</w:t>
        </w:r>
      </w:hyperlink>
    </w:p>
    <w:p>
      <w:pPr>
        <w:pStyle w:val="TableofFigures"/>
        <w:tabs>
          <w:tab w:val="clear" w:pos="9070"/>
          <w:tab w:val="right" w:pos="9069" w:leader="dot"/>
        </w:tabs>
        <w:rPr/>
      </w:pPr>
      <w:hyperlink w:anchor="Tableau!11|sequence">
        <w:r>
          <w:rPr/>
          <w:t>Tableau 12 : Contribution perçue des techniques à l’apprentissage de la leçon (n = 62)</w:t>
          <w:tab/>
          <w:t>43</w:t>
        </w:r>
      </w:hyperlink>
    </w:p>
    <w:p>
      <w:pPr>
        <w:pStyle w:val="TableofFigures"/>
        <w:tabs>
          <w:tab w:val="clear" w:pos="9070"/>
          <w:tab w:val="right" w:pos="9069" w:leader="dot"/>
        </w:tabs>
        <w:rPr/>
      </w:pPr>
      <w:hyperlink w:anchor="Tableau!12|sequence">
        <w:r>
          <w:rPr/>
          <w:t>Tableau 13 : Influence perçue de l’évaluation sur le comportement civique des apprenants (n = 62)</w:t>
          <w:tab/>
          <w:t>44</w:t>
        </w:r>
      </w:hyperlink>
    </w:p>
    <w:p>
      <w:pPr>
        <w:pStyle w:val="TableofFigures"/>
        <w:tabs>
          <w:tab w:val="clear" w:pos="9070"/>
          <w:tab w:val="right" w:pos="9069" w:leader="dot"/>
        </w:tabs>
        <w:rPr/>
      </w:pPr>
      <w:hyperlink w:anchor="Tableau!13|sequence">
        <w:r>
          <w:rPr/>
          <w:t>Tableau 14 : Satisfaction des EPE à l’égard des techniques d’évaluation actuelles (n = 61)</w:t>
          <w:tab/>
          <w:t>44</w:t>
        </w:r>
      </w:hyperlink>
    </w:p>
    <w:p>
      <w:pPr>
        <w:pStyle w:val="TableofFigures"/>
        <w:tabs>
          <w:tab w:val="clear" w:pos="9070"/>
          <w:tab w:val="right" w:pos="9069" w:leader="dot"/>
        </w:tabs>
        <w:rPr/>
      </w:pPr>
      <w:hyperlink w:anchor="Tableau!14|sequence">
        <w:r>
          <w:rPr/>
          <w:t>Tableau 15 : Difficultés rencontrées par les EPE dans l’évaluation en éducation sociale 1 (n = 62)</w:t>
          <w:tab/>
          <w:t>45</w:t>
        </w:r>
      </w:hyperlink>
    </w:p>
    <w:p>
      <w:pPr>
        <w:pStyle w:val="TableofFigures"/>
        <w:tabs>
          <w:tab w:val="clear" w:pos="9070"/>
          <w:tab w:val="right" w:pos="9069" w:leader="dot"/>
        </w:tabs>
        <w:rPr/>
      </w:pPr>
      <w:hyperlink w:anchor="Tableau!15|sequence">
        <w:r>
          <w:rPr/>
          <w:t>Tableau 16 : Nature des difficultés rencontrées par les EPE (réponses multiples, n = 54)</w:t>
          <w:tab/>
          <w:t>46</w:t>
        </w:r>
      </w:hyperlink>
    </w:p>
    <w:p>
      <w:pPr>
        <w:pStyle w:val="TableofFigures"/>
        <w:tabs>
          <w:tab w:val="clear" w:pos="9070"/>
          <w:tab w:val="right" w:pos="9069" w:leader="dot"/>
        </w:tabs>
        <w:rPr/>
      </w:pPr>
      <w:hyperlink w:anchor="Tableau!16|sequence">
        <w:r>
          <w:rPr/>
          <w:t>Tableau 17 : Satisfaction à l’égard des techniques selon les difficultés rencontrées (% en ligne, n = 61)</w:t>
          <w:tab/>
          <w:t>47</w:t>
        </w:r>
      </w:hyperlink>
    </w:p>
    <w:p>
      <w:pPr>
        <w:pStyle w:val="TableofFigures"/>
        <w:tabs>
          <w:tab w:val="clear" w:pos="9070"/>
          <w:tab w:val="right" w:pos="9069" w:leader="dot"/>
        </w:tabs>
        <w:rPr/>
      </w:pPr>
      <w:hyperlink w:anchor="Tableau!17|sequence">
        <w:r>
          <w:rPr/>
          <w:t>Tableau 18 : Thèmes des suggestions d’amélioration formulées par les EPE (analyse de contenu, n = 62)</w:t>
          <w:tab/>
          <w:t>47</w:t>
        </w:r>
      </w:hyperlink>
    </w:p>
    <w:p>
      <w:pPr>
        <w:pStyle w:val="TableofFigures"/>
        <w:tabs>
          <w:tab w:val="clear" w:pos="9070"/>
          <w:tab w:val="right" w:pos="9069" w:leader="dot"/>
        </w:tabs>
        <w:rPr/>
      </w:pPr>
      <w:hyperlink w:anchor="Tableau!18|sequence">
        <w:r>
          <w:rPr/>
          <w:t>Tableau 19 : Techniques d’évaluation utilisées par les formateurs en ECM (réponses multiples, n = 4)</w:t>
          <w:tab/>
          <w:t>49</w:t>
        </w:r>
      </w:hyperlink>
    </w:p>
    <w:p>
      <w:pPr>
        <w:pStyle w:val="TableofFigures"/>
        <w:tabs>
          <w:tab w:val="clear" w:pos="9070"/>
          <w:tab w:val="right" w:pos="9069" w:leader="dot"/>
        </w:tabs>
        <w:rPr/>
      </w:pPr>
      <w:hyperlink w:anchor="Tableau!19|sequence">
        <w:r>
          <w:rPr/>
          <w:t>Tableau 20 : Capacité perçue par les formateurs de leurs techniques à évaluer les compétences civiques et morales (n = 4)</w:t>
          <w:tab/>
          <w:t>50</w:t>
        </w:r>
      </w:hyperlink>
    </w:p>
    <w:p>
      <w:pPr>
        <w:pStyle w:val="TableofFigures"/>
        <w:tabs>
          <w:tab w:val="clear" w:pos="9070"/>
          <w:tab w:val="right" w:pos="9069" w:leader="dot"/>
        </w:tabs>
        <w:rPr/>
      </w:pPr>
      <w:hyperlink w:anchor="Tableau!20|sequence">
        <w:r>
          <w:rPr/>
          <w:t>Tableau 21 : Difficulté perçue par les formateurs d’évaluer les comportements (n = 4)</w:t>
          <w:tab/>
          <w:t>50</w:t>
        </w:r>
      </w:hyperlink>
    </w:p>
    <w:p>
      <w:pPr>
        <w:pStyle w:val="TableofFigures"/>
        <w:tabs>
          <w:tab w:val="clear" w:pos="9070"/>
          <w:tab w:val="right" w:pos="9069" w:leader="dot"/>
        </w:tabs>
        <w:rPr/>
      </w:pPr>
      <w:hyperlink w:anchor="Tableau!21|sequence">
        <w:r>
          <w:rPr/>
          <w:t>Tableau 22 : Difficultés rencontrées par les formateurs dans l’évaluation en ECM (réponses multiples, n = 4)</w:t>
          <w:tab/>
          <w:t>50</w:t>
        </w:r>
      </w:hyperlink>
    </w:p>
    <w:p>
      <w:pPr>
        <w:pStyle w:val="TableofFigures"/>
        <w:tabs>
          <w:tab w:val="clear" w:pos="9070"/>
          <w:tab w:val="right" w:pos="9069" w:leader="dot"/>
        </w:tabs>
        <w:rPr/>
      </w:pPr>
      <w:hyperlink w:anchor="Tableau!22|sequence">
        <w:r>
          <w:rPr/>
          <w:t>Tableau 23 : Satisfaction des formateurs et souhait de formation complémentaire (n = 4)</w:t>
          <w:tab/>
          <w:t>51</w:t>
        </w:r>
      </w:hyperlink>
    </w:p>
    <w:p>
      <w:pPr>
        <w:pStyle w:val="TableofFigures"/>
        <w:tabs>
          <w:tab w:val="clear" w:pos="9070"/>
          <w:tab w:val="right" w:pos="9069" w:leader="dot"/>
        </w:tabs>
        <w:rPr/>
      </w:pPr>
      <w:hyperlink w:anchor="Tableau!23|sequence">
        <w:r>
          <w:rPr/>
          <w:t>Tableau 24 : Synthèse de la vérification des hypothèses</w:t>
          <w:tab/>
          <w:t>54</w:t>
        </w:r>
      </w:hyperlink>
    </w:p>
    <w:p>
      <w:pPr>
        <w:pStyle w:val="TableofFigures"/>
        <w:tabs>
          <w:tab w:val="clear" w:pos="9070"/>
          <w:tab w:val="right" w:pos="9069" w:leader="dot"/>
        </w:tabs>
        <w:rPr/>
      </w:pPr>
      <w:hyperlink w:anchor="Tableau!24|sequence">
        <w:r>
          <w:rPr/>
          <w:t>Tableau 25 : Proposition de grille d’observation des comportements citoyens des élèves-professeurs</w:t>
          <w:tab/>
          <w:t>58</w:t>
        </w:r>
      </w:hyperlink>
      <w:r>
        <w:rPr/>
        <w:fldChar w:fldCharType="end"/>
      </w:r>
    </w:p>
    <w:p>
      <w:pPr>
        <w:pStyle w:val="Normal"/>
        <w:rPr/>
      </w:pPr>
      <w:r>
        <w:rPr/>
      </w:r>
      <w:r>
        <w:br w:type="page"/>
      </w:r>
    </w:p>
    <w:p>
      <w:pPr>
        <w:pStyle w:val="Titreliminaire"/>
        <w:rPr/>
      </w:pPr>
      <w:r>
        <w:rPr>
          <w:rFonts w:eastAsia="Times New Roman" w:cs="Times New Roman"/>
        </w:rPr>
        <w:t>LISTE DES FIGURES</w:t>
      </w:r>
    </w:p>
    <w:p>
      <w:pPr>
        <w:pStyle w:val="TableofFigures"/>
        <w:tabs>
          <w:tab w:val="clear" w:pos="9070"/>
          <w:tab w:val="right" w:pos="9069" w:leader="dot"/>
        </w:tabs>
        <w:rPr/>
      </w:pPr>
      <w:r>
        <w:fldChar w:fldCharType="begin"/>
      </w:r>
      <w:r>
        <w:rPr/>
        <w:instrText xml:space="preserve"> TOC \c "Figure" \h </w:instrText>
      </w:r>
      <w:r>
        <w:rPr/>
        <w:fldChar w:fldCharType="separate"/>
      </w:r>
      <w:hyperlink w:anchor="Figure!0|sequence">
        <w:r>
          <w:rPr/>
          <w:t>Figure 1 : Vue de l’ENFPE de Notsè</w:t>
          <w:tab/>
          <w:t>2</w:t>
        </w:r>
      </w:hyperlink>
    </w:p>
    <w:p>
      <w:pPr>
        <w:pStyle w:val="TableofFigures"/>
        <w:tabs>
          <w:tab w:val="clear" w:pos="9070"/>
          <w:tab w:val="right" w:pos="9069" w:leader="dot"/>
        </w:tabs>
        <w:rPr/>
      </w:pPr>
      <w:hyperlink w:anchor="Figure!1|sequence">
        <w:r>
          <w:rPr/>
          <w:t>Figure 2 : Répartition des EPE enquêtés selon le sexe (n = 62)</w:t>
          <w:tab/>
          <w:t>39</w:t>
        </w:r>
      </w:hyperlink>
    </w:p>
    <w:p>
      <w:pPr>
        <w:pStyle w:val="TableofFigures"/>
        <w:tabs>
          <w:tab w:val="clear" w:pos="9070"/>
          <w:tab w:val="right" w:pos="9069" w:leader="dot"/>
        </w:tabs>
        <w:rPr/>
      </w:pPr>
      <w:hyperlink w:anchor="Figure!2|sequence">
        <w:r>
          <w:rPr/>
          <w:t>Figure 3 : Techniques d’évaluation utilisées par les EPE en éducation sociale (réponses multiples, n = 62)</w:t>
          <w:tab/>
          <w:t>40</w:t>
        </w:r>
      </w:hyperlink>
    </w:p>
    <w:p>
      <w:pPr>
        <w:pStyle w:val="TableofFigures"/>
        <w:tabs>
          <w:tab w:val="clear" w:pos="9070"/>
          <w:tab w:val="right" w:pos="9069" w:leader="dot"/>
        </w:tabs>
        <w:rPr/>
      </w:pPr>
      <w:hyperlink w:anchor="Figure!3|sequence">
        <w:r>
          <w:rPr/>
          <w:t>Figure 4 : Profil dominant des techniques d’évaluation mobilisées par les EPE (n = 62)</w:t>
          <w:tab/>
          <w:t>41</w:t>
        </w:r>
      </w:hyperlink>
    </w:p>
    <w:p>
      <w:pPr>
        <w:pStyle w:val="TableofFigures"/>
        <w:tabs>
          <w:tab w:val="clear" w:pos="9070"/>
          <w:tab w:val="right" w:pos="9069" w:leader="dot"/>
        </w:tabs>
        <w:rPr/>
      </w:pPr>
      <w:hyperlink w:anchor="Figure!4|sequence">
        <w:r>
          <w:rPr/>
          <w:t>Figure 5 : Fréquence d’utilisation des techniques d’évaluation (n = 61)</w:t>
          <w:tab/>
          <w:t>42</w:t>
        </w:r>
      </w:hyperlink>
    </w:p>
    <w:p>
      <w:pPr>
        <w:pStyle w:val="TableofFigures"/>
        <w:tabs>
          <w:tab w:val="clear" w:pos="9070"/>
          <w:tab w:val="right" w:pos="9069" w:leader="dot"/>
        </w:tabs>
        <w:rPr/>
      </w:pPr>
      <w:hyperlink w:anchor="Figure!5|sequence">
        <w:r>
          <w:rPr/>
          <w:t>Figure 6 : « Ces techniques permettent-elles d’évaluer les compétences civiques et morales ? » (n = 62)</w:t>
          <w:tab/>
          <w:t>42</w:t>
        </w:r>
      </w:hyperlink>
    </w:p>
    <w:p>
      <w:pPr>
        <w:pStyle w:val="TableofFigures"/>
        <w:tabs>
          <w:tab w:val="clear" w:pos="9070"/>
          <w:tab w:val="right" w:pos="9069" w:leader="dot"/>
        </w:tabs>
        <w:rPr/>
      </w:pPr>
      <w:hyperlink w:anchor="Figure!6|sequence">
        <w:r>
          <w:rPr/>
          <w:t>Figure 7 : Les techniques utilisées favorisent-elles l’apprentissage de la leçon ? (n = 62)</w:t>
          <w:tab/>
          <w:t>44</w:t>
        </w:r>
      </w:hyperlink>
    </w:p>
    <w:p>
      <w:pPr>
        <w:pStyle w:val="TableofFigures"/>
        <w:tabs>
          <w:tab w:val="clear" w:pos="9070"/>
          <w:tab w:val="right" w:pos="9069" w:leader="dot"/>
        </w:tabs>
        <w:rPr/>
      </w:pPr>
      <w:hyperlink w:anchor="Figure!7|sequence">
        <w:r>
          <w:rPr/>
          <w:t>Figure 8 : L’évaluation influence-t-elle le comportement civique des apprenants ? (n = 62)</w:t>
          <w:tab/>
          <w:t>44</w:t>
        </w:r>
      </w:hyperlink>
    </w:p>
    <w:p>
      <w:pPr>
        <w:pStyle w:val="TableofFigures"/>
        <w:tabs>
          <w:tab w:val="clear" w:pos="9070"/>
          <w:tab w:val="right" w:pos="9069" w:leader="dot"/>
        </w:tabs>
        <w:rPr/>
      </w:pPr>
      <w:hyperlink w:anchor="Figure!8|sequence">
        <w:r>
          <w:rPr/>
          <w:t>Figure 9 : Satisfaction à l’égard des techniques d’évaluation actuelles (n = 61)</w:t>
          <w:tab/>
          <w:t>45</w:t>
        </w:r>
      </w:hyperlink>
    </w:p>
    <w:p>
      <w:pPr>
        <w:pStyle w:val="TableofFigures"/>
        <w:tabs>
          <w:tab w:val="clear" w:pos="9070"/>
          <w:tab w:val="right" w:pos="9069" w:leader="dot"/>
        </w:tabs>
        <w:rPr/>
      </w:pPr>
      <w:hyperlink w:anchor="Figure!9|sequence">
        <w:r>
          <w:rPr/>
          <w:t>Figure 10 : Difficultés rencontrées dans l’évaluation en éducation sociale 1 (n = 62)</w:t>
          <w:tab/>
          <w:t>46</w:t>
        </w:r>
      </w:hyperlink>
    </w:p>
    <w:p>
      <w:pPr>
        <w:pStyle w:val="TableofFigures"/>
        <w:tabs>
          <w:tab w:val="clear" w:pos="9070"/>
          <w:tab w:val="right" w:pos="9069" w:leader="dot"/>
        </w:tabs>
        <w:rPr/>
      </w:pPr>
      <w:hyperlink w:anchor="Figure!10|sequence">
        <w:r>
          <w:rPr/>
          <w:t>Figure 11 : Nature des difficultés rencontrées dans l’évaluation en éducation sociale 1 (réponses multiples, n = 54)</w:t>
          <w:tab/>
          <w:t>46</w:t>
        </w:r>
      </w:hyperlink>
    </w:p>
    <w:p>
      <w:pPr>
        <w:pStyle w:val="TableofFigures"/>
        <w:tabs>
          <w:tab w:val="clear" w:pos="9070"/>
          <w:tab w:val="right" w:pos="9069" w:leader="dot"/>
        </w:tabs>
        <w:rPr/>
      </w:pPr>
      <w:hyperlink w:anchor="Figure!11|sequence">
        <w:r>
          <w:rPr/>
          <w:t>Figure 12 : Thèmes des suggestions d’amélioration formulées par les EPE (analyse de contenu, n = 62)</w:t>
          <w:tab/>
          <w:t>48</w:t>
        </w:r>
      </w:hyperlink>
    </w:p>
    <w:p>
      <w:pPr>
        <w:pStyle w:val="TableofFigures"/>
        <w:tabs>
          <w:tab w:val="clear" w:pos="9070"/>
          <w:tab w:val="right" w:pos="9069" w:leader="dot"/>
        </w:tabs>
        <w:rPr/>
      </w:pPr>
      <w:hyperlink w:anchor="Figure!12|sequence">
        <w:r>
          <w:rPr/>
          <w:t>Figure 13 : Techniques d’évaluation utilisées par les formateurs en ECM (réponses multiples, n = 4)</w:t>
          <w:tab/>
          <w:t>49</w:t>
        </w:r>
      </w:hyperlink>
    </w:p>
    <w:p>
      <w:pPr>
        <w:pStyle w:val="TableofFigures"/>
        <w:tabs>
          <w:tab w:val="clear" w:pos="9070"/>
          <w:tab w:val="right" w:pos="9069" w:leader="dot"/>
        </w:tabs>
        <w:rPr/>
      </w:pPr>
      <w:hyperlink w:anchor="Figure!13|sequence">
        <w:r>
          <w:rPr/>
          <w:t>Figure 14 : Difficultés rencontrées par les formateurs dans l’évaluation en ECM (réponses multiples, n = 4)</w:t>
          <w:tab/>
          <w:t>51</w:t>
        </w:r>
      </w:hyperlink>
      <w:r>
        <w:rPr/>
        <w:fldChar w:fldCharType="end"/>
      </w:r>
    </w:p>
    <w:p>
      <w:pPr>
        <w:pStyle w:val="Normal"/>
        <w:rPr/>
        <w:sectPr>
          <w:footerReference w:type="even" r:id="rId3"/>
          <w:footerReference w:type="default" r:id="rId4"/>
          <w:type w:val="nextPage"/>
          <w:pgSz w:w="11906" w:h="16838"/>
          <w:pgMar w:left="1418" w:right="1418" w:gutter="0" w:header="0" w:top="1418" w:footer="567" w:bottom="1418"/>
          <w:pgNumType w:start="1" w:fmt="lowerRoman"/>
          <w:formProt w:val="false"/>
          <w:textDirection w:val="lrTb"/>
          <w:docGrid w:type="default" w:linePitch="360" w:charSpace="0"/>
        </w:sectPr>
      </w:pPr>
      <w:r>
        <w:rPr/>
      </w:r>
    </w:p>
    <w:p>
      <w:pPr>
        <w:pStyle w:val="Heading1"/>
        <w:rPr/>
      </w:pPr>
      <w:bookmarkStart w:id="0" w:name="__RefHeading___Toc49418_3411847120"/>
      <w:bookmarkEnd w:id="0"/>
      <w:r>
        <w:rPr>
          <w:rFonts w:eastAsia="Times New Roman" w:cs="Times New Roman" w:ascii="Times New Roman" w:hAnsi="Times New Roman"/>
        </w:rPr>
        <w:t>CHAPITRE 1 : CADRE DU STAGE, ACTIVITÉS RÉALISÉES, ACQUIS PROFESSIONNELS ET DIFFICULTÉS RENCONTRÉES</w:t>
      </w:r>
    </w:p>
    <w:p>
      <w:pPr>
        <w:pStyle w:val="Heading2"/>
        <w:rPr/>
      </w:pPr>
      <w:bookmarkStart w:id="1" w:name="__RefHeading___Toc49420_3411847120"/>
      <w:bookmarkEnd w:id="1"/>
      <w:r>
        <w:rPr>
          <w:rFonts w:eastAsia="Times New Roman" w:cs="Times New Roman" w:ascii="Times New Roman" w:hAnsi="Times New Roman"/>
        </w:rPr>
        <w:t>Introduction</w:t>
      </w:r>
    </w:p>
    <w:p>
      <w:pPr>
        <w:pStyle w:val="Normal"/>
        <w:spacing w:lineRule="auto" w:line="360" w:before="0" w:after="120"/>
        <w:ind w:firstLine="709"/>
        <w:jc w:val="both"/>
        <w:rPr/>
      </w:pPr>
      <w:r>
        <w:rPr>
          <w:rFonts w:eastAsia="Times New Roman" w:cs="Times New Roman"/>
        </w:rPr>
        <w:t>Dans le cadre de la formation initiale des élèves-professeurs des Écoles normales de formation des professeurs d’école (EP-ENFPE), les stagiaires sont tenus, après le stage d’imprégnation et l’administration des unités d’enseignement des semestres 1, 2 et 3, d’effectuer un stage de pratique en responsabilité dans l’une des sept (07) ENFPE du pays. Unité d’enseignement de spécialité à part entière, ce stage répond au principe de renforcement de l’alternance : il place l’élève-professeur dans les conditions réelles d’un exercice progressif de son futur métier de formateur. Il vise également à consolider les acquis théoriques par la pratique et à favoriser le développement de compétences professionnelles grâce à une immersion dans des situations authentiques d’enseignement.</w:t>
      </w:r>
    </w:p>
    <w:p>
      <w:pPr>
        <w:pStyle w:val="Normal"/>
        <w:spacing w:lineRule="auto" w:line="360" w:before="0" w:after="120"/>
        <w:ind w:firstLine="709"/>
        <w:jc w:val="both"/>
        <w:rPr/>
      </w:pPr>
      <w:r>
        <w:rPr>
          <w:rFonts w:eastAsia="Times New Roman" w:cs="Times New Roman"/>
        </w:rPr>
        <w:t>C’est dans ce cadre que nous avons effectué, du 16 mars au 13 juin 2026, soit une durée de trois (03) mois, un stage de pratique en responsabilité à l’ENFPE de Notsè. Durant cette période, les stagiaires sont placés sous l’encadrement effectif des professeurs titulaires et de la direction de l’ENFPE, ainsi que sous la supervision de la Direction des ressources humaines (DRH) et de la direction de l’Institut national des sciences de l’éducation (INSE).</w:t>
      </w:r>
    </w:p>
    <w:p>
      <w:pPr>
        <w:pStyle w:val="Normal"/>
        <w:spacing w:lineRule="auto" w:line="360" w:before="0" w:after="120"/>
        <w:ind w:firstLine="709"/>
        <w:jc w:val="both"/>
        <w:rPr/>
      </w:pPr>
      <w:r>
        <w:rPr>
          <w:rFonts w:eastAsia="Times New Roman" w:cs="Times New Roman"/>
        </w:rPr>
        <w:t>Ce stage est essentiellement consacré à la préparation des cours (unités d’enseignement), à la pratique de classe, à l’encadrement des élèves-professeurs d’école (EPE) lors des leçons d’essai et des différents stages, au processus d’évaluation des EPE ainsi qu’aux activités de remédiation. Concrètement, l’élève-professeur d’ENFPE observe d’abord les activités préparées puis conduites par les professeurs titulaires. Il prépare ensuite ses propres activités selon la programmation arrêtée par le directeur et le directeur adjoint chargé des études (DACE), puis les met en œuvre en classe, en accord avec le professeur titulaire du champ disciplinaire et sous l’appréciation du directeur ou du DACE. Il prend enfin part à l’encadrement des leçons d’essai et des stages des EPE, ainsi qu’à leur évaluation.</w:t>
      </w:r>
    </w:p>
    <w:p>
      <w:pPr>
        <w:pStyle w:val="Normal"/>
        <w:spacing w:lineRule="auto" w:line="360" w:before="0" w:after="120"/>
        <w:ind w:firstLine="709"/>
        <w:jc w:val="both"/>
        <w:rPr/>
      </w:pPr>
      <w:r>
        <w:rPr>
          <w:rFonts w:eastAsia="Times New Roman" w:cs="Times New Roman"/>
        </w:rPr>
        <w:t>Le présent rapport s’articule autour de quatre points. Après la présentation du cadre du stage, nous rendrons compte des activités menées ; nous dégagerons ensuite les bonnes pratiques et les expériences à capitaliser, avant d’exposer puis d’analyser les difficultés rencontrées, assorties de suggestions. La conclusion dressera un bref bilan des activités, fera part de nos impressions personnelles et esquissera quelques perspectives.</w:t>
      </w:r>
    </w:p>
    <w:p>
      <w:pPr>
        <w:pStyle w:val="Heading2"/>
        <w:rPr/>
      </w:pPr>
      <w:bookmarkStart w:id="2" w:name="__RefHeading___Toc49422_3411847120"/>
      <w:bookmarkEnd w:id="2"/>
      <w:r>
        <w:rPr>
          <w:rFonts w:eastAsia="Times New Roman" w:cs="Times New Roman" w:ascii="Times New Roman" w:hAnsi="Times New Roman"/>
        </w:rPr>
        <w:t>1.1. Cadre institutionnel du stage</w:t>
      </w:r>
    </w:p>
    <w:p>
      <w:pPr>
        <w:pStyle w:val="Normal"/>
        <w:spacing w:lineRule="auto" w:line="360" w:before="0" w:after="120"/>
        <w:ind w:firstLine="709"/>
        <w:jc w:val="both"/>
        <w:rPr/>
      </w:pPr>
      <w:r>
        <w:rPr>
          <w:rFonts w:eastAsia="Times New Roman" w:cs="Times New Roman"/>
        </w:rPr>
        <w:t>Notre stage s’est déroulé à l’ENFPE de Notsè, chef-lieu de la préfecture de Haho, dans la région des Plateaux. Traversée par la route nationale n° 1, la ville est située à environ 95 km au nord de Lomé, la capitale.</w:t>
      </w:r>
    </w:p>
    <w:p>
      <w:pPr>
        <w:pStyle w:val="Caption"/>
        <w:keepNext w:val="true"/>
        <w:spacing w:lineRule="auto" w:line="240" w:before="200" w:after="100"/>
        <w:jc w:val="center"/>
        <w:rPr/>
      </w:pPr>
      <w:r>
        <w:rPr>
          <w:rFonts w:eastAsia="Times New Roman" w:cs="Times New Roman"/>
          <w:b/>
          <w:bCs/>
          <w:sz w:val="22"/>
          <w:szCs w:val="22"/>
        </w:rPr>
        <w:t xml:space="preserve">Figure </w:t>
      </w:r>
      <w:r>
        <w:rPr>
          <w:rFonts w:cs="Times New Roman"/>
          <w:b/>
          <w:bCs/>
          <w:sz w:val="22"/>
          <w:szCs w:val="22"/>
        </w:rPr>
        <w:fldChar w:fldCharType="begin"/>
      </w:r>
      <w:r>
        <w:rPr>
          <w:sz w:val="22"/>
          <w:b/>
          <w:szCs w:val="22"/>
          <w:bCs/>
          <w:rFonts w:cs="Times New Roman"/>
        </w:rPr>
        <w:instrText xml:space="preserve"> SEQ Figure \* ARABIC </w:instrText>
      </w:r>
      <w:r>
        <w:rPr>
          <w:sz w:val="22"/>
          <w:b/>
          <w:szCs w:val="22"/>
          <w:bCs/>
          <w:rFonts w:cs="Times New Roman"/>
        </w:rPr>
        <w:fldChar w:fldCharType="separate"/>
      </w:r>
      <w:r>
        <w:rPr>
          <w:sz w:val="22"/>
          <w:b/>
          <w:szCs w:val="22"/>
          <w:bCs/>
          <w:rFonts w:cs="Times New Roman"/>
        </w:rPr>
        <w:t>1</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Vue de l’ENFPE de Notsè</w:t>
      </w:r>
    </w:p>
    <w:tbl>
      <w:tblPr>
        <w:tblW w:w="9072" w:type="dxa"/>
        <w:jc w:val="center"/>
        <w:tblInd w:w="0" w:type="dxa"/>
        <w:tblLayout w:type="fixed"/>
        <w:tblCellMar>
          <w:top w:w="0" w:type="dxa"/>
          <w:left w:w="108" w:type="dxa"/>
          <w:bottom w:w="0" w:type="dxa"/>
          <w:right w:w="108" w:type="dxa"/>
        </w:tblCellMar>
      </w:tblPr>
      <w:tblGrid>
        <w:gridCol w:w="9072"/>
      </w:tblGrid>
      <w:tr>
        <w:trPr>
          <w:trHeight w:val="3402" w:hRule="atLeast"/>
        </w:trPr>
        <w:tc>
          <w:tcPr>
            <w:tcW w:w="90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sz w:val="22"/>
                <w:szCs w:val="22"/>
                <w:highlight w:val="yellow"/>
              </w:rPr>
              <w:t>[Insérer ici la photographie de l’ENFPE de Notsè]</w:t>
            </w:r>
          </w:p>
        </w:tc>
      </w:tr>
    </w:tbl>
    <w:p>
      <w:pPr>
        <w:pStyle w:val="Normal"/>
        <w:spacing w:lineRule="auto" w:line="240" w:before="60" w:after="240"/>
        <w:jc w:val="left"/>
        <w:rPr/>
      </w:pPr>
      <w:r>
        <w:rPr>
          <w:rFonts w:eastAsia="Times New Roman" w:cs="Times New Roman"/>
          <w:i/>
          <w:iCs/>
          <w:sz w:val="22"/>
          <w:szCs w:val="22"/>
        </w:rPr>
        <w:t xml:space="preserve">Source : </w:t>
      </w:r>
      <w:r>
        <w:rPr>
          <w:rFonts w:eastAsia="Times New Roman" w:cs="Times New Roman"/>
          <w:i/>
          <w:iCs/>
          <w:sz w:val="22"/>
          <w:szCs w:val="22"/>
          <w:highlight w:val="yellow"/>
        </w:rPr>
        <w:t>Cliché de l’auteur (2026) – à confirmer.</w:t>
      </w:r>
    </w:p>
    <w:p>
      <w:pPr>
        <w:pStyle w:val="Heading3"/>
        <w:rPr/>
      </w:pPr>
      <w:bookmarkStart w:id="3" w:name="__RefHeading___Toc49492_3411847120"/>
      <w:bookmarkEnd w:id="3"/>
      <w:r>
        <w:rPr>
          <w:rFonts w:eastAsia="Times New Roman" w:cs="Times New Roman" w:ascii="Times New Roman" w:hAnsi="Times New Roman"/>
        </w:rPr>
        <w:t>1.1.1. Bref historique</w:t>
      </w:r>
    </w:p>
    <w:p>
      <w:pPr>
        <w:pStyle w:val="Normal"/>
        <w:spacing w:lineRule="auto" w:line="360" w:before="0" w:after="120"/>
        <w:ind w:firstLine="709"/>
        <w:jc w:val="both"/>
        <w:rPr/>
      </w:pPr>
      <w:r>
        <w:rPr>
          <w:rFonts w:eastAsia="Times New Roman" w:cs="Times New Roman"/>
        </w:rPr>
        <w:t>L’ENFPE de Notsè a ouvert ses portes en janvier 1984 sous la dénomination d’École normale d’instituteurs (ENI) de Notsè. Construite grâce au concours financier de la Banque mondiale, elle a d’abord fonctionné comme établissement de formation des maîtres de l’enseignement du premier degré, avant de prendre le nom d’École normale de formation des professeurs d’école (ENFPE) en vertu de l’arrêté interministériel n° 009/MEPSTA/MFPTDS/MEF du 8 novembre 2022 (République togolaise, 2022a).</w:t>
      </w:r>
    </w:p>
    <w:p>
      <w:pPr>
        <w:pStyle w:val="Heading3"/>
        <w:rPr/>
      </w:pPr>
      <w:bookmarkStart w:id="4" w:name="__RefHeading___Toc49494_3411847120"/>
      <w:bookmarkEnd w:id="4"/>
      <w:r>
        <w:rPr>
          <w:rFonts w:eastAsia="Times New Roman" w:cs="Times New Roman" w:ascii="Times New Roman" w:hAnsi="Times New Roman"/>
        </w:rPr>
        <w:t>1.1.2. Personnel</w:t>
      </w:r>
    </w:p>
    <w:p>
      <w:pPr>
        <w:pStyle w:val="Normal"/>
        <w:spacing w:lineRule="auto" w:line="360" w:before="0" w:after="120"/>
        <w:ind w:firstLine="709"/>
        <w:jc w:val="both"/>
        <w:rPr/>
      </w:pPr>
      <w:r>
        <w:rPr>
          <w:rFonts w:eastAsia="Times New Roman" w:cs="Times New Roman"/>
        </w:rPr>
        <w:t>L’effectif du personnel de l’établissement se répartit comme l’indique le tableau 1.</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1</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Répartition du personnel de l’ENFPE de Notsè selon la catégorie et le sexe</w:t>
      </w:r>
    </w:p>
    <w:tbl>
      <w:tblPr>
        <w:tblW w:w="9072" w:type="dxa"/>
        <w:jc w:val="center"/>
        <w:tblInd w:w="0" w:type="dxa"/>
        <w:tblLayout w:type="fixed"/>
        <w:tblCellMar>
          <w:top w:w="40" w:type="dxa"/>
          <w:left w:w="60" w:type="dxa"/>
          <w:bottom w:w="40" w:type="dxa"/>
          <w:right w:w="60" w:type="dxa"/>
        </w:tblCellMar>
      </w:tblPr>
      <w:tblGrid>
        <w:gridCol w:w="3969"/>
        <w:gridCol w:w="1701"/>
        <w:gridCol w:w="1701"/>
        <w:gridCol w:w="1700"/>
      </w:tblGrid>
      <w:tr>
        <w:trPr>
          <w:tblHeader w:val="true"/>
          <w:cantSplit w:val="true"/>
        </w:trPr>
        <w:tc>
          <w:tcPr>
            <w:tcW w:w="396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Catégorie</w:t>
            </w:r>
          </w:p>
        </w:tc>
        <w:tc>
          <w:tcPr>
            <w:tcW w:w="170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Hommes</w:t>
            </w:r>
          </w:p>
        </w:tc>
        <w:tc>
          <w:tcPr>
            <w:tcW w:w="170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Femmes</w:t>
            </w:r>
          </w:p>
        </w:tc>
        <w:tc>
          <w:tcPr>
            <w:tcW w:w="17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Total</w:t>
            </w:r>
          </w:p>
        </w:tc>
      </w:tr>
      <w:tr>
        <w:trPr>
          <w:cantSplit w:val="true"/>
        </w:trPr>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Directeur, DACE et professeurs</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14</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15</w:t>
            </w:r>
          </w:p>
        </w:tc>
      </w:tr>
      <w:tr>
        <w:trPr>
          <w:cantSplit w:val="true"/>
        </w:trPr>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Professeurs associés</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5</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0</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5</w:t>
            </w:r>
          </w:p>
        </w:tc>
      </w:tr>
      <w:tr>
        <w:trPr>
          <w:cantSplit w:val="true"/>
        </w:trPr>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Personnel administratif</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8</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10</w:t>
            </w:r>
          </w:p>
        </w:tc>
      </w:tr>
      <w:tr>
        <w:trPr>
          <w:cantSplit w:val="true"/>
        </w:trPr>
        <w:tc>
          <w:tcPr>
            <w:tcW w:w="396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left"/>
              <w:rPr/>
            </w:pPr>
            <w:r>
              <w:rPr>
                <w:rFonts w:eastAsia="Times New Roman" w:cs="Times New Roman"/>
                <w:b/>
                <w:bCs/>
                <w:sz w:val="22"/>
                <w:szCs w:val="22"/>
              </w:rPr>
              <w:t>Total</w:t>
            </w:r>
          </w:p>
        </w:tc>
        <w:tc>
          <w:tcPr>
            <w:tcW w:w="170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27</w:t>
            </w:r>
          </w:p>
        </w:tc>
        <w:tc>
          <w:tcPr>
            <w:tcW w:w="170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3</w:t>
            </w:r>
          </w:p>
        </w:tc>
        <w:tc>
          <w:tcPr>
            <w:tcW w:w="17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30</w:t>
            </w:r>
          </w:p>
        </w:tc>
      </w:tr>
    </w:tbl>
    <w:p>
      <w:pPr>
        <w:pStyle w:val="Normal"/>
        <w:spacing w:lineRule="auto" w:line="240" w:before="60" w:after="240"/>
        <w:jc w:val="left"/>
        <w:rPr/>
      </w:pPr>
      <w:r>
        <w:rPr>
          <w:rFonts w:eastAsia="Times New Roman" w:cs="Times New Roman"/>
          <w:i/>
          <w:iCs/>
          <w:sz w:val="22"/>
          <w:szCs w:val="22"/>
        </w:rPr>
        <w:t>Source : Direction de l’ENFPE de Notsè (2026).</w:t>
      </w:r>
    </w:p>
    <w:p>
      <w:pPr>
        <w:pStyle w:val="Heading3"/>
        <w:rPr/>
      </w:pPr>
      <w:bookmarkStart w:id="5" w:name="__RefHeading___Toc49496_3411847120"/>
      <w:bookmarkEnd w:id="5"/>
      <w:r>
        <w:rPr>
          <w:rFonts w:eastAsia="Times New Roman" w:cs="Times New Roman" w:ascii="Times New Roman" w:hAnsi="Times New Roman"/>
        </w:rPr>
        <w:t>1.1.3. Infrastructures</w:t>
      </w:r>
    </w:p>
    <w:p>
      <w:pPr>
        <w:pStyle w:val="Normal"/>
        <w:spacing w:lineRule="auto" w:line="360" w:before="0" w:after="120"/>
        <w:jc w:val="both"/>
        <w:rPr/>
      </w:pPr>
      <w:r>
        <w:rPr>
          <w:rFonts w:eastAsia="Times New Roman" w:cs="Times New Roman"/>
        </w:rPr>
        <w:t>L’établissement dispose d’infrastructures réparties en six ensembles :</w:t>
      </w:r>
    </w:p>
    <w:p>
      <w:pPr>
        <w:pStyle w:val="ListParagraph"/>
        <w:numPr>
          <w:ilvl w:val="0"/>
          <w:numId w:val="42"/>
        </w:numPr>
        <w:spacing w:lineRule="auto" w:line="360" w:before="0" w:after="40"/>
        <w:jc w:val="both"/>
        <w:rPr/>
      </w:pPr>
      <w:r>
        <w:rPr>
          <w:rFonts w:eastAsia="Times New Roman" w:cs="Times New Roman"/>
          <w:b/>
          <w:bCs/>
        </w:rPr>
        <w:t>le bloc administratif</w:t>
      </w:r>
      <w:r>
        <w:rPr>
          <w:rFonts w:eastAsia="Times New Roman" w:cs="Times New Roman"/>
        </w:rPr>
        <w:t>, qui abrite les bureaux du directeur et du directeur adjoint chargé des études et du personnel, la salle informatique, la surveillance des logements, le secrétariat principal et son annexe, la salle des professeurs, la surveillance de la scolarité, ainsi que l’économat et l’intendance ;</w:t>
      </w:r>
    </w:p>
    <w:p>
      <w:pPr>
        <w:pStyle w:val="ListParagraph"/>
        <w:numPr>
          <w:ilvl w:val="0"/>
          <w:numId w:val="43"/>
        </w:numPr>
        <w:spacing w:lineRule="auto" w:line="360" w:before="0" w:after="40"/>
        <w:jc w:val="both"/>
        <w:rPr/>
      </w:pPr>
      <w:r>
        <w:rPr>
          <w:rFonts w:eastAsia="Times New Roman" w:cs="Times New Roman"/>
          <w:b/>
          <w:bCs/>
        </w:rPr>
        <w:t>le bloc pédagogique</w:t>
      </w:r>
      <w:r>
        <w:rPr>
          <w:rFonts w:eastAsia="Times New Roman" w:cs="Times New Roman"/>
        </w:rPr>
        <w:t>, constitué des salles de cours généraux et spécialisés, dont le laboratoire de sciences et la salle audiovisuelle ;</w:t>
      </w:r>
    </w:p>
    <w:p>
      <w:pPr>
        <w:pStyle w:val="ListParagraph"/>
        <w:numPr>
          <w:ilvl w:val="0"/>
          <w:numId w:val="44"/>
        </w:numPr>
        <w:spacing w:lineRule="auto" w:line="360" w:before="0" w:after="40"/>
        <w:jc w:val="both"/>
        <w:rPr/>
      </w:pPr>
      <w:r>
        <w:rPr>
          <w:rFonts w:eastAsia="Times New Roman" w:cs="Times New Roman"/>
          <w:b/>
          <w:bCs/>
        </w:rPr>
        <w:t>le bloc socioculturel</w:t>
      </w:r>
      <w:r>
        <w:rPr>
          <w:rFonts w:eastAsia="Times New Roman" w:cs="Times New Roman"/>
        </w:rPr>
        <w:t>, qui regroupe la bibliothèque, les salles de lecture, la médiathèque et l’amphithéâtre ;</w:t>
      </w:r>
    </w:p>
    <w:p>
      <w:pPr>
        <w:pStyle w:val="ListParagraph"/>
        <w:numPr>
          <w:ilvl w:val="0"/>
          <w:numId w:val="45"/>
        </w:numPr>
        <w:spacing w:lineRule="auto" w:line="360" w:before="0" w:after="40"/>
        <w:jc w:val="both"/>
        <w:rPr/>
      </w:pPr>
      <w:r>
        <w:rPr>
          <w:rFonts w:eastAsia="Times New Roman" w:cs="Times New Roman"/>
          <w:b/>
          <w:bCs/>
        </w:rPr>
        <w:t>l’École primaire d’application (EPA)</w:t>
      </w:r>
      <w:r>
        <w:rPr>
          <w:rFonts w:eastAsia="Times New Roman" w:cs="Times New Roman"/>
        </w:rPr>
        <w:t>, qui comprend le bureau du directeur, un secrétariat, une salle des maîtres, un magasin, sept salles de classe (six pour le primaire et une pour le préscolaire) et des installations sportives ;</w:t>
      </w:r>
    </w:p>
    <w:p>
      <w:pPr>
        <w:pStyle w:val="ListParagraph"/>
        <w:numPr>
          <w:ilvl w:val="0"/>
          <w:numId w:val="46"/>
        </w:numPr>
        <w:spacing w:lineRule="auto" w:line="360" w:before="0" w:after="40"/>
        <w:jc w:val="both"/>
        <w:rPr/>
      </w:pPr>
      <w:r>
        <w:rPr>
          <w:rFonts w:eastAsia="Times New Roman" w:cs="Times New Roman"/>
          <w:b/>
          <w:bCs/>
        </w:rPr>
        <w:t>les autres infrastructures</w:t>
      </w:r>
      <w:r>
        <w:rPr>
          <w:rFonts w:eastAsia="Times New Roman" w:cs="Times New Roman"/>
        </w:rPr>
        <w:t> : installations sportives, infirmerie, buanderie, foyer avec magasin, cuisine et ancien restaurant (actuelle salle polyvalente), salle d’arts ménagers, garage, dortoirs des élèves-professeurs et logements du personnel ;</w:t>
      </w:r>
    </w:p>
    <w:p>
      <w:pPr>
        <w:pStyle w:val="ListParagraph"/>
        <w:numPr>
          <w:ilvl w:val="0"/>
          <w:numId w:val="47"/>
        </w:numPr>
        <w:spacing w:lineRule="auto" w:line="360" w:before="0" w:after="120"/>
        <w:jc w:val="both"/>
        <w:rPr/>
      </w:pPr>
      <w:r>
        <w:rPr>
          <w:rFonts w:eastAsia="Times New Roman" w:cs="Times New Roman"/>
          <w:b/>
          <w:bCs/>
        </w:rPr>
        <w:t>la cité des formateurs</w:t>
      </w:r>
      <w:r>
        <w:rPr>
          <w:rFonts w:eastAsia="Times New Roman" w:cs="Times New Roman"/>
        </w:rPr>
        <w:t>, qui compte 23 villas : deux pour le directeur et le DACE, treize pour les professeurs-formateurs, deux pour les conseillers principaux d’éducation (CPE), quatre pour les enseignants-encadreurs de l’EPA et deux occupées par la préfecture au profit des CELI Haho 1 et 2.</w:t>
      </w:r>
    </w:p>
    <w:p>
      <w:pPr>
        <w:pStyle w:val="Heading2"/>
        <w:rPr/>
      </w:pPr>
      <w:bookmarkStart w:id="6" w:name="__RefHeading___Toc49424_3411847120"/>
      <w:bookmarkEnd w:id="6"/>
      <w:r>
        <w:rPr>
          <w:rFonts w:eastAsia="Times New Roman" w:cs="Times New Roman" w:ascii="Times New Roman" w:hAnsi="Times New Roman"/>
        </w:rPr>
        <w:t>1.2. Compte rendu des activités menées</w:t>
      </w:r>
    </w:p>
    <w:p>
      <w:pPr>
        <w:pStyle w:val="Normal"/>
        <w:spacing w:lineRule="auto" w:line="360" w:before="0" w:after="120"/>
        <w:ind w:firstLine="709"/>
        <w:jc w:val="both"/>
        <w:rPr/>
      </w:pPr>
      <w:r>
        <w:rPr>
          <w:rFonts w:eastAsia="Times New Roman" w:cs="Times New Roman"/>
        </w:rPr>
        <w:t>Du 16 mars au 13 juin 2026, nous avons pris part à un large éventail d’activités pédagogiques, administratives et institutionnelles : observation de classes, préparation et animation de leçons, participation aux évaluations et aux remédiations, réunions pédagogiques, suivi des EPE en stage et assistance aux soutenances de leurs rapports de stage. Le compte rendu de ces activités se présente comme suit.</w:t>
      </w:r>
    </w:p>
    <w:p>
      <w:pPr>
        <w:pStyle w:val="Heading3"/>
        <w:rPr/>
      </w:pPr>
      <w:bookmarkStart w:id="7" w:name="__RefHeading___Toc49498_3411847120"/>
      <w:bookmarkEnd w:id="7"/>
      <w:r>
        <w:rPr>
          <w:rFonts w:eastAsia="Times New Roman" w:cs="Times New Roman" w:ascii="Times New Roman" w:hAnsi="Times New Roman"/>
        </w:rPr>
        <w:t>1.2.1. Prise de contact et intégration institutionnelle</w:t>
      </w:r>
    </w:p>
    <w:p>
      <w:pPr>
        <w:pStyle w:val="Normal"/>
        <w:spacing w:lineRule="auto" w:line="360" w:before="0" w:after="120"/>
        <w:ind w:firstLine="709"/>
        <w:jc w:val="both"/>
        <w:rPr/>
      </w:pPr>
      <w:r>
        <w:rPr>
          <w:rFonts w:eastAsia="Times New Roman" w:cs="Times New Roman"/>
        </w:rPr>
        <w:t xml:space="preserve">Notre stage a débuté le lundi 16 mars 2026. Après la montée des couleurs et les salutations d’usage, le personnel administratif et les formateurs nous ont accueillis dans la salle audiovisuelle. Le directeur, M. ADANGLO Kwami, a adressé ses salutations chaleureuses à l’ensemble du personnel et souhaité la bienvenue aux stagiaires, avant de nous exhorter au respect et à la mise en œuvre rigoureuse de notre cahier des charges. La parole a ensuite été donnée à </w:t>
      </w:r>
      <w:r>
        <w:rPr>
          <w:rFonts w:eastAsia="Times New Roman" w:cs="Times New Roman"/>
          <w:highlight w:val="yellow"/>
        </w:rPr>
        <w:t>Mme …</w:t>
      </w:r>
      <w:r>
        <w:rPr>
          <w:rFonts w:eastAsia="Times New Roman" w:cs="Times New Roman"/>
        </w:rPr>
        <w:t>, qui a donné lecture du cahier des charges et présenté le programme des activités de la semaine, en lien avec l’objectif 4 dudit cahier.</w:t>
      </w:r>
    </w:p>
    <w:p>
      <w:pPr>
        <w:pStyle w:val="Normal"/>
        <w:spacing w:lineRule="auto" w:line="360" w:before="0" w:after="120"/>
        <w:ind w:firstLine="709"/>
        <w:jc w:val="both"/>
        <w:rPr/>
      </w:pPr>
      <w:r>
        <w:rPr>
          <w:rFonts w:eastAsia="Times New Roman" w:cs="Times New Roman"/>
        </w:rPr>
        <w:t>À l’issue de cette présentation, chaque participant a décliné son identité. Nous avons ensuite été confiés à nos encadreurs, par champ disciplinaire, avant de rejoindre les salles pour poursuivre la correction des copies de l’examen du semestre 1 de la promotion 4.</w:t>
      </w:r>
    </w:p>
    <w:p>
      <w:pPr>
        <w:pStyle w:val="Heading3"/>
        <w:rPr/>
      </w:pPr>
      <w:bookmarkStart w:id="8" w:name="__RefHeading___Toc49500_3411847120"/>
      <w:bookmarkEnd w:id="8"/>
      <w:r>
        <w:rPr>
          <w:rFonts w:eastAsia="Times New Roman" w:cs="Times New Roman" w:ascii="Times New Roman" w:hAnsi="Times New Roman"/>
        </w:rPr>
        <w:t>1.2.2. Correction des copies de l’examen du semestre 1 de la promotion 4</w:t>
      </w:r>
    </w:p>
    <w:p>
      <w:pPr>
        <w:pStyle w:val="Normal"/>
        <w:spacing w:lineRule="auto" w:line="360" w:before="0" w:after="120"/>
        <w:ind w:firstLine="709"/>
        <w:jc w:val="both"/>
        <w:rPr/>
      </w:pPr>
      <w:r>
        <w:rPr>
          <w:rFonts w:eastAsia="Times New Roman" w:cs="Times New Roman"/>
        </w:rPr>
        <w:t>Du 16 au 19 mars 2026, dès la diffusion de la grille de correction, nous avons pris une part active à la correction des copies de l’examen de fin de semestre 1 de la promotion 4. Cette correction s’est déroulée dans de bonnes conditions ; une fois achevée, les copies ont été remises au secrétariat.</w:t>
      </w:r>
    </w:p>
    <w:p>
      <w:pPr>
        <w:pStyle w:val="Normal"/>
        <w:spacing w:lineRule="auto" w:line="360" w:before="0" w:after="120"/>
        <w:jc w:val="both"/>
        <w:rPr/>
      </w:pPr>
      <w:r>
        <w:rPr>
          <w:rFonts w:eastAsia="Times New Roman" w:cs="Times New Roman"/>
        </w:rPr>
        <w:t>Nous avons également conduit des entretiens-conseils avec les EPE de la promotion 4. Ces entretiens ont porté sur :</w:t>
      </w:r>
    </w:p>
    <w:p>
      <w:pPr>
        <w:pStyle w:val="ListParagraph"/>
        <w:numPr>
          <w:ilvl w:val="0"/>
          <w:numId w:val="48"/>
        </w:numPr>
        <w:spacing w:lineRule="auto" w:line="360" w:before="0" w:after="40"/>
        <w:jc w:val="both"/>
        <w:rPr/>
      </w:pPr>
      <w:r>
        <w:rPr>
          <w:rFonts w:eastAsia="Times New Roman" w:cs="Times New Roman"/>
        </w:rPr>
        <w:t>l’analyse des difficultés rencontrées lors du stage de pratique accompagnée 1 (SPA1) : accueil parfois peu favorable, suivi insuffisant de la part de certains encadrants, manque de manuels pédagogiques, gestion des classes à cours jumelés et à effectifs pléthoriques, prise en charge des élèves en situation de handicap ;</w:t>
      </w:r>
    </w:p>
    <w:p>
      <w:pPr>
        <w:pStyle w:val="ListParagraph"/>
        <w:numPr>
          <w:ilvl w:val="0"/>
          <w:numId w:val="49"/>
        </w:numPr>
        <w:spacing w:lineRule="auto" w:line="360" w:before="0" w:after="120"/>
        <w:jc w:val="both"/>
        <w:rPr/>
      </w:pPr>
      <w:r>
        <w:rPr>
          <w:rFonts w:eastAsia="Times New Roman" w:cs="Times New Roman"/>
        </w:rPr>
        <w:t>la présentation des contenus de l’ECM et l’analyse de la méthodologie de son enseignement.</w:t>
      </w:r>
    </w:p>
    <w:p>
      <w:pPr>
        <w:pStyle w:val="Heading3"/>
        <w:rPr/>
      </w:pPr>
      <w:bookmarkStart w:id="9" w:name="__RefHeading___Toc49502_3411847120"/>
      <w:bookmarkEnd w:id="9"/>
      <w:r>
        <w:rPr>
          <w:rFonts w:eastAsia="Times New Roman" w:cs="Times New Roman" w:ascii="Times New Roman" w:hAnsi="Times New Roman"/>
        </w:rPr>
        <w:t>1.2.3. Visites des autorités en charge de l’éducation nationale</w:t>
      </w:r>
    </w:p>
    <w:p>
      <w:pPr>
        <w:pStyle w:val="Normal"/>
        <w:spacing w:lineRule="auto" w:line="360" w:before="0" w:after="120"/>
        <w:jc w:val="both"/>
        <w:rPr/>
      </w:pPr>
      <w:r>
        <w:rPr>
          <w:rFonts w:eastAsia="Times New Roman" w:cs="Times New Roman"/>
          <w:b/>
          <w:bCs/>
        </w:rPr>
        <w:t>Mission de contrôle des ENFPE (25 mars 2026).</w:t>
      </w:r>
      <w:r>
        <w:rPr>
          <w:rFonts w:eastAsia="Times New Roman" w:cs="Times New Roman"/>
        </w:rPr>
        <w:t xml:space="preserve"> Le mercredi 25 mars 2026, l’ENFPE de Notsè a reçu une délégation de la mission de contrôle des ENFPE instituée par le ministre de l’Éducation nationale, M. Mama OMOROU. Cette délégation était composée de :</w:t>
      </w:r>
    </w:p>
    <w:p>
      <w:pPr>
        <w:pStyle w:val="ListParagraph"/>
        <w:numPr>
          <w:ilvl w:val="0"/>
          <w:numId w:val="50"/>
        </w:numPr>
        <w:spacing w:lineRule="auto" w:line="360" w:before="0" w:after="40"/>
        <w:jc w:val="both"/>
        <w:rPr/>
      </w:pPr>
      <w:r>
        <w:rPr>
          <w:rFonts w:eastAsia="Times New Roman" w:cs="Times New Roman"/>
        </w:rPr>
        <w:t>M. AKPAWU Donudénu, directeur des ressources humaines (DRH) ;</w:t>
      </w:r>
    </w:p>
    <w:p>
      <w:pPr>
        <w:pStyle w:val="ListParagraph"/>
        <w:numPr>
          <w:ilvl w:val="0"/>
          <w:numId w:val="51"/>
        </w:numPr>
        <w:spacing w:lineRule="auto" w:line="360" w:before="0" w:after="40"/>
        <w:jc w:val="both"/>
        <w:rPr/>
      </w:pPr>
      <w:r>
        <w:rPr>
          <w:rFonts w:eastAsia="Times New Roman" w:cs="Times New Roman"/>
        </w:rPr>
        <w:t>M. ZOUNON Dodji, coordonnateur principal des ENFPE ;</w:t>
      </w:r>
    </w:p>
    <w:p>
      <w:pPr>
        <w:pStyle w:val="ListParagraph"/>
        <w:numPr>
          <w:ilvl w:val="0"/>
          <w:numId w:val="52"/>
        </w:numPr>
        <w:spacing w:lineRule="auto" w:line="360" w:before="0" w:after="40"/>
        <w:jc w:val="both"/>
        <w:rPr/>
      </w:pPr>
      <w:r>
        <w:rPr>
          <w:rFonts w:eastAsia="Times New Roman" w:cs="Times New Roman"/>
          <w:highlight w:val="yellow"/>
        </w:rPr>
        <w:t>M. …</w:t>
      </w:r>
      <w:r>
        <w:rPr>
          <w:rFonts w:eastAsia="Times New Roman" w:cs="Times New Roman"/>
        </w:rPr>
        <w:t>, chef de la division du budget à la Direction des affaires financières (DAF) ;</w:t>
      </w:r>
    </w:p>
    <w:p>
      <w:pPr>
        <w:pStyle w:val="ListParagraph"/>
        <w:numPr>
          <w:ilvl w:val="0"/>
          <w:numId w:val="53"/>
        </w:numPr>
        <w:spacing w:lineRule="auto" w:line="360" w:before="0" w:after="40"/>
        <w:jc w:val="both"/>
        <w:rPr/>
      </w:pPr>
      <w:r>
        <w:rPr>
          <w:rFonts w:eastAsia="Times New Roman" w:cs="Times New Roman"/>
        </w:rPr>
        <w:t>M. AGOZO Koffi Séna, vice-doyen de l’Inspection générale de l’éducation (IGE) Sud ;</w:t>
      </w:r>
    </w:p>
    <w:p>
      <w:pPr>
        <w:pStyle w:val="ListParagraph"/>
        <w:numPr>
          <w:ilvl w:val="0"/>
          <w:numId w:val="54"/>
        </w:numPr>
        <w:spacing w:lineRule="auto" w:line="360" w:before="0" w:after="40"/>
        <w:jc w:val="both"/>
        <w:rPr/>
      </w:pPr>
      <w:r>
        <w:rPr>
          <w:rFonts w:eastAsia="Times New Roman" w:cs="Times New Roman"/>
        </w:rPr>
        <w:t>M. KONOMBO Alain Lalle, vice-doyen de l’IGE Nord ;</w:t>
      </w:r>
    </w:p>
    <w:p>
      <w:pPr>
        <w:pStyle w:val="ListParagraph"/>
        <w:numPr>
          <w:ilvl w:val="0"/>
          <w:numId w:val="55"/>
        </w:numPr>
        <w:spacing w:lineRule="auto" w:line="360" w:before="0" w:after="120"/>
        <w:jc w:val="both"/>
        <w:rPr/>
      </w:pPr>
      <w:r>
        <w:rPr>
          <w:rFonts w:eastAsia="Times New Roman" w:cs="Times New Roman"/>
        </w:rPr>
        <w:t>M. KOLANI Fabrice, attaché de cabinet du ministre de l’Éducation nationale.</w:t>
      </w:r>
    </w:p>
    <w:p>
      <w:pPr>
        <w:pStyle w:val="Normal"/>
        <w:spacing w:lineRule="auto" w:line="360" w:before="0" w:after="120"/>
        <w:ind w:firstLine="709"/>
        <w:jc w:val="both"/>
        <w:rPr/>
      </w:pPr>
      <w:r>
        <w:rPr>
          <w:rFonts w:eastAsia="Times New Roman" w:cs="Times New Roman"/>
        </w:rPr>
        <w:t>Entamée le 16 mars à Dapaong, la tournée s’est achevée le 25 mars à Notsè. Elle avait pour objectifs d’évaluer l’état des infrastructures, d’apprécier les salles multimédias et les équipements, de contrôler les documents réglementaires et d’observer les pratiques pédagogiques.</w:t>
      </w:r>
    </w:p>
    <w:p>
      <w:pPr>
        <w:pStyle w:val="Normal"/>
        <w:spacing w:lineRule="auto" w:line="360" w:before="0" w:after="120"/>
        <w:ind w:firstLine="709"/>
        <w:jc w:val="both"/>
        <w:rPr/>
      </w:pPr>
      <w:r>
        <w:rPr>
          <w:rFonts w:eastAsia="Times New Roman" w:cs="Times New Roman"/>
        </w:rPr>
        <w:t>Partout, la mobilisation a été totale : les responsables des établissements étaient présents et le personnel administratif et enseignant s’est impliqué avec rigueur. Par sa méthode et sa proximité, cette tournée traduit une volonté ferme de garantir la qualité de la formation ; elle renforce la culture de la redevabilité et de la transparence, tout en offrant aux acteurs de terrain l’occasion d’être écoutés. Les constats y sont directs, ce qui permet d’envisager des solutions rapides et adaptées. Le dialogue engagé avec l’ensemble des acteurs, formateurs comme apprenants, vise à encourager chacun et fait de leur satisfaction une priorité ; il prépare ainsi des réformes utiles et durables, au service d’une école togolaise plus performante et plus équitable.</w:t>
      </w:r>
    </w:p>
    <w:p>
      <w:pPr>
        <w:pStyle w:val="Normal"/>
        <w:spacing w:lineRule="auto" w:line="360" w:before="0" w:after="120"/>
        <w:ind w:firstLine="709"/>
        <w:jc w:val="both"/>
        <w:rPr/>
      </w:pPr>
      <w:r>
        <w:rPr>
          <w:rFonts w:eastAsia="Times New Roman" w:cs="Times New Roman"/>
        </w:rPr>
        <w:t>S’adressant aux EPE, la délégation les a encouragés et leur a prodigué d’utiles conseils sur la conduite à tenir durant leur formation. Aux formateurs, elle a demandé de dispenser les cours par groupe-classe, sans jumelage ; de mener sans relâche des recherches afin d’être à la hauteur de leurs tâches pédagogiques ; de rester à l’écoute des EPE et de leur offrir des formations complémentaires liées aux activités génératrices de revenus ; enfin, de faire preuve de rigueur dans la formation et de cultiver le vivre-ensemble. Aux stagiaires, elle a recommandé de faire preuve d’humilité afin de tirer le meilleur parti de l’expérience de leurs encadrants, et de mener une vie exemplaire, gage d’une bonne image des ENFPE. Pour clore la rencontre, M. TCHANDIKOU Sonhaye, IGE de Notsè, a plaidé auprès des autorités pour l’équipement des ENFPE en matériel électronique.</w:t>
      </w:r>
    </w:p>
    <w:p>
      <w:pPr>
        <w:pStyle w:val="Normal"/>
        <w:spacing w:lineRule="auto" w:line="360" w:before="0" w:after="120"/>
        <w:ind w:firstLine="709"/>
        <w:jc w:val="both"/>
        <w:rPr/>
      </w:pPr>
      <w:r>
        <w:rPr>
          <w:rFonts w:eastAsia="Times New Roman" w:cs="Times New Roman"/>
          <w:b/>
          <w:bCs/>
        </w:rPr>
        <w:t>Visite du ministre de l’Éducation nationale (23 mai 2026).</w:t>
      </w:r>
      <w:r>
        <w:rPr>
          <w:rFonts w:eastAsia="Times New Roman" w:cs="Times New Roman"/>
        </w:rPr>
        <w:t xml:space="preserve"> Le samedi 23 mai 2026, l’ENFPE de Notsè a reçu la visite du ministre de tutelle, M. Mama OMOROU. Accueilli par la chorale de l’établissement, il a reçu les salutations chaleureuses du directeur, M. ADANGLO Kwami. Dans son allocution, le ministre a exprimé sa satisfaction à l’équipe d’accueil, puis a exhorté les formateurs à donner le meilleur d’eux-mêmes pour assurer une formation de qualité, conforme à la politique éducative nationale. Aux EPE, il a demandé de persévérer et de cultiver l’excellence afin de se préparer au mieux à leur futur métier d’enseignant. Cette visite visait à vérifier l’effectivité et le bon déroulement du stage et de la formation dans son ensemble, et à prendre la mesure des réalités de terrain des centres de formation professionnelle.</w:t>
      </w:r>
    </w:p>
    <w:p>
      <w:pPr>
        <w:pStyle w:val="Heading3"/>
        <w:rPr/>
      </w:pPr>
      <w:bookmarkStart w:id="10" w:name="__RefHeading___Toc49504_3411847120"/>
      <w:bookmarkEnd w:id="10"/>
      <w:r>
        <w:rPr>
          <w:rFonts w:eastAsia="Times New Roman" w:cs="Times New Roman" w:ascii="Times New Roman" w:hAnsi="Times New Roman"/>
        </w:rPr>
        <w:t>1.2.4. Pratiques de classe</w:t>
      </w:r>
    </w:p>
    <w:p>
      <w:pPr>
        <w:pStyle w:val="Normal"/>
        <w:spacing w:lineRule="auto" w:line="360" w:before="0" w:after="120"/>
        <w:ind w:firstLine="709"/>
        <w:jc w:val="both"/>
        <w:rPr/>
      </w:pPr>
      <w:r>
        <w:rPr>
          <w:rFonts w:eastAsia="Times New Roman" w:cs="Times New Roman"/>
        </w:rPr>
        <w:t>Après une phase d’observation, la responsabilité d’un groupe-classe nous a été confiée pour l’administration des unités d’enseignement (UE). La promotion 4 étant répartie en six groupes-classes (GC), les trois stagiaires et leurs trois encadrants se sont partagé ces six GC. Le groupe-classe 2 (GC2), fort de 42 élèves-professeurs (21 hommes et 21 femmes), a ainsi été placé sous notre responsabilité. Nous y avons débuté nos pratiques de classe le 26 mars 2026, sous la supervision de notre encadrant. Le tableau 2 récapitule les leçons dispensées.</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2</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Leçons dispensées dans le groupe-classe 2 de la promotion 4 (mars-mai 2026)</w:t>
      </w:r>
    </w:p>
    <w:tbl>
      <w:tblPr>
        <w:tblW w:w="9072" w:type="dxa"/>
        <w:jc w:val="center"/>
        <w:tblInd w:w="0" w:type="dxa"/>
        <w:tblLayout w:type="fixed"/>
        <w:tblCellMar>
          <w:top w:w="40" w:type="dxa"/>
          <w:left w:w="60" w:type="dxa"/>
          <w:bottom w:w="40" w:type="dxa"/>
          <w:right w:w="60" w:type="dxa"/>
        </w:tblCellMar>
      </w:tblPr>
      <w:tblGrid>
        <w:gridCol w:w="1701"/>
        <w:gridCol w:w="2608"/>
        <w:gridCol w:w="4763"/>
      </w:tblGrid>
      <w:tr>
        <w:trPr>
          <w:tblHeader w:val="true"/>
          <w:cantSplit w:val="true"/>
        </w:trPr>
        <w:tc>
          <w:tcPr>
            <w:tcW w:w="170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Période</w:t>
            </w:r>
          </w:p>
        </w:tc>
        <w:tc>
          <w:tcPr>
            <w:tcW w:w="260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Leçon</w:t>
            </w:r>
          </w:p>
        </w:tc>
        <w:tc>
          <w:tcPr>
            <w:tcW w:w="4763"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Contenus</w:t>
            </w:r>
          </w:p>
        </w:tc>
      </w:tr>
      <w:tr>
        <w:trPr>
          <w:cantSplit w:val="true"/>
        </w:trPr>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27 mars – 3 avril 2026</w:t>
            </w:r>
          </w:p>
        </w:tc>
        <w:tc>
          <w:tcPr>
            <w:tcW w:w="260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La Terre dans l’Univers : forme, dimensions et mouvements</w:t>
            </w:r>
          </w:p>
        </w:tc>
        <w:tc>
          <w:tcPr>
            <w:tcW w:w="47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Objectifs ; définitions ; forme, dimensions et croquis de la Terre ; coordonnées géographiques (parallèles, méridiens, latitude, longitude) ; fuseaux horaires et répartition des heures à la surface de la Terre ; mouvements de la Terre et leurs conséquences</w:t>
            </w:r>
          </w:p>
        </w:tc>
      </w:tr>
      <w:tr>
        <w:trPr>
          <w:cantSplit w:val="true"/>
        </w:trPr>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10 – 21 avril 2026</w:t>
            </w:r>
          </w:p>
        </w:tc>
        <w:tc>
          <w:tcPr>
            <w:tcW w:w="260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Les phénomènes naturels : climat, hydrographie et relief</w:t>
            </w:r>
          </w:p>
        </w:tc>
        <w:tc>
          <w:tcPr>
            <w:tcW w:w="47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Objectifs pédagogiques ; climat ; hydrographie ; relief</w:t>
            </w:r>
          </w:p>
        </w:tc>
      </w:tr>
      <w:tr>
        <w:trPr>
          <w:cantSplit w:val="true"/>
        </w:trPr>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22 avril 2026</w:t>
            </w:r>
          </w:p>
        </w:tc>
        <w:tc>
          <w:tcPr>
            <w:tcW w:w="260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Techniques d’enquête et d’observation</w:t>
            </w:r>
          </w:p>
        </w:tc>
        <w:tc>
          <w:tcPr>
            <w:tcW w:w="47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Objectifs pédagogiques ; étude du milieu ; enquête ; types d’observation</w:t>
            </w:r>
          </w:p>
        </w:tc>
      </w:tr>
      <w:tr>
        <w:trPr>
          <w:cantSplit w:val="true"/>
        </w:trPr>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23 avril 2026</w:t>
            </w:r>
          </w:p>
        </w:tc>
        <w:tc>
          <w:tcPr>
            <w:tcW w:w="260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L’orientation</w:t>
            </w:r>
          </w:p>
        </w:tc>
        <w:tc>
          <w:tcPr>
            <w:tcW w:w="47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Recherche des quatre points cardinaux à l’aide du soleil et de la boussole ; représentation des points cardinaux et de la rose des vents ; différents moyens de s’orienter</w:t>
            </w:r>
          </w:p>
        </w:tc>
      </w:tr>
      <w:tr>
        <w:trPr>
          <w:cantSplit w:val="true"/>
        </w:trPr>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28 avril – 5 mai 2026</w:t>
            </w:r>
          </w:p>
        </w:tc>
        <w:tc>
          <w:tcPr>
            <w:tcW w:w="260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Représentation de l’espace : confection de plans, initiation au croquis et au traçage de cartes</w:t>
            </w:r>
          </w:p>
        </w:tc>
        <w:tc>
          <w:tcPr>
            <w:tcW w:w="47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Objectifs pédagogiques ; les plans ; les cartes</w:t>
            </w:r>
          </w:p>
        </w:tc>
      </w:tr>
      <w:tr>
        <w:trPr>
          <w:cantSplit w:val="true"/>
        </w:trPr>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8 mai 2026</w:t>
            </w:r>
          </w:p>
        </w:tc>
        <w:tc>
          <w:tcPr>
            <w:tcW w:w="260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Les temps historiques : initiation à la construction d’une frise chronologique</w:t>
            </w:r>
          </w:p>
        </w:tc>
        <w:tc>
          <w:tcPr>
            <w:tcW w:w="47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Objectifs pédagogiques ; les temps historiques ; les grandes divisions de la préhistoire et de l’histoire</w:t>
            </w:r>
          </w:p>
        </w:tc>
      </w:tr>
    </w:tbl>
    <w:p>
      <w:pPr>
        <w:pStyle w:val="Normal"/>
        <w:spacing w:lineRule="auto" w:line="240" w:before="60" w:after="240"/>
        <w:jc w:val="left"/>
        <w:rPr/>
      </w:pPr>
      <w:r>
        <w:rPr>
          <w:rFonts w:eastAsia="Times New Roman" w:cs="Times New Roman"/>
          <w:i/>
          <w:iCs/>
          <w:sz w:val="22"/>
          <w:szCs w:val="22"/>
        </w:rPr>
        <w:t>Source : Notre stage en responsabilité, ENFPE de Notsè (2026).</w:t>
      </w:r>
    </w:p>
    <w:p>
      <w:pPr>
        <w:pStyle w:val="Normal"/>
        <w:spacing w:lineRule="auto" w:line="360" w:before="0" w:after="120"/>
        <w:ind w:firstLine="709"/>
        <w:jc w:val="both"/>
        <w:rPr/>
      </w:pPr>
      <w:r>
        <w:rPr>
          <w:rFonts w:eastAsia="Times New Roman" w:cs="Times New Roman"/>
        </w:rPr>
        <w:t>Chaque cours était suivi d’un entretien-conseil avec notre encadrant, au cours duquel celui-ci formulait des remarques et des conseils dont nous tenions compte pour améliorer nos prestations suivantes.</w:t>
      </w:r>
    </w:p>
    <w:p>
      <w:pPr>
        <w:pStyle w:val="Normal"/>
        <w:spacing w:lineRule="auto" w:line="360" w:before="0" w:after="120"/>
        <w:ind w:firstLine="709"/>
        <w:jc w:val="both"/>
        <w:rPr/>
      </w:pPr>
      <w:r>
        <w:rPr>
          <w:rFonts w:eastAsia="Times New Roman" w:cs="Times New Roman"/>
        </w:rPr>
        <w:t>La semaine du 11 au 16 mai 2026 a été consacrée aux devoirs sur table (DST), à la surveillance et à la correction desquels nous avons participé. Le tableau 3 présente les résultats obtenus dans notre groupe-classe.</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3</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Résultats du devoir sur table dans le groupe-classe 2 (mai 2026)</w:t>
      </w:r>
    </w:p>
    <w:tbl>
      <w:tblPr>
        <w:tblW w:w="9072" w:type="dxa"/>
        <w:jc w:val="center"/>
        <w:tblInd w:w="0" w:type="dxa"/>
        <w:tblLayout w:type="fixed"/>
        <w:tblCellMar>
          <w:top w:w="40" w:type="dxa"/>
          <w:left w:w="60" w:type="dxa"/>
          <w:bottom w:w="40" w:type="dxa"/>
          <w:right w:w="60" w:type="dxa"/>
        </w:tblCellMar>
      </w:tblPr>
      <w:tblGrid>
        <w:gridCol w:w="3969"/>
        <w:gridCol w:w="1701"/>
        <w:gridCol w:w="1701"/>
        <w:gridCol w:w="1700"/>
      </w:tblGrid>
      <w:tr>
        <w:trPr>
          <w:tblHeader w:val="true"/>
          <w:cantSplit w:val="true"/>
        </w:trPr>
        <w:tc>
          <w:tcPr>
            <w:tcW w:w="396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Indicateur</w:t>
            </w:r>
          </w:p>
        </w:tc>
        <w:tc>
          <w:tcPr>
            <w:tcW w:w="170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Hommes</w:t>
            </w:r>
          </w:p>
        </w:tc>
        <w:tc>
          <w:tcPr>
            <w:tcW w:w="170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Femmes</w:t>
            </w:r>
          </w:p>
        </w:tc>
        <w:tc>
          <w:tcPr>
            <w:tcW w:w="17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Total</w:t>
            </w:r>
          </w:p>
        </w:tc>
      </w:tr>
      <w:tr>
        <w:trPr>
          <w:cantSplit w:val="true"/>
        </w:trPr>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Inscrits</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21</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21</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42</w:t>
            </w:r>
          </w:p>
        </w:tc>
      </w:tr>
      <w:tr>
        <w:trPr>
          <w:cantSplit w:val="true"/>
        </w:trPr>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Présents</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21</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21</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42</w:t>
            </w:r>
          </w:p>
        </w:tc>
      </w:tr>
      <w:tr>
        <w:trPr>
          <w:cantSplit w:val="true"/>
        </w:trPr>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Moyenne supérieure ou égale à 10</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21</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20</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41</w:t>
            </w:r>
          </w:p>
        </w:tc>
      </w:tr>
      <w:tr>
        <w:trPr>
          <w:cantSplit w:val="true"/>
        </w:trPr>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Pourcentage (%)</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100,00</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95,24</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97,62</w:t>
            </w:r>
          </w:p>
        </w:tc>
      </w:tr>
      <w:tr>
        <w:trPr>
          <w:cantSplit w:val="true"/>
        </w:trPr>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Moyenne inférieure à 10</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0</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w:t>
            </w:r>
          </w:p>
        </w:tc>
      </w:tr>
      <w:tr>
        <w:trPr>
          <w:cantSplit w:val="true"/>
        </w:trPr>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Pourcentage (%)</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0,00</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4,76</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2,38</w:t>
            </w:r>
          </w:p>
        </w:tc>
      </w:tr>
    </w:tbl>
    <w:p>
      <w:pPr>
        <w:pStyle w:val="Normal"/>
        <w:spacing w:lineRule="auto" w:line="240" w:before="60" w:after="240"/>
        <w:jc w:val="left"/>
        <w:rPr/>
      </w:pPr>
      <w:r>
        <w:rPr>
          <w:rFonts w:eastAsia="Times New Roman" w:cs="Times New Roman"/>
          <w:i/>
          <w:iCs/>
          <w:sz w:val="22"/>
          <w:szCs w:val="22"/>
        </w:rPr>
        <w:t>Source : Résultats du DST, GC2, promotion 4, ENFPE de Notsè (2026).</w:t>
      </w:r>
    </w:p>
    <w:p>
      <w:pPr>
        <w:pStyle w:val="Normal"/>
        <w:spacing w:lineRule="auto" w:line="360" w:before="0" w:after="120"/>
        <w:ind w:firstLine="709"/>
        <w:jc w:val="both"/>
        <w:rPr/>
      </w:pPr>
      <w:r>
        <w:rPr>
          <w:rFonts w:eastAsia="Times New Roman" w:cs="Times New Roman"/>
        </w:rPr>
        <w:t>Sur les 42 élèves-professeurs présents, 41 ont obtenu une moyenne supérieure ou égale à 10, soit un taux de réussite de 97,62 %. À l’issue de ces devoirs, les élèves-professeurs de la promotion 4 sont partis en congé, tandis que ceux de la promotion 3 revenaient de leur stage en responsabilité.</w:t>
      </w:r>
    </w:p>
    <w:p>
      <w:pPr>
        <w:pStyle w:val="Heading3"/>
        <w:rPr/>
      </w:pPr>
      <w:bookmarkStart w:id="11" w:name="__RefHeading___Toc49506_3411847120"/>
      <w:bookmarkEnd w:id="11"/>
      <w:r>
        <w:rPr>
          <w:rFonts w:eastAsia="Times New Roman" w:cs="Times New Roman" w:ascii="Times New Roman" w:hAnsi="Times New Roman"/>
        </w:rPr>
        <w:t>1.2.5. Retour de la promotion 3 et administration des unités d’enseignement libres</w:t>
      </w:r>
    </w:p>
    <w:p>
      <w:pPr>
        <w:pStyle w:val="Normal"/>
        <w:spacing w:lineRule="auto" w:line="360" w:before="0" w:after="120"/>
        <w:jc w:val="both"/>
        <w:rPr/>
      </w:pPr>
      <w:r>
        <w:rPr>
          <w:rFonts w:eastAsia="Times New Roman" w:cs="Times New Roman"/>
        </w:rPr>
        <w:t>Le 18 mai 2026 a marqué le retour de la promotion 3 de son stage en responsabilité (SR) et le lancement de l’administration des unités d’enseignement libres (UEL) du semestre 3. Les activités se sont ensuite succédé comme suit :</w:t>
      </w:r>
    </w:p>
    <w:p>
      <w:pPr>
        <w:pStyle w:val="ListParagraph"/>
        <w:numPr>
          <w:ilvl w:val="0"/>
          <w:numId w:val="56"/>
        </w:numPr>
        <w:spacing w:lineRule="auto" w:line="360" w:before="0" w:after="40"/>
        <w:jc w:val="both"/>
        <w:rPr/>
      </w:pPr>
      <w:r>
        <w:rPr>
          <w:rFonts w:eastAsia="Times New Roman" w:cs="Times New Roman"/>
        </w:rPr>
        <w:t>du 24 au 29 mai 2026 : administration des UEL du semestre 3, couplée à la correction des rapports de stage en responsabilité ;</w:t>
      </w:r>
    </w:p>
    <w:p>
      <w:pPr>
        <w:pStyle w:val="ListParagraph"/>
        <w:numPr>
          <w:ilvl w:val="0"/>
          <w:numId w:val="57"/>
        </w:numPr>
        <w:spacing w:lineRule="auto" w:line="360" w:before="0" w:after="40"/>
        <w:jc w:val="both"/>
        <w:rPr/>
      </w:pPr>
      <w:r>
        <w:rPr>
          <w:rFonts w:eastAsia="Times New Roman" w:cs="Times New Roman"/>
        </w:rPr>
        <w:t>du 1er au 2 juin 2026 : devoirs sur table des UEL, l’examen de ces UEL étant programmé les 18 et 19 juin 2026 ;</w:t>
      </w:r>
    </w:p>
    <w:p>
      <w:pPr>
        <w:pStyle w:val="ListParagraph"/>
        <w:numPr>
          <w:ilvl w:val="0"/>
          <w:numId w:val="58"/>
        </w:numPr>
        <w:spacing w:lineRule="auto" w:line="360" w:before="0" w:after="120"/>
        <w:jc w:val="both"/>
        <w:rPr/>
      </w:pPr>
      <w:r>
        <w:rPr>
          <w:rFonts w:eastAsia="Times New Roman" w:cs="Times New Roman"/>
        </w:rPr>
        <w:t>du 8 au 12 juin 2026 : soutenance des rapports de stage en responsabilité des élèves-professeurs de la promotion 3.</w:t>
      </w:r>
    </w:p>
    <w:p>
      <w:pPr>
        <w:pStyle w:val="Heading3"/>
        <w:rPr/>
      </w:pPr>
      <w:bookmarkStart w:id="12" w:name="__RefHeading___Toc49508_3411847120"/>
      <w:bookmarkEnd w:id="12"/>
      <w:r>
        <w:rPr>
          <w:rFonts w:eastAsia="Times New Roman" w:cs="Times New Roman" w:ascii="Times New Roman" w:hAnsi="Times New Roman"/>
        </w:rPr>
        <w:t>1.2.6. Suivi des élèves-professeurs en stage</w:t>
      </w:r>
    </w:p>
    <w:p>
      <w:pPr>
        <w:pStyle w:val="Normal"/>
        <w:spacing w:lineRule="auto" w:line="360" w:before="0" w:after="120"/>
        <w:ind w:firstLine="709"/>
        <w:jc w:val="both"/>
        <w:rPr/>
      </w:pPr>
      <w:r>
        <w:rPr>
          <w:rFonts w:eastAsia="Times New Roman" w:cs="Times New Roman"/>
        </w:rPr>
        <w:t>Le suivi des élèves-professeurs constitue l’un des points saillants de notre cahier des charges. Nous avons ainsi participé au suivi des EPE de la promotion 3 sur leurs lieux de stage en responsabilité, au cours de la semaine du 13 au 17 avril 2026, dans les établissements de l’inspection de Haho-Sud. Les leçons suivies se présentent comme suit.</w:t>
      </w:r>
    </w:p>
    <w:p>
      <w:pPr>
        <w:pStyle w:val="Normal"/>
        <w:spacing w:lineRule="auto" w:line="360" w:before="0" w:after="120"/>
        <w:jc w:val="both"/>
        <w:rPr/>
      </w:pPr>
      <w:r>
        <w:rPr>
          <w:rFonts w:eastAsia="Times New Roman" w:cs="Times New Roman"/>
          <w:b/>
          <w:bCs/>
        </w:rPr>
        <w:t>EPP Lokokpé (15 avril 2026).</w:t>
      </w:r>
      <w:r>
        <w:rPr>
          <w:rFonts w:eastAsia="Times New Roman" w:cs="Times New Roman"/>
        </w:rPr>
        <w:t xml:space="preserve"> Sous la direction de M. BLAO Fousséni Léon, nous avons suivi :</w:t>
      </w:r>
    </w:p>
    <w:p>
      <w:pPr>
        <w:pStyle w:val="ListParagraph"/>
        <w:numPr>
          <w:ilvl w:val="0"/>
          <w:numId w:val="59"/>
        </w:numPr>
        <w:spacing w:lineRule="auto" w:line="360" w:before="0" w:after="40"/>
        <w:jc w:val="both"/>
        <w:rPr/>
      </w:pPr>
      <w:r>
        <w:rPr>
          <w:rFonts w:eastAsia="Times New Roman" w:cs="Times New Roman"/>
        </w:rPr>
        <w:t xml:space="preserve">AKOEDOHO Kodjo Mawuli, au CP1, en présence de son encadrant, M. KOUNEDJI Kossi : </w:t>
      </w:r>
      <w:r>
        <w:rPr>
          <w:rFonts w:eastAsia="Times New Roman" w:cs="Times New Roman"/>
          <w:i/>
          <w:iCs/>
        </w:rPr>
        <w:t>J’apprends à lire</w:t>
      </w:r>
      <w:r>
        <w:rPr>
          <w:rFonts w:eastAsia="Times New Roman" w:cs="Times New Roman"/>
        </w:rPr>
        <w:t xml:space="preserve"> (découverte du son « g ») et mathématiques (comptage des dizaines et des unités) ;</w:t>
      </w:r>
    </w:p>
    <w:p>
      <w:pPr>
        <w:pStyle w:val="ListParagraph"/>
        <w:numPr>
          <w:ilvl w:val="0"/>
          <w:numId w:val="60"/>
        </w:numPr>
        <w:spacing w:lineRule="auto" w:line="360" w:before="0" w:after="40"/>
        <w:jc w:val="both"/>
        <w:rPr/>
      </w:pPr>
      <w:r>
        <w:rPr>
          <w:rFonts w:eastAsia="Times New Roman" w:cs="Times New Roman"/>
        </w:rPr>
        <w:t xml:space="preserve">AZIABA Kamla René, devant le titulaire de la classe, M. KARSA Sigéado : </w:t>
      </w:r>
      <w:r>
        <w:rPr>
          <w:rFonts w:eastAsia="Times New Roman" w:cs="Times New Roman"/>
          <w:i/>
          <w:iCs/>
        </w:rPr>
        <w:t>J’apprends à écrire</w:t>
      </w:r>
      <w:r>
        <w:rPr>
          <w:rFonts w:eastAsia="Times New Roman" w:cs="Times New Roman"/>
        </w:rPr>
        <w:t xml:space="preserve"> (la lettre « C » majuscule) et mathématiques (construire un carré à partir de ses caractéristiques) ;</w:t>
      </w:r>
    </w:p>
    <w:p>
      <w:pPr>
        <w:pStyle w:val="ListParagraph"/>
        <w:numPr>
          <w:ilvl w:val="0"/>
          <w:numId w:val="61"/>
        </w:numPr>
        <w:spacing w:lineRule="auto" w:line="360" w:before="0" w:after="40"/>
        <w:jc w:val="both"/>
        <w:rPr/>
      </w:pPr>
      <w:r>
        <w:rPr>
          <w:rFonts w:eastAsia="Times New Roman" w:cs="Times New Roman"/>
        </w:rPr>
        <w:t xml:space="preserve">BLAO Wakilou, au CM1, en présence du titulaire, M. BLAO Fousséni Léon : </w:t>
      </w:r>
      <w:r>
        <w:rPr>
          <w:rFonts w:eastAsia="Times New Roman" w:cs="Times New Roman"/>
          <w:i/>
          <w:iCs/>
        </w:rPr>
        <w:t>Je sais écrire les mots</w:t>
      </w:r>
      <w:r>
        <w:rPr>
          <w:rFonts w:eastAsia="Times New Roman" w:cs="Times New Roman"/>
        </w:rPr>
        <w:t xml:space="preserve"> (les noms en « -ail ») et mathématiques (représenter une situation de proportionnalité par un graphique) ;</w:t>
      </w:r>
    </w:p>
    <w:p>
      <w:pPr>
        <w:pStyle w:val="ListParagraph"/>
        <w:numPr>
          <w:ilvl w:val="0"/>
          <w:numId w:val="62"/>
        </w:numPr>
        <w:spacing w:lineRule="auto" w:line="360" w:before="0" w:after="120"/>
        <w:jc w:val="both"/>
        <w:rPr/>
      </w:pPr>
      <w:r>
        <w:rPr>
          <w:rFonts w:eastAsia="Times New Roman" w:cs="Times New Roman"/>
        </w:rPr>
        <w:t xml:space="preserve">DEGBE Kodjo Ferdinand, au CP2, en présence de M. TONYI Kodjo Tsoèkéwo : </w:t>
      </w:r>
      <w:r>
        <w:rPr>
          <w:rFonts w:eastAsia="Times New Roman" w:cs="Times New Roman"/>
          <w:i/>
          <w:iCs/>
        </w:rPr>
        <w:t>J’apprends à parler</w:t>
      </w:r>
      <w:r>
        <w:rPr>
          <w:rFonts w:eastAsia="Times New Roman" w:cs="Times New Roman"/>
        </w:rPr>
        <w:t xml:space="preserve"> (formuler un projet) et mathématiques (additionner deux nombres sans retenue dans un tableau de numération).</w:t>
      </w:r>
    </w:p>
    <w:p>
      <w:pPr>
        <w:pStyle w:val="Normal"/>
        <w:spacing w:lineRule="auto" w:line="360" w:before="0" w:after="120"/>
        <w:jc w:val="both"/>
        <w:rPr/>
      </w:pPr>
      <w:r>
        <w:rPr>
          <w:rFonts w:eastAsia="Times New Roman" w:cs="Times New Roman"/>
          <w:b/>
          <w:bCs/>
        </w:rPr>
        <w:t>EPP Santé (16 avril 2026).</w:t>
      </w:r>
      <w:r>
        <w:rPr>
          <w:rFonts w:eastAsia="Times New Roman" w:cs="Times New Roman"/>
        </w:rPr>
        <w:t xml:space="preserve"> Sous la direction de Mme AGBENOWOKO Afi, nous avons suivi :</w:t>
      </w:r>
    </w:p>
    <w:p>
      <w:pPr>
        <w:pStyle w:val="ListParagraph"/>
        <w:numPr>
          <w:ilvl w:val="0"/>
          <w:numId w:val="63"/>
        </w:numPr>
        <w:spacing w:lineRule="auto" w:line="360" w:before="0" w:after="40"/>
        <w:jc w:val="both"/>
        <w:rPr/>
      </w:pPr>
      <w:r>
        <w:rPr>
          <w:rFonts w:eastAsia="Times New Roman" w:cs="Times New Roman"/>
        </w:rPr>
        <w:t xml:space="preserve">ABALO Kokou E. Gahien, au CM2, en présence de son encadrant, M. KALEKATE Kpatcha : </w:t>
      </w:r>
      <w:r>
        <w:rPr>
          <w:rFonts w:eastAsia="Times New Roman" w:cs="Times New Roman"/>
          <w:i/>
          <w:iCs/>
        </w:rPr>
        <w:t>J’apprends à lire</w:t>
      </w:r>
      <w:r>
        <w:rPr>
          <w:rFonts w:eastAsia="Times New Roman" w:cs="Times New Roman"/>
        </w:rPr>
        <w:t xml:space="preserve"> (le journal de l’école) et mathématiques (l’échelle) ;</w:t>
      </w:r>
    </w:p>
    <w:p>
      <w:pPr>
        <w:pStyle w:val="ListParagraph"/>
        <w:numPr>
          <w:ilvl w:val="0"/>
          <w:numId w:val="64"/>
        </w:numPr>
        <w:spacing w:lineRule="auto" w:line="360" w:before="0" w:after="40"/>
        <w:jc w:val="both"/>
        <w:rPr/>
      </w:pPr>
      <w:r>
        <w:rPr>
          <w:rFonts w:eastAsia="Times New Roman" w:cs="Times New Roman"/>
        </w:rPr>
        <w:t xml:space="preserve">BAMOUDNA Koudolga Benoît, au CE1, devant le titulaire, M. KPADEMRE Gnata : </w:t>
      </w:r>
      <w:r>
        <w:rPr>
          <w:rFonts w:eastAsia="Times New Roman" w:cs="Times New Roman"/>
          <w:i/>
          <w:iCs/>
        </w:rPr>
        <w:t>Je sais écrire les mots</w:t>
      </w:r>
      <w:r>
        <w:rPr>
          <w:rFonts w:eastAsia="Times New Roman" w:cs="Times New Roman"/>
        </w:rPr>
        <w:t xml:space="preserve"> (la lettre « y ») et mathématiques (déterminer l’aire d’un triangle et d’un carré sur quadrillage) ;</w:t>
      </w:r>
    </w:p>
    <w:p>
      <w:pPr>
        <w:pStyle w:val="ListParagraph"/>
        <w:numPr>
          <w:ilvl w:val="0"/>
          <w:numId w:val="65"/>
        </w:numPr>
        <w:spacing w:lineRule="auto" w:line="360" w:before="0" w:after="40"/>
        <w:jc w:val="both"/>
        <w:rPr/>
      </w:pPr>
      <w:r>
        <w:rPr>
          <w:rFonts w:eastAsia="Times New Roman" w:cs="Times New Roman"/>
        </w:rPr>
        <w:t xml:space="preserve">ALLAGBE Anabrouna, au CP1, en présence de la titulaire, Mme AGBENOWOKO Afi : </w:t>
      </w:r>
      <w:r>
        <w:rPr>
          <w:rFonts w:eastAsia="Times New Roman" w:cs="Times New Roman"/>
          <w:i/>
          <w:iCs/>
        </w:rPr>
        <w:t>J’apprends à parler</w:t>
      </w:r>
      <w:r>
        <w:rPr>
          <w:rFonts w:eastAsia="Times New Roman" w:cs="Times New Roman"/>
        </w:rPr>
        <w:t xml:space="preserve"> (promettre quelque chose à quelqu’un) et mathématiques (compter les dizaines et les unités) ;</w:t>
      </w:r>
    </w:p>
    <w:p>
      <w:pPr>
        <w:pStyle w:val="ListParagraph"/>
        <w:numPr>
          <w:ilvl w:val="0"/>
          <w:numId w:val="66"/>
        </w:numPr>
        <w:spacing w:lineRule="auto" w:line="360" w:before="0" w:after="40"/>
        <w:jc w:val="both"/>
        <w:rPr/>
      </w:pPr>
      <w:r>
        <w:rPr>
          <w:rFonts w:eastAsia="Times New Roman" w:cs="Times New Roman"/>
        </w:rPr>
        <w:t xml:space="preserve">GONYABA M. Libem’Home, au CP1, en présence de Mme AGBENOWOKO Afi : éducation sociale (le partage) et </w:t>
      </w:r>
      <w:r>
        <w:rPr>
          <w:rFonts w:eastAsia="Times New Roman" w:cs="Times New Roman"/>
          <w:i/>
          <w:iCs/>
        </w:rPr>
        <w:t>J’apprends à parler</w:t>
      </w:r>
      <w:r>
        <w:rPr>
          <w:rFonts w:eastAsia="Times New Roman" w:cs="Times New Roman"/>
        </w:rPr>
        <w:t xml:space="preserve"> (promettre quelque chose à quelqu’un) ;</w:t>
      </w:r>
    </w:p>
    <w:p>
      <w:pPr>
        <w:pStyle w:val="ListParagraph"/>
        <w:numPr>
          <w:ilvl w:val="0"/>
          <w:numId w:val="67"/>
        </w:numPr>
        <w:spacing w:lineRule="auto" w:line="360" w:before="0" w:after="40"/>
        <w:jc w:val="both"/>
        <w:rPr/>
      </w:pPr>
      <w:r>
        <w:rPr>
          <w:rFonts w:eastAsia="Times New Roman" w:cs="Times New Roman"/>
        </w:rPr>
        <w:t>SAVI Aimé, au CE1, en présence de son encadrant, M. KPADEMRE Gnata : éducation sociale 1 (révision) et mathématiques (mesurer l’aire d’un rectangle et d’un carré sur quadrillage) ;</w:t>
      </w:r>
    </w:p>
    <w:p>
      <w:pPr>
        <w:pStyle w:val="ListParagraph"/>
        <w:numPr>
          <w:ilvl w:val="0"/>
          <w:numId w:val="68"/>
        </w:numPr>
        <w:spacing w:lineRule="auto" w:line="360" w:before="0" w:after="120"/>
        <w:jc w:val="both"/>
        <w:rPr/>
      </w:pPr>
      <w:r>
        <w:rPr>
          <w:rFonts w:eastAsia="Times New Roman" w:cs="Times New Roman"/>
        </w:rPr>
        <w:t xml:space="preserve">ATOKO Gnioulim, au CP2, devant le titulaire, M. TALIM Wousra : mathématiques (dénombrer une collection) et </w:t>
      </w:r>
      <w:r>
        <w:rPr>
          <w:rFonts w:eastAsia="Times New Roman" w:cs="Times New Roman"/>
          <w:i/>
          <w:iCs/>
        </w:rPr>
        <w:t>J’apprends à parler</w:t>
      </w:r>
      <w:r>
        <w:rPr>
          <w:rFonts w:eastAsia="Times New Roman" w:cs="Times New Roman"/>
        </w:rPr>
        <w:t>.</w:t>
      </w:r>
    </w:p>
    <w:p>
      <w:pPr>
        <w:pStyle w:val="Normal"/>
        <w:spacing w:lineRule="auto" w:line="360" w:before="0" w:after="120"/>
        <w:jc w:val="both"/>
        <w:rPr/>
      </w:pPr>
      <w:r>
        <w:rPr>
          <w:rFonts w:eastAsia="Times New Roman" w:cs="Times New Roman"/>
          <w:b/>
          <w:bCs/>
        </w:rPr>
        <w:t>EPP Tégbé (17 avril 2026).</w:t>
      </w:r>
      <w:r>
        <w:rPr>
          <w:rFonts w:eastAsia="Times New Roman" w:cs="Times New Roman"/>
        </w:rPr>
        <w:t xml:space="preserve"> Nous avons achevé notre suivi à l’EPP Tégbé, groupe A (directeur : M. AMENTI Koffi) et groupe B (directrice : Mme KOWOUVI N. Adjo) :</w:t>
      </w:r>
    </w:p>
    <w:p>
      <w:pPr>
        <w:pStyle w:val="ListParagraph"/>
        <w:numPr>
          <w:ilvl w:val="0"/>
          <w:numId w:val="69"/>
        </w:numPr>
        <w:spacing w:lineRule="auto" w:line="360" w:before="0" w:after="40"/>
        <w:jc w:val="both"/>
        <w:rPr/>
      </w:pPr>
      <w:r>
        <w:rPr>
          <w:rFonts w:eastAsia="Times New Roman" w:cs="Times New Roman"/>
        </w:rPr>
        <w:t xml:space="preserve">au groupe A, en semaine de consolidation des acquis, nous avons suivi ESSEH Akouvi Kafui au CM1, en présence de son encadrant, M. SEMONDJI Tétévi, en mathématiques (consolidation des acquis) puis en </w:t>
      </w:r>
      <w:r>
        <w:rPr>
          <w:rFonts w:eastAsia="Times New Roman" w:cs="Times New Roman"/>
          <w:i/>
          <w:iCs/>
        </w:rPr>
        <w:t>Je sais utiliser ce que j’ai appris cette semaine</w:t>
      </w:r>
      <w:r>
        <w:rPr>
          <w:rFonts w:eastAsia="Times New Roman" w:cs="Times New Roman"/>
        </w:rPr>
        <w:t> ;</w:t>
      </w:r>
    </w:p>
    <w:p>
      <w:pPr>
        <w:pStyle w:val="ListParagraph"/>
        <w:numPr>
          <w:ilvl w:val="0"/>
          <w:numId w:val="70"/>
        </w:numPr>
        <w:spacing w:lineRule="auto" w:line="360" w:before="0" w:after="40"/>
        <w:jc w:val="both"/>
        <w:rPr/>
      </w:pPr>
      <w:r>
        <w:rPr>
          <w:rFonts w:eastAsia="Times New Roman" w:cs="Times New Roman"/>
        </w:rPr>
        <w:t>au groupe B, KABO Kossiwavi Liberta a dispensé au CM1, sous l’encadrement du titulaire, M. DEWU Komla, une leçon de mathématiques (calculer le périmètre d’un polygone : le triangle) et une leçon de sciences et technologie (les maladies microbiennes) ;</w:t>
      </w:r>
    </w:p>
    <w:p>
      <w:pPr>
        <w:pStyle w:val="ListParagraph"/>
        <w:numPr>
          <w:ilvl w:val="0"/>
          <w:numId w:val="71"/>
        </w:numPr>
        <w:spacing w:lineRule="auto" w:line="360" w:before="0" w:after="120"/>
        <w:jc w:val="both"/>
        <w:rPr/>
      </w:pPr>
      <w:r>
        <w:rPr>
          <w:rFonts w:eastAsia="Times New Roman" w:cs="Times New Roman"/>
        </w:rPr>
        <w:t>enfin, au CE1, LARE N. Bienvenue a dispensé, en présence de la titulaire, Mme LAMA, une leçon de sciences et technologie (les états de la matière) puis une séance de consolidation des acquis en mathématiques.</w:t>
      </w:r>
    </w:p>
    <w:p>
      <w:pPr>
        <w:pStyle w:val="Normal"/>
        <w:spacing w:lineRule="auto" w:line="360" w:before="0" w:after="120"/>
        <w:ind w:firstLine="709"/>
        <w:jc w:val="both"/>
        <w:rPr/>
      </w:pPr>
      <w:r>
        <w:rPr>
          <w:rFonts w:eastAsia="Times New Roman" w:cs="Times New Roman"/>
        </w:rPr>
        <w:t>Au terme de chaque prestation, un entretien-conseil était organisé avec l’EPE suivi afin de lui faire part de nos remarques, de lui prodiguer des conseils et de le soutenir dans l’amélioration de ses pratiques de classe.</w:t>
      </w:r>
    </w:p>
    <w:p>
      <w:pPr>
        <w:pStyle w:val="Heading3"/>
        <w:rPr/>
      </w:pPr>
      <w:bookmarkStart w:id="13" w:name="__RefHeading___Toc49510_3411847120"/>
      <w:bookmarkEnd w:id="13"/>
      <w:r>
        <w:rPr>
          <w:rFonts w:eastAsia="Times New Roman" w:cs="Times New Roman" w:ascii="Times New Roman" w:hAnsi="Times New Roman"/>
        </w:rPr>
        <w:t>1.2.7. Délibération des résultats du semestre 1 de la promotion 4</w:t>
      </w:r>
    </w:p>
    <w:p>
      <w:pPr>
        <w:pStyle w:val="Normal"/>
        <w:spacing w:lineRule="auto" w:line="360" w:before="0" w:after="120"/>
        <w:jc w:val="both"/>
        <w:rPr/>
      </w:pPr>
      <w:r>
        <w:rPr>
          <w:rFonts w:eastAsia="Times New Roman" w:cs="Times New Roman"/>
        </w:rPr>
        <w:t>Du 26 au 28 mars 2026, l’ENFPE de Notsè a accueilli la session de délibération des résultats du semestre 1 des EPE de la promotion 4. L’équipe de délibération était composée comme suit :</w:t>
      </w:r>
    </w:p>
    <w:p>
      <w:pPr>
        <w:pStyle w:val="ListParagraph"/>
        <w:numPr>
          <w:ilvl w:val="0"/>
          <w:numId w:val="72"/>
        </w:numPr>
        <w:spacing w:lineRule="auto" w:line="360" w:before="0" w:after="40"/>
        <w:jc w:val="both"/>
        <w:rPr/>
      </w:pPr>
      <w:r>
        <w:rPr>
          <w:rFonts w:eastAsia="Times New Roman" w:cs="Times New Roman"/>
        </w:rPr>
        <w:t>M. AKPAWU Donudénu, directeur des ressources humaines (DRH) ;</w:t>
      </w:r>
    </w:p>
    <w:p>
      <w:pPr>
        <w:pStyle w:val="ListParagraph"/>
        <w:numPr>
          <w:ilvl w:val="0"/>
          <w:numId w:val="73"/>
        </w:numPr>
        <w:spacing w:lineRule="auto" w:line="360" w:before="0" w:after="40"/>
        <w:jc w:val="both"/>
        <w:rPr/>
      </w:pPr>
      <w:r>
        <w:rPr>
          <w:rFonts w:eastAsia="Times New Roman" w:cs="Times New Roman"/>
        </w:rPr>
        <w:t>M. PEREZI Téi Mani, directeur des examens, concours et certifications (DExCC) ;</w:t>
      </w:r>
    </w:p>
    <w:p>
      <w:pPr>
        <w:pStyle w:val="ListParagraph"/>
        <w:numPr>
          <w:ilvl w:val="0"/>
          <w:numId w:val="74"/>
        </w:numPr>
        <w:spacing w:lineRule="auto" w:line="360" w:before="0" w:after="40"/>
        <w:jc w:val="both"/>
        <w:rPr/>
      </w:pPr>
      <w:r>
        <w:rPr>
          <w:rFonts w:eastAsia="Times New Roman" w:cs="Times New Roman"/>
        </w:rPr>
        <w:t>M. TANANG Paka, directeur des enseignements préscolaire et primaire (DEPP) ;</w:t>
      </w:r>
    </w:p>
    <w:p>
      <w:pPr>
        <w:pStyle w:val="ListParagraph"/>
        <w:numPr>
          <w:ilvl w:val="0"/>
          <w:numId w:val="75"/>
        </w:numPr>
        <w:spacing w:lineRule="auto" w:line="360" w:before="0" w:after="40"/>
        <w:jc w:val="both"/>
        <w:rPr/>
      </w:pPr>
      <w:r>
        <w:rPr>
          <w:rFonts w:eastAsia="Times New Roman" w:cs="Times New Roman"/>
        </w:rPr>
        <w:t>M. ZOUNON Dodji, directeur des programmes et innovations pédagogiques (DPIP) et coordonnateur principal des ENFPE ;</w:t>
      </w:r>
    </w:p>
    <w:p>
      <w:pPr>
        <w:pStyle w:val="ListParagraph"/>
        <w:numPr>
          <w:ilvl w:val="0"/>
          <w:numId w:val="76"/>
        </w:numPr>
        <w:spacing w:lineRule="auto" w:line="360" w:before="0" w:after="40"/>
        <w:jc w:val="both"/>
        <w:rPr/>
      </w:pPr>
      <w:r>
        <w:rPr>
          <w:rFonts w:eastAsia="Times New Roman" w:cs="Times New Roman"/>
        </w:rPr>
        <w:t>M. ATTA Essoglina, chef de la division des formations et membre de la coordination des ENFPE ;</w:t>
      </w:r>
    </w:p>
    <w:p>
      <w:pPr>
        <w:pStyle w:val="ListParagraph"/>
        <w:numPr>
          <w:ilvl w:val="0"/>
          <w:numId w:val="77"/>
        </w:numPr>
        <w:spacing w:lineRule="auto" w:line="360" w:before="0" w:after="40"/>
        <w:jc w:val="both"/>
        <w:rPr/>
      </w:pPr>
      <w:r>
        <w:rPr>
          <w:rFonts w:eastAsia="Times New Roman" w:cs="Times New Roman"/>
        </w:rPr>
        <w:t>Mme SOUSSOUKPO Yawavi Mawoussé, cheffe de l’inspection de Blitta-Est et membre de la coordination des ENFPE ;</w:t>
      </w:r>
    </w:p>
    <w:p>
      <w:pPr>
        <w:pStyle w:val="ListParagraph"/>
        <w:numPr>
          <w:ilvl w:val="0"/>
          <w:numId w:val="78"/>
        </w:numPr>
        <w:spacing w:lineRule="auto" w:line="360" w:before="0" w:after="120"/>
        <w:jc w:val="both"/>
        <w:rPr/>
      </w:pPr>
      <w:r>
        <w:rPr>
          <w:rFonts w:eastAsia="Times New Roman" w:cs="Times New Roman"/>
        </w:rPr>
        <w:t>les représentants de chaque ENFPE : le directeur, le DACE et deux professeurs (un nouveau et un ancien).</w:t>
      </w:r>
    </w:p>
    <w:p>
      <w:pPr>
        <w:pStyle w:val="Normal"/>
        <w:spacing w:lineRule="auto" w:line="360" w:before="0" w:after="120"/>
        <w:ind w:firstLine="709"/>
        <w:jc w:val="both"/>
        <w:rPr/>
      </w:pPr>
      <w:r>
        <w:rPr>
          <w:rFonts w:eastAsia="Times New Roman" w:cs="Times New Roman"/>
        </w:rPr>
        <w:t>La session s’est articulée autour de trois temps forts : la cérémonie d’ouverture, les travaux et la cérémonie de clôture.</w:t>
      </w:r>
    </w:p>
    <w:p>
      <w:pPr>
        <w:pStyle w:val="Normal"/>
        <w:spacing w:lineRule="auto" w:line="360" w:before="0" w:after="120"/>
        <w:jc w:val="both"/>
        <w:rPr/>
      </w:pPr>
      <w:r>
        <w:rPr>
          <w:rFonts w:eastAsia="Times New Roman" w:cs="Times New Roman"/>
          <w:b/>
          <w:bCs/>
        </w:rPr>
        <w:t>Cérémonie d’ouverture.</w:t>
      </w:r>
      <w:r>
        <w:rPr>
          <w:rFonts w:eastAsia="Times New Roman" w:cs="Times New Roman"/>
        </w:rPr>
        <w:t xml:space="preserve"> Quatre interventions ont marqué cette cérémonie :</w:t>
      </w:r>
    </w:p>
    <w:p>
      <w:pPr>
        <w:pStyle w:val="ListParagraph"/>
        <w:numPr>
          <w:ilvl w:val="0"/>
          <w:numId w:val="79"/>
        </w:numPr>
        <w:spacing w:lineRule="auto" w:line="360" w:before="0" w:after="40"/>
        <w:jc w:val="both"/>
        <w:rPr/>
      </w:pPr>
      <w:r>
        <w:rPr>
          <w:rFonts w:eastAsia="Times New Roman" w:cs="Times New Roman"/>
        </w:rPr>
        <w:t>le mot de bienvenue de M. ADANGLO Kwami, directeur de l’ENFPE de Notsè, qui a salué la tenue de cette session, la onzième depuis la reprise des formations dans les ENFPE ;</w:t>
      </w:r>
    </w:p>
    <w:p>
      <w:pPr>
        <w:pStyle w:val="ListParagraph"/>
        <w:numPr>
          <w:ilvl w:val="0"/>
          <w:numId w:val="80"/>
        </w:numPr>
        <w:spacing w:lineRule="auto" w:line="360" w:before="0" w:after="40"/>
        <w:jc w:val="both"/>
        <w:rPr/>
      </w:pPr>
      <w:r>
        <w:rPr>
          <w:rFonts w:eastAsia="Times New Roman" w:cs="Times New Roman"/>
        </w:rPr>
        <w:t>l’intervention de M. TANANG Paka, DEPP, qui a encouragé les formateurs à poursuivre leurs efforts et les a invités à une écoute attentive ;</w:t>
      </w:r>
    </w:p>
    <w:p>
      <w:pPr>
        <w:pStyle w:val="ListParagraph"/>
        <w:numPr>
          <w:ilvl w:val="0"/>
          <w:numId w:val="81"/>
        </w:numPr>
        <w:spacing w:lineRule="auto" w:line="360" w:before="0" w:after="40"/>
        <w:jc w:val="both"/>
        <w:rPr/>
      </w:pPr>
      <w:r>
        <w:rPr>
          <w:rFonts w:eastAsia="Times New Roman" w:cs="Times New Roman"/>
        </w:rPr>
        <w:t>l’intervention de M. PEREZI Téi Mani, DExCC, consacrée aux commissions mises en place au sein de sa direction pour l’étude des dossiers des candidats au concours de recrutement des enseignants du 11 avril 2026 ; il a en outre demandé l’uniformisation des mentions portées sur les attestations afin d’en faciliter l’authentification ;</w:t>
      </w:r>
    </w:p>
    <w:p>
      <w:pPr>
        <w:pStyle w:val="ListParagraph"/>
        <w:numPr>
          <w:ilvl w:val="0"/>
          <w:numId w:val="82"/>
        </w:numPr>
        <w:spacing w:lineRule="auto" w:line="360" w:before="0" w:after="120"/>
        <w:jc w:val="both"/>
        <w:rPr/>
      </w:pPr>
      <w:r>
        <w:rPr>
          <w:rFonts w:eastAsia="Times New Roman" w:cs="Times New Roman"/>
        </w:rPr>
        <w:t>le mot de cadrage et d’ouverture de M. AKPAWU Donudénu, DRH, qui a relevé trois situations constatées lors de la tournée de la commission de contrôle des ENFPE.</w:t>
      </w:r>
    </w:p>
    <w:p>
      <w:pPr>
        <w:pStyle w:val="Normal"/>
        <w:spacing w:lineRule="auto" w:line="360" w:before="0" w:after="120"/>
        <w:jc w:val="both"/>
        <w:rPr/>
      </w:pPr>
      <w:r>
        <w:rPr>
          <w:rFonts w:eastAsia="Times New Roman" w:cs="Times New Roman"/>
        </w:rPr>
        <w:t>Les trois situations relevées par le DRH sont les suivantes :</w:t>
      </w:r>
    </w:p>
    <w:p>
      <w:pPr>
        <w:pStyle w:val="ListParagraph"/>
        <w:numPr>
          <w:ilvl w:val="0"/>
          <w:numId w:val="83"/>
        </w:numPr>
        <w:spacing w:lineRule="auto" w:line="360" w:before="0" w:after="40"/>
        <w:jc w:val="both"/>
        <w:rPr/>
      </w:pPr>
      <w:r>
        <w:rPr>
          <w:rFonts w:eastAsia="Times New Roman" w:cs="Times New Roman"/>
        </w:rPr>
        <w:t>le regroupement de plusieurs groupes-classes dans les amphithéâtres pour l’administration des UE et pour les cours de mission : il a demandé aux DACE de concevoir des tableaux de service évitant ces regroupements et de limiter ceux-ci, pour les cours de mission, à deux groupes-classes au maximum ;</w:t>
      </w:r>
    </w:p>
    <w:p>
      <w:pPr>
        <w:pStyle w:val="ListParagraph"/>
        <w:numPr>
          <w:ilvl w:val="0"/>
          <w:numId w:val="11"/>
        </w:numPr>
        <w:spacing w:lineRule="auto" w:line="360" w:before="0" w:after="40"/>
        <w:jc w:val="both"/>
        <w:rPr/>
      </w:pPr>
      <w:r>
        <w:rPr>
          <w:rFonts w:eastAsia="Times New Roman" w:cs="Times New Roman"/>
        </w:rPr>
        <w:t>le nombre important d’absences des EPE, tant dans les centres de formation que dans les écoles d’accueil : il a demandé un contrôle rigoureux de l’assiduité, rappelant que les textes prévoient l’exclusion de tout élève cumulant 35 heures d’absence ;</w:t>
      </w:r>
    </w:p>
    <w:p>
      <w:pPr>
        <w:pStyle w:val="ListParagraph"/>
        <w:numPr>
          <w:ilvl w:val="0"/>
          <w:numId w:val="11"/>
        </w:numPr>
        <w:spacing w:lineRule="auto" w:line="360" w:before="0" w:after="120"/>
        <w:jc w:val="both"/>
        <w:rPr/>
      </w:pPr>
      <w:r>
        <w:rPr>
          <w:rFonts w:eastAsia="Times New Roman" w:cs="Times New Roman"/>
        </w:rPr>
        <w:t>l’insuffisance des évaluations et du matériel pédagogique : il a recommandé de multiplier les évaluations, afin notamment de dissuader l’irrégularité, et d’encourager la fabrication de matériel pédagogique.</w:t>
      </w:r>
    </w:p>
    <w:p>
      <w:pPr>
        <w:pStyle w:val="Normal"/>
        <w:spacing w:lineRule="auto" w:line="360" w:before="0" w:after="120"/>
        <w:ind w:firstLine="709"/>
        <w:jc w:val="both"/>
        <w:rPr/>
      </w:pPr>
      <w:r>
        <w:rPr>
          <w:rFonts w:eastAsia="Times New Roman" w:cs="Times New Roman"/>
        </w:rPr>
        <w:t>Le DRH a précisé que 75 % des places du prochain concours de recrutement des enseignants sont réservées aux EPE, avant de déclarer ouverte, au nom du ministre de l’Éducation nationale, la session de délibération des résultats du semestre 1 de la promotion 2025-2027.</w:t>
      </w:r>
    </w:p>
    <w:p>
      <w:pPr>
        <w:pStyle w:val="Normal"/>
        <w:spacing w:lineRule="auto" w:line="360" w:before="0" w:after="120"/>
        <w:ind w:firstLine="709"/>
        <w:jc w:val="both"/>
        <w:rPr/>
      </w:pPr>
      <w:r>
        <w:rPr>
          <w:rFonts w:eastAsia="Times New Roman" w:cs="Times New Roman"/>
          <w:b/>
          <w:bCs/>
        </w:rPr>
        <w:t>Présidium.</w:t>
      </w:r>
      <w:r>
        <w:rPr>
          <w:rFonts w:eastAsia="Times New Roman" w:cs="Times New Roman"/>
        </w:rPr>
        <w:t xml:space="preserve"> À l’issue de la cérémonie d’ouverture, un présidium de trois membres a été mis en place pour conduire les travaux : M. KPANDJA Sarkardja, directeur de l’ENFPE de Dapaong (président) ; M. BEKOFFI Kodjo, formateur de français à l’ENFPE de Tabligbo (premier rapporteur) ; M. KIBSAGOU Hankpada, formateur de sciences et technologie à l’ENFPE d’Adéta (second rapporteur).</w:t>
      </w:r>
    </w:p>
    <w:p>
      <w:pPr>
        <w:pStyle w:val="Normal"/>
        <w:spacing w:lineRule="auto" w:line="360" w:before="0" w:after="120"/>
        <w:ind w:firstLine="709"/>
        <w:jc w:val="both"/>
        <w:rPr/>
      </w:pPr>
      <w:r>
        <w:rPr>
          <w:rFonts w:eastAsia="Times New Roman" w:cs="Times New Roman"/>
          <w:b/>
          <w:bCs/>
        </w:rPr>
        <w:t>Travaux de la session.</w:t>
      </w:r>
      <w:r>
        <w:rPr>
          <w:rFonts w:eastAsia="Times New Roman" w:cs="Times New Roman"/>
        </w:rPr>
        <w:t xml:space="preserve"> L’ordre du jour présenté par le président comportait six points : la présentation des résultats par ENFPE ; l’analyse de ces résultats et les conclusions à en tirer ; les recommandations ; la programmation des activités de remédiation et de rattrapage ; la révision du chronogramme juxtaposé des promotions 3 et 4 ; enfin, la présentation du rapport de la session.</w:t>
      </w:r>
    </w:p>
    <w:p>
      <w:pPr>
        <w:pStyle w:val="Normal"/>
        <w:spacing w:lineRule="auto" w:line="360" w:before="0" w:after="120"/>
        <w:ind w:firstLine="709"/>
        <w:jc w:val="both"/>
        <w:rPr/>
      </w:pPr>
      <w:r>
        <w:rPr>
          <w:rFonts w:eastAsia="Times New Roman" w:cs="Times New Roman"/>
        </w:rPr>
        <w:t>Les DACE des ENFPE de Dapaong, Niamtougou, Sotouboua, Notsè et Tabligbo (option primaire), ainsi que de Mango et d’Adéta (option préscolaire), ont tour à tour présenté les résultats des évaluations du semestre 1, chaque présentation donnant lieu à un débat. Le DPIP, coordonnateur principal des ENFPE, a ensuite présenté les résultats globaux, synthétisés dans le tableau 4.</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4</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Résultats du semestre 1 de la promotion 4 par ENFPE (effectifs totaux)</w:t>
      </w:r>
    </w:p>
    <w:tbl>
      <w:tblPr>
        <w:tblW w:w="9073" w:type="dxa"/>
        <w:jc w:val="center"/>
        <w:tblInd w:w="0" w:type="dxa"/>
        <w:tblLayout w:type="fixed"/>
        <w:tblCellMar>
          <w:top w:w="40" w:type="dxa"/>
          <w:left w:w="60" w:type="dxa"/>
          <w:bottom w:w="40" w:type="dxa"/>
          <w:right w:w="60" w:type="dxa"/>
        </w:tblCellMar>
      </w:tblPr>
      <w:tblGrid>
        <w:gridCol w:w="1303"/>
        <w:gridCol w:w="908"/>
        <w:gridCol w:w="963"/>
        <w:gridCol w:w="851"/>
        <w:gridCol w:w="1022"/>
        <w:gridCol w:w="1246"/>
        <w:gridCol w:w="965"/>
        <w:gridCol w:w="851"/>
        <w:gridCol w:w="963"/>
      </w:tblGrid>
      <w:tr>
        <w:trPr>
          <w:tblHeader w:val="true"/>
          <w:cantSplit w:val="true"/>
        </w:trPr>
        <w:tc>
          <w:tcPr>
            <w:tcW w:w="1303"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ENFPE</w:t>
            </w:r>
          </w:p>
        </w:tc>
        <w:tc>
          <w:tcPr>
            <w:tcW w:w="90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Inscrits</w:t>
            </w:r>
          </w:p>
        </w:tc>
        <w:tc>
          <w:tcPr>
            <w:tcW w:w="963"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Présents</w:t>
            </w:r>
          </w:p>
        </w:tc>
        <w:tc>
          <w:tcPr>
            <w:tcW w:w="85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Admis¹</w:t>
            </w:r>
          </w:p>
        </w:tc>
        <w:tc>
          <w:tcPr>
            <w:tcW w:w="102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Réussite (%)</w:t>
            </w:r>
          </w:p>
        </w:tc>
        <w:tc>
          <w:tcPr>
            <w:tcW w:w="124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Rattrapage²</w:t>
            </w:r>
          </w:p>
        </w:tc>
        <w:tc>
          <w:tcPr>
            <w:tcW w:w="96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Ratt. (%)</w:t>
            </w:r>
          </w:p>
        </w:tc>
        <w:tc>
          <w:tcPr>
            <w:tcW w:w="85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Renvoi³</w:t>
            </w:r>
          </w:p>
        </w:tc>
        <w:tc>
          <w:tcPr>
            <w:tcW w:w="963"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Renvoi (%)</w:t>
            </w:r>
          </w:p>
        </w:tc>
      </w:tr>
      <w:tr>
        <w:trPr>
          <w:cantSplit w:val="true"/>
        </w:trPr>
        <w:tc>
          <w:tcPr>
            <w:tcW w:w="13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Adéta</w:t>
            </w:r>
          </w:p>
        </w:tc>
        <w:tc>
          <w:tcPr>
            <w:tcW w:w="90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314</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307</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245</w:t>
            </w:r>
          </w:p>
        </w:tc>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79,80</w:t>
            </w:r>
          </w:p>
        </w:tc>
        <w:tc>
          <w:tcPr>
            <w:tcW w:w="12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62</w:t>
            </w:r>
          </w:p>
        </w:tc>
        <w:tc>
          <w:tcPr>
            <w:tcW w:w="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20,20</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6</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1,95</w:t>
            </w:r>
          </w:p>
        </w:tc>
      </w:tr>
      <w:tr>
        <w:trPr>
          <w:cantSplit w:val="true"/>
        </w:trPr>
        <w:tc>
          <w:tcPr>
            <w:tcW w:w="13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Mango</w:t>
            </w:r>
          </w:p>
        </w:tc>
        <w:tc>
          <w:tcPr>
            <w:tcW w:w="90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263</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263</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228</w:t>
            </w:r>
          </w:p>
        </w:tc>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86,69</w:t>
            </w:r>
          </w:p>
        </w:tc>
        <w:tc>
          <w:tcPr>
            <w:tcW w:w="12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33</w:t>
            </w:r>
          </w:p>
        </w:tc>
        <w:tc>
          <w:tcPr>
            <w:tcW w:w="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12,55</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0,76</w:t>
            </w:r>
          </w:p>
        </w:tc>
      </w:tr>
      <w:tr>
        <w:trPr>
          <w:cantSplit w:val="true"/>
        </w:trPr>
        <w:tc>
          <w:tcPr>
            <w:tcW w:w="130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left"/>
              <w:rPr/>
            </w:pPr>
            <w:r>
              <w:rPr>
                <w:rFonts w:eastAsia="Times New Roman" w:cs="Times New Roman"/>
                <w:b/>
                <w:bCs/>
                <w:sz w:val="22"/>
                <w:szCs w:val="22"/>
              </w:rPr>
              <w:t>Total préscolaire</w:t>
            </w:r>
          </w:p>
        </w:tc>
        <w:tc>
          <w:tcPr>
            <w:tcW w:w="90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577</w:t>
            </w:r>
          </w:p>
        </w:tc>
        <w:tc>
          <w:tcPr>
            <w:tcW w:w="96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570</w:t>
            </w:r>
          </w:p>
        </w:tc>
        <w:tc>
          <w:tcPr>
            <w:tcW w:w="8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473</w:t>
            </w:r>
          </w:p>
        </w:tc>
        <w:tc>
          <w:tcPr>
            <w:tcW w:w="102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82,98</w:t>
            </w:r>
          </w:p>
        </w:tc>
        <w:tc>
          <w:tcPr>
            <w:tcW w:w="124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95</w:t>
            </w:r>
          </w:p>
        </w:tc>
        <w:tc>
          <w:tcPr>
            <w:tcW w:w="96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16,67</w:t>
            </w:r>
          </w:p>
        </w:tc>
        <w:tc>
          <w:tcPr>
            <w:tcW w:w="8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8</w:t>
            </w:r>
          </w:p>
        </w:tc>
        <w:tc>
          <w:tcPr>
            <w:tcW w:w="96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1,40</w:t>
            </w:r>
          </w:p>
        </w:tc>
      </w:tr>
      <w:tr>
        <w:trPr>
          <w:cantSplit w:val="true"/>
        </w:trPr>
        <w:tc>
          <w:tcPr>
            <w:tcW w:w="13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Dapaong</w:t>
            </w:r>
          </w:p>
        </w:tc>
        <w:tc>
          <w:tcPr>
            <w:tcW w:w="90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273</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243</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163</w:t>
            </w:r>
          </w:p>
        </w:tc>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67,08</w:t>
            </w:r>
          </w:p>
        </w:tc>
        <w:tc>
          <w:tcPr>
            <w:tcW w:w="12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80</w:t>
            </w:r>
          </w:p>
        </w:tc>
        <w:tc>
          <w:tcPr>
            <w:tcW w:w="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32,92</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w:t>
            </w:r>
          </w:p>
        </w:tc>
      </w:tr>
      <w:tr>
        <w:trPr>
          <w:cantSplit w:val="true"/>
        </w:trPr>
        <w:tc>
          <w:tcPr>
            <w:tcW w:w="13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Niamtougou</w:t>
            </w:r>
          </w:p>
        </w:tc>
        <w:tc>
          <w:tcPr>
            <w:tcW w:w="90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261</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253</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179</w:t>
            </w:r>
          </w:p>
        </w:tc>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70,75</w:t>
            </w:r>
          </w:p>
        </w:tc>
        <w:tc>
          <w:tcPr>
            <w:tcW w:w="12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71</w:t>
            </w:r>
          </w:p>
        </w:tc>
        <w:tc>
          <w:tcPr>
            <w:tcW w:w="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28,06</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1,19</w:t>
            </w:r>
          </w:p>
        </w:tc>
      </w:tr>
      <w:tr>
        <w:trPr>
          <w:cantSplit w:val="true"/>
        </w:trPr>
        <w:tc>
          <w:tcPr>
            <w:tcW w:w="13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Notsè</w:t>
            </w:r>
          </w:p>
        </w:tc>
        <w:tc>
          <w:tcPr>
            <w:tcW w:w="90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294</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294</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229</w:t>
            </w:r>
          </w:p>
        </w:tc>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77,89</w:t>
            </w:r>
          </w:p>
        </w:tc>
        <w:tc>
          <w:tcPr>
            <w:tcW w:w="12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65</w:t>
            </w:r>
          </w:p>
        </w:tc>
        <w:tc>
          <w:tcPr>
            <w:tcW w:w="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22,11</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0</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0,00</w:t>
            </w:r>
          </w:p>
        </w:tc>
      </w:tr>
      <w:tr>
        <w:trPr>
          <w:cantSplit w:val="true"/>
        </w:trPr>
        <w:tc>
          <w:tcPr>
            <w:tcW w:w="13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Sotouboua</w:t>
            </w:r>
          </w:p>
        </w:tc>
        <w:tc>
          <w:tcPr>
            <w:tcW w:w="90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254</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252</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174</w:t>
            </w:r>
          </w:p>
        </w:tc>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69,05</w:t>
            </w:r>
          </w:p>
        </w:tc>
        <w:tc>
          <w:tcPr>
            <w:tcW w:w="12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73</w:t>
            </w:r>
          </w:p>
        </w:tc>
        <w:tc>
          <w:tcPr>
            <w:tcW w:w="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28,97</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2,78</w:t>
            </w:r>
          </w:p>
        </w:tc>
      </w:tr>
      <w:tr>
        <w:trPr>
          <w:cantSplit w:val="true"/>
        </w:trPr>
        <w:tc>
          <w:tcPr>
            <w:tcW w:w="13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Tabligbo</w:t>
            </w:r>
          </w:p>
        </w:tc>
        <w:tc>
          <w:tcPr>
            <w:tcW w:w="90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262</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238</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168</w:t>
            </w:r>
          </w:p>
        </w:tc>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70,59</w:t>
            </w:r>
          </w:p>
        </w:tc>
        <w:tc>
          <w:tcPr>
            <w:tcW w:w="124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67</w:t>
            </w:r>
          </w:p>
        </w:tc>
        <w:tc>
          <w:tcPr>
            <w:tcW w:w="96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28,15</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1,26</w:t>
            </w:r>
          </w:p>
        </w:tc>
      </w:tr>
      <w:tr>
        <w:trPr>
          <w:cantSplit w:val="true"/>
        </w:trPr>
        <w:tc>
          <w:tcPr>
            <w:tcW w:w="130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left"/>
              <w:rPr/>
            </w:pPr>
            <w:r>
              <w:rPr>
                <w:rFonts w:eastAsia="Times New Roman" w:cs="Times New Roman"/>
                <w:b/>
                <w:bCs/>
                <w:sz w:val="22"/>
                <w:szCs w:val="22"/>
              </w:rPr>
              <w:t>Total primaire</w:t>
            </w:r>
          </w:p>
        </w:tc>
        <w:tc>
          <w:tcPr>
            <w:tcW w:w="90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1 344</w:t>
            </w:r>
          </w:p>
        </w:tc>
        <w:tc>
          <w:tcPr>
            <w:tcW w:w="96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1 280</w:t>
            </w:r>
          </w:p>
        </w:tc>
        <w:tc>
          <w:tcPr>
            <w:tcW w:w="8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913</w:t>
            </w:r>
          </w:p>
        </w:tc>
        <w:tc>
          <w:tcPr>
            <w:tcW w:w="102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71,33</w:t>
            </w:r>
          </w:p>
        </w:tc>
        <w:tc>
          <w:tcPr>
            <w:tcW w:w="124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356</w:t>
            </w:r>
          </w:p>
        </w:tc>
        <w:tc>
          <w:tcPr>
            <w:tcW w:w="96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27,81</w:t>
            </w:r>
          </w:p>
        </w:tc>
        <w:tc>
          <w:tcPr>
            <w:tcW w:w="8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13</w:t>
            </w:r>
          </w:p>
        </w:tc>
        <w:tc>
          <w:tcPr>
            <w:tcW w:w="96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1,02</w:t>
            </w:r>
          </w:p>
        </w:tc>
      </w:tr>
      <w:tr>
        <w:trPr>
          <w:cantSplit w:val="true"/>
        </w:trPr>
        <w:tc>
          <w:tcPr>
            <w:tcW w:w="130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left"/>
              <w:rPr/>
            </w:pPr>
            <w:r>
              <w:rPr>
                <w:rFonts w:eastAsia="Times New Roman" w:cs="Times New Roman"/>
                <w:b/>
                <w:bCs/>
                <w:sz w:val="22"/>
                <w:szCs w:val="22"/>
              </w:rPr>
              <w:t>Ensemble</w:t>
            </w:r>
          </w:p>
        </w:tc>
        <w:tc>
          <w:tcPr>
            <w:tcW w:w="90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1 921</w:t>
            </w:r>
          </w:p>
        </w:tc>
        <w:tc>
          <w:tcPr>
            <w:tcW w:w="96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1 850</w:t>
            </w:r>
          </w:p>
        </w:tc>
        <w:tc>
          <w:tcPr>
            <w:tcW w:w="8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1 386</w:t>
            </w:r>
          </w:p>
        </w:tc>
        <w:tc>
          <w:tcPr>
            <w:tcW w:w="102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74,92</w:t>
            </w:r>
          </w:p>
        </w:tc>
        <w:tc>
          <w:tcPr>
            <w:tcW w:w="124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451</w:t>
            </w:r>
          </w:p>
        </w:tc>
        <w:tc>
          <w:tcPr>
            <w:tcW w:w="965"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24,38</w:t>
            </w:r>
          </w:p>
        </w:tc>
        <w:tc>
          <w:tcPr>
            <w:tcW w:w="8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21</w:t>
            </w:r>
          </w:p>
        </w:tc>
        <w:tc>
          <w:tcPr>
            <w:tcW w:w="96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1,14</w:t>
            </w:r>
          </w:p>
        </w:tc>
      </w:tr>
    </w:tbl>
    <w:p>
      <w:pPr>
        <w:pStyle w:val="Normal"/>
        <w:spacing w:lineRule="auto" w:line="240" w:before="60" w:after="0"/>
        <w:jc w:val="left"/>
        <w:rPr/>
      </w:pPr>
      <w:r>
        <w:rPr>
          <w:rFonts w:eastAsia="Times New Roman" w:cs="Times New Roman"/>
          <w:sz w:val="20"/>
          <w:szCs w:val="20"/>
        </w:rPr>
        <w:t>Note. ¹ EPE ayant validé les 35 crédits du semestre ; ² EPE ayant validé entre 25 et 34 crédits ; ³ EPE ayant validé moins de 25 crédits ; Ratt. = rattrapage. Le détail par sexe figure en annexe 4.</w:t>
      </w:r>
    </w:p>
    <w:p>
      <w:pPr>
        <w:pStyle w:val="Normal"/>
        <w:spacing w:lineRule="auto" w:line="240" w:before="60" w:after="240"/>
        <w:jc w:val="left"/>
        <w:rPr/>
      </w:pPr>
      <w:r>
        <w:rPr>
          <w:rFonts w:eastAsia="Times New Roman" w:cs="Times New Roman"/>
          <w:i/>
          <w:iCs/>
          <w:sz w:val="22"/>
          <w:szCs w:val="22"/>
        </w:rPr>
        <w:t>Source : Direction des programmes et innovations pédagogiques (DPIP), coordination des ENFPE (2026).</w:t>
      </w:r>
    </w:p>
    <w:p>
      <w:pPr>
        <w:pStyle w:val="Normal"/>
        <w:spacing w:lineRule="auto" w:line="360" w:before="0" w:after="120"/>
        <w:ind w:firstLine="709"/>
        <w:jc w:val="both"/>
        <w:rPr/>
      </w:pPr>
      <w:r>
        <w:rPr>
          <w:rFonts w:eastAsia="Times New Roman" w:cs="Times New Roman"/>
        </w:rPr>
        <w:t>La présentation des résultats globaux a pris en compte la comparaison entre ENFPE de même option ainsi que les taux de réussite par UE, mis en relation avec les séries du baccalauréat deuxième partie des EPE. Un débat a ensuite permis d’apporter des éclaircissements aux préoccupations soulevées. On relève que l’ENFPE de Notsè affiche le meilleur taux de réussite de l’option primaire (77,89 %) et ne compte aucun renvoi.</w:t>
      </w:r>
    </w:p>
    <w:p>
      <w:pPr>
        <w:pStyle w:val="Normal"/>
        <w:spacing w:lineRule="auto" w:line="360" w:before="0" w:after="120"/>
        <w:ind w:firstLine="709"/>
        <w:jc w:val="both"/>
        <w:rPr/>
      </w:pPr>
      <w:r>
        <w:rPr>
          <w:rFonts w:eastAsia="Times New Roman" w:cs="Times New Roman"/>
          <w:b/>
          <w:bCs/>
        </w:rPr>
        <w:t>Analyse des résultats.</w:t>
      </w:r>
      <w:r>
        <w:rPr>
          <w:rFonts w:eastAsia="Times New Roman" w:cs="Times New Roman"/>
        </w:rPr>
        <w:t xml:space="preserve"> Les DACE des sept ENFPE ont ensuite passé au crible les résultats du stage de pratique accompagnée 1 (SPA1) et ceux des unités d’enseignement, afin d’identifier les problèmes, leurs causes probables et les actions de remédiation à mener. À l’issue des débats, il a été proposé, pour le SPA1, d’ajouter au cahier des charges des encadrants un objectif relatif à leur participation à l’entretien-conseil, et de fixer au personnel d’encadrement un délai de retour des formulaires tenant lieu de rapport. S’agissant de l’analyse notionnelle, il a été recommandé aux formateurs de bien cerner les problèmes posés afin de conduire efficacement les activités de remédiation.</w:t>
      </w:r>
    </w:p>
    <w:p>
      <w:pPr>
        <w:pStyle w:val="Normal"/>
        <w:spacing w:lineRule="auto" w:line="360" w:before="0" w:after="120"/>
        <w:ind w:firstLine="709"/>
        <w:jc w:val="both"/>
        <w:rPr/>
      </w:pPr>
      <w:r>
        <w:rPr>
          <w:rFonts w:eastAsia="Times New Roman" w:cs="Times New Roman"/>
        </w:rPr>
        <w:t>L’atelier a reçu la visite du directeur de l’INSE, M. AKAKPO-NUMADO Séna Yawo, secrétaire permanent du Plan sectoriel de l’éducation (PSE). Celui-ci a rappelé que la délibération constitue un outil d’évaluation au service de l’amélioration continue de la qualité de la formation. Il a invité les participants à identifier avec précision les difficultés mises en évidence par les analyses, afin de faciliter la mise en œuvre de mesures de remédiation appropriées, et a souligné que l’amélioration de la qualité repose sur la rigueur et le sérieux dans l’exécution du travail. Il a enfin exhorté les nouveaux professeurs à assurer, dans leur ENFPE, une restitution fidèle et structurée des travaux de la délibération.</w:t>
      </w:r>
    </w:p>
    <w:p>
      <w:pPr>
        <w:pStyle w:val="Normal"/>
        <w:spacing w:lineRule="auto" w:line="360" w:before="0" w:after="120"/>
        <w:jc w:val="both"/>
        <w:rPr/>
      </w:pPr>
      <w:r>
        <w:rPr>
          <w:rFonts w:eastAsia="Times New Roman" w:cs="Times New Roman"/>
          <w:b/>
          <w:bCs/>
        </w:rPr>
        <w:t>Recommandations, remédiation et chronogramme.</w:t>
      </w:r>
      <w:r>
        <w:rPr>
          <w:rFonts w:eastAsia="Times New Roman" w:cs="Times New Roman"/>
        </w:rPr>
        <w:t xml:space="preserve"> Au terme des travaux, trois commissions ont été constituées : la commission des recommandations ; la commission chargée de la programmation des activités de remédiation et de rattrapage ainsi que de la réflexion sur un mécanisme de rattrapage efficace ; la commission de révision du chronogramme juxtaposé des promotions 3 et 4. Les recommandations retenues sont les suivantes :</w:t>
      </w:r>
    </w:p>
    <w:p>
      <w:pPr>
        <w:pStyle w:val="ListParagraph"/>
        <w:numPr>
          <w:ilvl w:val="0"/>
          <w:numId w:val="84"/>
        </w:numPr>
        <w:spacing w:lineRule="auto" w:line="360" w:before="0" w:after="40"/>
        <w:jc w:val="both"/>
        <w:rPr/>
      </w:pPr>
      <w:r>
        <w:rPr>
          <w:rFonts w:eastAsia="Times New Roman" w:cs="Times New Roman"/>
        </w:rPr>
        <w:t>respecter la durée de chaque semestre afin de permettre la mise en œuvre effective des activités programmées ;</w:t>
      </w:r>
    </w:p>
    <w:p>
      <w:pPr>
        <w:pStyle w:val="ListParagraph"/>
        <w:numPr>
          <w:ilvl w:val="0"/>
          <w:numId w:val="85"/>
        </w:numPr>
        <w:spacing w:lineRule="auto" w:line="360" w:before="0" w:after="40"/>
        <w:jc w:val="both"/>
        <w:rPr/>
      </w:pPr>
      <w:r>
        <w:rPr>
          <w:rFonts w:eastAsia="Times New Roman" w:cs="Times New Roman"/>
        </w:rPr>
        <w:t>mettre l’UE d’anglais à la disposition des ENFPE et en augmenter le volume horaire au primaire ;</w:t>
      </w:r>
    </w:p>
    <w:p>
      <w:pPr>
        <w:pStyle w:val="ListParagraph"/>
        <w:numPr>
          <w:ilvl w:val="0"/>
          <w:numId w:val="86"/>
        </w:numPr>
        <w:spacing w:lineRule="auto" w:line="360" w:before="0" w:after="40"/>
        <w:jc w:val="both"/>
        <w:rPr/>
      </w:pPr>
      <w:r>
        <w:rPr>
          <w:rFonts w:eastAsia="Times New Roman" w:cs="Times New Roman"/>
        </w:rPr>
        <w:t>procéder à la relecture et à la mise à jour de l’ensemble des UE ;</w:t>
      </w:r>
    </w:p>
    <w:p>
      <w:pPr>
        <w:pStyle w:val="ListParagraph"/>
        <w:numPr>
          <w:ilvl w:val="0"/>
          <w:numId w:val="87"/>
        </w:numPr>
        <w:spacing w:lineRule="auto" w:line="360" w:before="0" w:after="120"/>
        <w:jc w:val="both"/>
        <w:rPr/>
      </w:pPr>
      <w:r>
        <w:rPr>
          <w:rFonts w:eastAsia="Times New Roman" w:cs="Times New Roman"/>
        </w:rPr>
        <w:t>programmer l’UE d’EPS (gymnastique) au semestre 1 pour le préscolaire, avant le SPA1, et prévoir un crédit d’EPS au semestre 1 pour le primaire.</w:t>
      </w:r>
    </w:p>
    <w:p>
      <w:pPr>
        <w:pStyle w:val="Normal"/>
        <w:spacing w:lineRule="auto" w:line="360" w:before="0" w:after="120"/>
        <w:ind w:firstLine="709"/>
        <w:jc w:val="both"/>
        <w:rPr/>
      </w:pPr>
      <w:r>
        <w:rPr>
          <w:rFonts w:eastAsia="Times New Roman" w:cs="Times New Roman"/>
        </w:rPr>
        <w:t>Après la restitution des travaux des commissions, le DPIP a procédé à la remise officielle, aux ENFPE de l’option primaire, de 250 manuels de français, de 250 manuels de mathématiques et d’autant de guides correspondants, et a invité les bénéficiaires à en faire bon usage.</w:t>
      </w:r>
    </w:p>
    <w:p>
      <w:pPr>
        <w:pStyle w:val="Normal"/>
        <w:spacing w:lineRule="auto" w:line="360" w:before="0" w:after="120"/>
        <w:ind w:firstLine="709"/>
        <w:jc w:val="both"/>
        <w:rPr/>
      </w:pPr>
      <w:r>
        <w:rPr>
          <w:rFonts w:eastAsia="Times New Roman" w:cs="Times New Roman"/>
          <w:b/>
          <w:bCs/>
        </w:rPr>
        <w:t>Cérémonie de clôture.</w:t>
      </w:r>
      <w:r>
        <w:rPr>
          <w:rFonts w:eastAsia="Times New Roman" w:cs="Times New Roman"/>
        </w:rPr>
        <w:t xml:space="preserve"> Le rapport de la session, présenté par le premier rapporteur, M. BEKOFFI Kodjo, a été adopté par acclamation après quelques amendements consécutifs aux interventions du DPIP et du DEPP. Le DPIP a rendu un hommage mérité au président de séance pour la conduite des travaux avec tact et doigté, a remercié les participants pour leur disponibilité et a invité les directeurs à veiller sans complaisance à la présence effective des EPE dans les centres. Enfin, le DEPP a, une fois encore, remercié les directeurs et les formateurs pour les efforts consentis, avant de prononcer le mot de clôture au nom du ministre de l’Éducation nationale.</w:t>
      </w:r>
    </w:p>
    <w:p>
      <w:pPr>
        <w:pStyle w:val="Heading3"/>
        <w:rPr/>
      </w:pPr>
      <w:bookmarkStart w:id="14" w:name="__RefHeading___Toc49512_3411847120"/>
      <w:bookmarkEnd w:id="14"/>
      <w:r>
        <w:rPr>
          <w:rFonts w:eastAsia="Times New Roman" w:cs="Times New Roman" w:ascii="Times New Roman" w:hAnsi="Times New Roman"/>
        </w:rPr>
        <w:t>1.2.8. Réunions avec le personnel administratif et les formateurs</w:t>
      </w:r>
    </w:p>
    <w:p>
      <w:pPr>
        <w:pStyle w:val="Normal"/>
        <w:spacing w:lineRule="auto" w:line="360" w:before="0" w:after="120"/>
        <w:ind w:firstLine="709"/>
        <w:jc w:val="both"/>
        <w:rPr/>
      </w:pPr>
      <w:r>
        <w:rPr>
          <w:rFonts w:eastAsia="Times New Roman" w:cs="Times New Roman"/>
        </w:rPr>
        <w:t>Au cours du stage, nous avons pris part à plusieurs réunions du personnel administratif et enseignant.</w:t>
      </w:r>
    </w:p>
    <w:p>
      <w:pPr>
        <w:pStyle w:val="Normal"/>
        <w:spacing w:lineRule="auto" w:line="360" w:before="0" w:after="120"/>
        <w:ind w:firstLine="709"/>
        <w:jc w:val="both"/>
        <w:rPr/>
      </w:pPr>
      <w:r>
        <w:rPr>
          <w:rFonts w:eastAsia="Times New Roman" w:cs="Times New Roman"/>
          <w:b/>
          <w:bCs/>
        </w:rPr>
        <w:t>Réunion du 30 mars 2026.</w:t>
      </w:r>
      <w:r>
        <w:rPr>
          <w:rFonts w:eastAsia="Times New Roman" w:cs="Times New Roman"/>
        </w:rPr>
        <w:t xml:space="preserve"> Consacrée au compte rendu de la délibération de l’examen de fin de semestre 1 de la promotion 4 (2025-2027), elle comportait deux points : le compte rendu de la délibération et les divers. Retenu par des obligations administratives, le directeur, M. ADANGLO Kwami, a ouvert la séance par les divers avant de confier la suite des travaux au DACE, M. EZA Agbéko Kossi. Au titre des divers, il a informé les stagiaires que des démarches étaient en cours pour répondre à leurs besoins d’hébergement dans les villas de l’ENFPE et leur a présenté le mode de fonctionnement de l’établissement. Une commission de collecte de fonds pour la célébration de la fête du Travail a en outre été mise en place, avec la participation active des stagiaires.</w:t>
      </w:r>
    </w:p>
    <w:p>
      <w:pPr>
        <w:pStyle w:val="Normal"/>
        <w:spacing w:lineRule="auto" w:line="360" w:before="0" w:after="120"/>
        <w:ind w:firstLine="709"/>
        <w:jc w:val="both"/>
        <w:rPr/>
      </w:pPr>
      <w:r>
        <w:rPr>
          <w:rFonts w:eastAsia="Times New Roman" w:cs="Times New Roman"/>
        </w:rPr>
        <w:t>Au titre du compte rendu, l’administration a présenté les résultats détaillés de chaque ENFPE, l’ENFPE de Notsè se classant en tête pour le taux de réussite. Les participants ont ensuite pris connaissance des critiques et analyses formulées par la hiérarchie, notamment par le DRH, M. AKPAWU Donudénu. Celui-ci a invité l’ensemble des acteurs des ENFPE à faire preuve de rigueur et de discipline pour consolider l’acquisition des compétences des EPE, notamment en multipliant les évaluations, et a rappelé qu’un EPE totalisant 35 heures d’absence serait radié du centre de formation, quelles que soient ses compétences. Un débat a clôturé la séance : de nombreuses questions ont été posées, et plusieurs constats et propositions ont été formulés en vue d’améliorer le travail.</w:t>
      </w:r>
    </w:p>
    <w:p>
      <w:pPr>
        <w:pStyle w:val="Normal"/>
        <w:spacing w:lineRule="auto" w:line="360" w:before="0" w:after="120"/>
        <w:jc w:val="both"/>
        <w:rPr/>
      </w:pPr>
      <w:r>
        <w:rPr>
          <w:rFonts w:eastAsia="Times New Roman" w:cs="Times New Roman"/>
          <w:b/>
          <w:bCs/>
        </w:rPr>
        <w:t>Autres réunions et entretiens.</w:t>
      </w:r>
      <w:r>
        <w:rPr>
          <w:rFonts w:eastAsia="Times New Roman" w:cs="Times New Roman"/>
        </w:rPr>
        <w:t xml:space="preserve"> Nous avons également participé :</w:t>
      </w:r>
    </w:p>
    <w:p>
      <w:pPr>
        <w:pStyle w:val="ListParagraph"/>
        <w:numPr>
          <w:ilvl w:val="0"/>
          <w:numId w:val="88"/>
        </w:numPr>
        <w:spacing w:lineRule="auto" w:line="360" w:before="0" w:after="40"/>
        <w:jc w:val="both"/>
        <w:rPr/>
      </w:pPr>
      <w:r>
        <w:rPr>
          <w:rFonts w:eastAsia="Times New Roman" w:cs="Times New Roman"/>
        </w:rPr>
        <w:t>à la réunion du 9 avril 2026, dans la salle audiovisuelle, consacrée à la répartition des formateurs par champ et à l’attribution des groupes-classes ;</w:t>
      </w:r>
    </w:p>
    <w:p>
      <w:pPr>
        <w:pStyle w:val="ListParagraph"/>
        <w:numPr>
          <w:ilvl w:val="0"/>
          <w:numId w:val="89"/>
        </w:numPr>
        <w:spacing w:lineRule="auto" w:line="360" w:before="0" w:after="40"/>
        <w:jc w:val="both"/>
        <w:rPr/>
      </w:pPr>
      <w:r>
        <w:rPr>
          <w:rFonts w:eastAsia="Times New Roman" w:cs="Times New Roman"/>
        </w:rPr>
        <w:t>à la présentation de l’ensemble du personnel et des stagiaires, ainsi qu’à la planification des activités pédagogiques ;</w:t>
      </w:r>
    </w:p>
    <w:p>
      <w:pPr>
        <w:pStyle w:val="ListParagraph"/>
        <w:numPr>
          <w:ilvl w:val="0"/>
          <w:numId w:val="90"/>
        </w:numPr>
        <w:spacing w:lineRule="auto" w:line="360" w:before="0" w:after="40"/>
        <w:jc w:val="both"/>
        <w:rPr/>
      </w:pPr>
      <w:r>
        <w:rPr>
          <w:rFonts w:eastAsia="Times New Roman" w:cs="Times New Roman"/>
        </w:rPr>
        <w:t>à la présentation des résultats globaux et par UE du semestre 4 et au compte rendu de la délibération des résultats de la promotion 2024-2026, tenue à Notsè ;</w:t>
      </w:r>
    </w:p>
    <w:p>
      <w:pPr>
        <w:pStyle w:val="ListParagraph"/>
        <w:numPr>
          <w:ilvl w:val="0"/>
          <w:numId w:val="91"/>
        </w:numPr>
        <w:spacing w:lineRule="auto" w:line="360" w:before="0" w:after="120"/>
        <w:jc w:val="both"/>
        <w:rPr/>
      </w:pPr>
      <w:r>
        <w:rPr>
          <w:rFonts w:eastAsia="Times New Roman" w:cs="Times New Roman"/>
        </w:rPr>
        <w:t>à un entretien avec le DACE sur les séances d’intégration, qui a porté sur l’importance de l’intégration, l’appropriation de la nouvelle codification des ENFPE, la structure d’un champ disciplinaire et la clarification de notions telles que le stage d’imprégnation, le stage de pratique accompagnée, le référentiel métier et le référentiel de compétences.</w:t>
      </w:r>
    </w:p>
    <w:p>
      <w:pPr>
        <w:pStyle w:val="Normal"/>
        <w:spacing w:lineRule="auto" w:line="360" w:before="0" w:after="120"/>
        <w:ind w:firstLine="709"/>
        <w:jc w:val="both"/>
        <w:rPr/>
      </w:pPr>
      <w:r>
        <w:rPr>
          <w:rFonts w:eastAsia="Times New Roman" w:cs="Times New Roman"/>
        </w:rPr>
        <w:t>Lors de ces réunions, nous avons été associés à la rédaction des comptes rendus et aux différentes commissions d’organisation des activités pédagogiques, ce qui nous a permis de nous familiariser avec l’ensemble des acteurs de l’ENFPE de Notsè et de prendre part à la vie de l’établissement.</w:t>
      </w:r>
    </w:p>
    <w:p>
      <w:pPr>
        <w:pStyle w:val="Heading3"/>
        <w:rPr/>
      </w:pPr>
      <w:bookmarkStart w:id="15" w:name="__RefHeading___Toc49514_3411847120"/>
      <w:bookmarkEnd w:id="15"/>
      <w:r>
        <w:rPr>
          <w:rFonts w:eastAsia="Times New Roman" w:cs="Times New Roman" w:ascii="Times New Roman" w:hAnsi="Times New Roman"/>
        </w:rPr>
        <w:t>1.2.9. Participation à la remédiation</w:t>
      </w:r>
    </w:p>
    <w:p>
      <w:pPr>
        <w:pStyle w:val="Normal"/>
        <w:spacing w:lineRule="auto" w:line="360" w:before="0" w:after="120"/>
        <w:ind w:firstLine="709"/>
        <w:jc w:val="both"/>
        <w:rPr/>
      </w:pPr>
      <w:r>
        <w:rPr>
          <w:rFonts w:eastAsia="Times New Roman" w:cs="Times New Roman"/>
        </w:rPr>
        <w:t>À l’issue des examens, une remédiation est organisée au profit des EPE n’ayant pas obtenu une moyenne de 12/20 dans une UE. Elle vise à réactiver les acquis et à relever le niveau des apprenants, qui sont ensuite soumis à une nouvelle évaluation. C’est dans ce cadre qu’après la proclamation des résultats, nous avons assisté aux séances de remédiation organisées dans plusieurs champs, dont les sciences humaines (SH), au profit des EPE n’ayant pas capitalisé les 35 crédits du semestre. Au cours de ces séances, les formateurs ont repris les épreuves de l’examen et traité d’autres questions, après avoir recueilli les préoccupations des EPE sur la compréhension des épreuves et de certaines parties du cours ; ils y ont apporté des réponses satisfaisantes.</w:t>
      </w:r>
    </w:p>
    <w:p>
      <w:pPr>
        <w:pStyle w:val="Heading3"/>
        <w:rPr/>
      </w:pPr>
      <w:bookmarkStart w:id="16" w:name="__RefHeading___Toc49516_3411847120"/>
      <w:bookmarkEnd w:id="16"/>
      <w:r>
        <w:rPr>
          <w:rFonts w:eastAsia="Times New Roman" w:cs="Times New Roman" w:ascii="Times New Roman" w:hAnsi="Times New Roman"/>
        </w:rPr>
        <w:t>1.2.10. Participation à l’évaluation des EPE</w:t>
      </w:r>
    </w:p>
    <w:p>
      <w:pPr>
        <w:pStyle w:val="Normal"/>
        <w:spacing w:lineRule="auto" w:line="360" w:before="0" w:after="120"/>
        <w:ind w:firstLine="709"/>
        <w:jc w:val="both"/>
        <w:rPr/>
      </w:pPr>
      <w:r>
        <w:rPr>
          <w:rFonts w:eastAsia="Times New Roman" w:cs="Times New Roman"/>
        </w:rPr>
        <w:t>Nous avons pris part à l’organisation de l’examen de rattrapage tenu après la proclamation des résultats, en participant activement à la surveillance et à la correction des copies de notre champ disciplinaire, les sciences humaines. L’examen s’est déroulé sans incident.</w:t>
      </w:r>
    </w:p>
    <w:p>
      <w:pPr>
        <w:pStyle w:val="Heading2"/>
        <w:rPr/>
      </w:pPr>
      <w:bookmarkStart w:id="17" w:name="__RefHeading___Toc49426_3411847120"/>
      <w:bookmarkEnd w:id="17"/>
      <w:r>
        <w:rPr>
          <w:rFonts w:eastAsia="Times New Roman" w:cs="Times New Roman" w:ascii="Times New Roman" w:hAnsi="Times New Roman"/>
        </w:rPr>
        <w:t>1.3. Acquis professionnels : bonnes pratiques et expériences à capitaliser</w:t>
      </w:r>
    </w:p>
    <w:p>
      <w:pPr>
        <w:pStyle w:val="Heading3"/>
        <w:rPr/>
      </w:pPr>
      <w:bookmarkStart w:id="18" w:name="__RefHeading___Toc49518_3411847120"/>
      <w:bookmarkEnd w:id="18"/>
      <w:r>
        <w:rPr>
          <w:rFonts w:eastAsia="Times New Roman" w:cs="Times New Roman" w:ascii="Times New Roman" w:hAnsi="Times New Roman"/>
        </w:rPr>
        <w:t>1.3.1. Bonnes pratiques et expériences à capitaliser</w:t>
      </w:r>
    </w:p>
    <w:p>
      <w:pPr>
        <w:pStyle w:val="Normal"/>
        <w:spacing w:lineRule="auto" w:line="360" w:before="0" w:after="120"/>
        <w:jc w:val="both"/>
        <w:rPr/>
      </w:pPr>
      <w:r>
        <w:rPr>
          <w:rFonts w:eastAsia="Times New Roman" w:cs="Times New Roman"/>
        </w:rPr>
        <w:t>Ce stage nous a permis de capitaliser les acquis suivants :</w:t>
      </w:r>
    </w:p>
    <w:p>
      <w:pPr>
        <w:pStyle w:val="ListParagraph"/>
        <w:numPr>
          <w:ilvl w:val="0"/>
          <w:numId w:val="92"/>
        </w:numPr>
        <w:spacing w:lineRule="auto" w:line="360" w:before="0" w:after="40"/>
        <w:jc w:val="both"/>
        <w:rPr/>
      </w:pPr>
      <w:r>
        <w:rPr>
          <w:rFonts w:eastAsia="Times New Roman" w:cs="Times New Roman"/>
        </w:rPr>
        <w:t>l’appropriation de la nouvelle codification des unités d’enseignement ;</w:t>
      </w:r>
    </w:p>
    <w:p>
      <w:pPr>
        <w:pStyle w:val="ListParagraph"/>
        <w:numPr>
          <w:ilvl w:val="0"/>
          <w:numId w:val="93"/>
        </w:numPr>
        <w:spacing w:lineRule="auto" w:line="360" w:before="0" w:after="40"/>
        <w:jc w:val="both"/>
        <w:rPr/>
      </w:pPr>
      <w:r>
        <w:rPr>
          <w:rFonts w:eastAsia="Times New Roman" w:cs="Times New Roman"/>
        </w:rPr>
        <w:t>la découverte du fonctionnement administratif et pédagogique d’une ENFPE ;</w:t>
      </w:r>
    </w:p>
    <w:p>
      <w:pPr>
        <w:pStyle w:val="ListParagraph"/>
        <w:numPr>
          <w:ilvl w:val="0"/>
          <w:numId w:val="94"/>
        </w:numPr>
        <w:spacing w:lineRule="auto" w:line="360" w:before="0" w:after="40"/>
        <w:jc w:val="both"/>
        <w:rPr/>
      </w:pPr>
      <w:r>
        <w:rPr>
          <w:rFonts w:eastAsia="Times New Roman" w:cs="Times New Roman"/>
        </w:rPr>
        <w:t>la participation active à la correction des copies de l’examen du semestre 1 de la promotion 4 ;</w:t>
      </w:r>
    </w:p>
    <w:p>
      <w:pPr>
        <w:pStyle w:val="ListParagraph"/>
        <w:numPr>
          <w:ilvl w:val="0"/>
          <w:numId w:val="95"/>
        </w:numPr>
        <w:spacing w:lineRule="auto" w:line="360" w:before="0" w:after="40"/>
        <w:jc w:val="both"/>
        <w:rPr/>
      </w:pPr>
      <w:r>
        <w:rPr>
          <w:rFonts w:eastAsia="Times New Roman" w:cs="Times New Roman"/>
        </w:rPr>
        <w:t>la prise de conscience, à travers l’organisation de la remédiation, de l’importance d’un suivi pédagogique individualisé ;</w:t>
      </w:r>
    </w:p>
    <w:p>
      <w:pPr>
        <w:pStyle w:val="ListParagraph"/>
        <w:numPr>
          <w:ilvl w:val="0"/>
          <w:numId w:val="96"/>
        </w:numPr>
        <w:spacing w:lineRule="auto" w:line="360" w:before="0" w:after="120"/>
        <w:jc w:val="both"/>
        <w:rPr/>
      </w:pPr>
      <w:r>
        <w:rPr>
          <w:rFonts w:eastAsia="Times New Roman" w:cs="Times New Roman"/>
        </w:rPr>
        <w:t>la maîtrise des outils de planification pédagogique, grâce aux exercices pratiques d’élaboration de préparations d’UE.</w:t>
      </w:r>
    </w:p>
    <w:p>
      <w:pPr>
        <w:pStyle w:val="Heading3"/>
        <w:rPr/>
      </w:pPr>
      <w:bookmarkStart w:id="19" w:name="__RefHeading___Toc49520_3411847120"/>
      <w:bookmarkEnd w:id="19"/>
      <w:r>
        <w:rPr>
          <w:rFonts w:eastAsia="Times New Roman" w:cs="Times New Roman" w:ascii="Times New Roman" w:hAnsi="Times New Roman"/>
        </w:rPr>
        <w:t>1.3.2. Élaboration de fiches pédagogiques</w:t>
      </w:r>
    </w:p>
    <w:p>
      <w:pPr>
        <w:pStyle w:val="Normal"/>
        <w:spacing w:lineRule="auto" w:line="360" w:before="0" w:after="120"/>
        <w:ind w:firstLine="709"/>
        <w:jc w:val="both"/>
        <w:rPr/>
      </w:pPr>
      <w:r>
        <w:rPr>
          <w:rFonts w:eastAsia="Times New Roman" w:cs="Times New Roman"/>
        </w:rPr>
        <w:t>Nos pratiques de classe ont été précédées de l’élaboration de fiches pédagogiques, avec l’accompagnement de nos encadrants. Cet exercice a renforcé notre capacité à formuler des objectifs pédagogiques couvrant les domaines cognitif, psychomoteur et socioaffectif, dans l’intérêt de l’apprenant, et nous a permis de mieux nous approprier le canevas et les étapes d’une fiche pédagogique.</w:t>
      </w:r>
    </w:p>
    <w:p>
      <w:pPr>
        <w:pStyle w:val="Heading3"/>
        <w:rPr/>
      </w:pPr>
      <w:bookmarkStart w:id="20" w:name="__RefHeading___Toc49522_3411847120"/>
      <w:bookmarkEnd w:id="20"/>
      <w:r>
        <w:rPr>
          <w:rFonts w:eastAsia="Times New Roman" w:cs="Times New Roman" w:ascii="Times New Roman" w:hAnsi="Times New Roman"/>
        </w:rPr>
        <w:t>1.3.3. Suivi et accompagnement pédagogiques</w:t>
      </w:r>
    </w:p>
    <w:p>
      <w:pPr>
        <w:pStyle w:val="Normal"/>
        <w:spacing w:lineRule="auto" w:line="360" w:before="0" w:after="120"/>
        <w:ind w:firstLine="709"/>
        <w:jc w:val="both"/>
        <w:rPr/>
      </w:pPr>
      <w:r>
        <w:rPr>
          <w:rFonts w:eastAsia="Times New Roman" w:cs="Times New Roman"/>
          <w:b/>
          <w:bCs/>
        </w:rPr>
        <w:t>Observation des formateurs en situation de suivi.</w:t>
      </w:r>
      <w:r>
        <w:rPr>
          <w:rFonts w:eastAsia="Times New Roman" w:cs="Times New Roman"/>
        </w:rPr>
        <w:t xml:space="preserve"> Après nous être approprié les formulaires et les grilles de suivi de l’EPE en stage de pratique accompagnée 2, nous avons observé les formateurs dans les écoles associées, lors du suivi des EPE de la promotion 3 en stage. Le lundi 13 avril 2026, sous la conduite du formateur M. MANI, nous nous sommes ainsi rendus à l’EPP Dakpodji, groupe A, où nous avons suivi Mme TOI Essossimna au CE2 dans deux leçons : éducation sociale (les droits de l’enfant) et mathématiques (multiplier par 9). Nous avons ensuite été affectés dans différents établissements de Haho-Sud pour la supervision effective des EPE : l’EPP Lokokpé, l’EPP Santé et l’EPP Tégbé (groupes A et B). Ces sorties nous ont permis de mieux appréhender les réalités du terrain — conduite de classe, mise en œuvre d’une fiche pédagogique au primaire et difficultés qui s’y rattachent — afin de mieux encadrer les EPE et de renforcer leurs compétences.</w:t>
      </w:r>
    </w:p>
    <w:p>
      <w:pPr>
        <w:pStyle w:val="Normal"/>
        <w:spacing w:lineRule="auto" w:line="360" w:before="0" w:after="120"/>
        <w:jc w:val="both"/>
        <w:rPr/>
      </w:pPr>
      <w:r>
        <w:rPr>
          <w:rFonts w:eastAsia="Times New Roman" w:cs="Times New Roman"/>
          <w:b/>
          <w:bCs/>
        </w:rPr>
        <w:t>Entretiens pédagogiques avec les formateurs.</w:t>
      </w:r>
      <w:r>
        <w:rPr>
          <w:rFonts w:eastAsia="Times New Roman" w:cs="Times New Roman"/>
        </w:rPr>
        <w:t xml:space="preserve"> Plusieurs entretiens avec les formateurs nous ont permis de renforcer nos compétences sur :</w:t>
      </w:r>
    </w:p>
    <w:p>
      <w:pPr>
        <w:pStyle w:val="ListParagraph"/>
        <w:numPr>
          <w:ilvl w:val="0"/>
          <w:numId w:val="97"/>
        </w:numPr>
        <w:spacing w:lineRule="auto" w:line="360" w:before="0" w:after="40"/>
        <w:jc w:val="both"/>
        <w:rPr/>
      </w:pPr>
      <w:r>
        <w:rPr>
          <w:rFonts w:eastAsia="Times New Roman" w:cs="Times New Roman"/>
        </w:rPr>
        <w:t>les démarches méthodologiques des différentes unités d’enseignement ;</w:t>
      </w:r>
    </w:p>
    <w:p>
      <w:pPr>
        <w:pStyle w:val="ListParagraph"/>
        <w:numPr>
          <w:ilvl w:val="0"/>
          <w:numId w:val="98"/>
        </w:numPr>
        <w:spacing w:lineRule="auto" w:line="360" w:before="0" w:after="40"/>
        <w:jc w:val="both"/>
        <w:rPr/>
      </w:pPr>
      <w:r>
        <w:rPr>
          <w:rFonts w:eastAsia="Times New Roman" w:cs="Times New Roman"/>
        </w:rPr>
        <w:t>le canevas d’une fiche pédagogique et les étapes d’une leçon ;</w:t>
      </w:r>
    </w:p>
    <w:p>
      <w:pPr>
        <w:pStyle w:val="ListParagraph"/>
        <w:numPr>
          <w:ilvl w:val="0"/>
          <w:numId w:val="99"/>
        </w:numPr>
        <w:spacing w:lineRule="auto" w:line="360" w:before="0" w:after="40"/>
        <w:jc w:val="both"/>
        <w:rPr/>
      </w:pPr>
      <w:r>
        <w:rPr>
          <w:rFonts w:eastAsia="Times New Roman" w:cs="Times New Roman"/>
        </w:rPr>
        <w:t>les stratégies d’enseignement et d’évaluation ;</w:t>
      </w:r>
    </w:p>
    <w:p>
      <w:pPr>
        <w:pStyle w:val="ListParagraph"/>
        <w:numPr>
          <w:ilvl w:val="0"/>
          <w:numId w:val="100"/>
        </w:numPr>
        <w:spacing w:lineRule="auto" w:line="360" w:before="0" w:after="40"/>
        <w:jc w:val="both"/>
        <w:rPr/>
      </w:pPr>
      <w:r>
        <w:rPr>
          <w:rFonts w:eastAsia="Times New Roman" w:cs="Times New Roman"/>
        </w:rPr>
        <w:t>le fonctionnement des ENFPE, l’organigramme de l’ENFPE de Notsè et les attributions des différents services ;</w:t>
      </w:r>
    </w:p>
    <w:p>
      <w:pPr>
        <w:pStyle w:val="ListParagraph"/>
        <w:numPr>
          <w:ilvl w:val="0"/>
          <w:numId w:val="101"/>
        </w:numPr>
        <w:spacing w:lineRule="auto" w:line="360" w:before="0" w:after="40"/>
        <w:jc w:val="both"/>
        <w:rPr/>
      </w:pPr>
      <w:r>
        <w:rPr>
          <w:rFonts w:eastAsia="Times New Roman" w:cs="Times New Roman"/>
        </w:rPr>
        <w:t>la semaine d’intégration et ses situations d’évaluation ;</w:t>
      </w:r>
    </w:p>
    <w:p>
      <w:pPr>
        <w:pStyle w:val="ListParagraph"/>
        <w:numPr>
          <w:ilvl w:val="0"/>
          <w:numId w:val="102"/>
        </w:numPr>
        <w:spacing w:lineRule="auto" w:line="360" w:before="0" w:after="40"/>
        <w:jc w:val="both"/>
        <w:rPr/>
      </w:pPr>
      <w:r>
        <w:rPr>
          <w:rFonts w:eastAsia="Times New Roman" w:cs="Times New Roman"/>
        </w:rPr>
        <w:t>le processus d’évaluation dans les ENFPE et l’élaboration d’un sujet d’évaluation ;</w:t>
      </w:r>
    </w:p>
    <w:p>
      <w:pPr>
        <w:pStyle w:val="ListParagraph"/>
        <w:numPr>
          <w:ilvl w:val="0"/>
          <w:numId w:val="103"/>
        </w:numPr>
        <w:spacing w:lineRule="auto" w:line="360" w:before="0" w:after="40"/>
        <w:jc w:val="both"/>
        <w:rPr/>
      </w:pPr>
      <w:r>
        <w:rPr>
          <w:rFonts w:eastAsia="Times New Roman" w:cs="Times New Roman"/>
        </w:rPr>
        <w:t>les tableaux de spécification et les grilles d’évaluation ;</w:t>
      </w:r>
    </w:p>
    <w:p>
      <w:pPr>
        <w:pStyle w:val="ListParagraph"/>
        <w:numPr>
          <w:ilvl w:val="0"/>
          <w:numId w:val="104"/>
        </w:numPr>
        <w:spacing w:lineRule="auto" w:line="360" w:before="0" w:after="120"/>
        <w:jc w:val="both"/>
        <w:rPr/>
      </w:pPr>
      <w:r>
        <w:rPr>
          <w:rFonts w:eastAsia="Times New Roman" w:cs="Times New Roman"/>
        </w:rPr>
        <w:t>la conduite de la soutenance du rapport de stage en responsabilité par les élèves-professeurs.</w:t>
      </w:r>
    </w:p>
    <w:p>
      <w:pPr>
        <w:pStyle w:val="Normal"/>
        <w:spacing w:lineRule="auto" w:line="360" w:before="0" w:after="120"/>
        <w:ind w:firstLine="709"/>
        <w:jc w:val="both"/>
        <w:rPr/>
      </w:pPr>
      <w:r>
        <w:rPr>
          <w:rFonts w:eastAsia="Times New Roman" w:cs="Times New Roman"/>
        </w:rPr>
        <w:t>Les attributions des services, qui précisent le rôle et les responsabilités de chaque acteur, sont définies par l’arrêté n° 615/MEPSTA/CAB/SG du 8 novembre 2022 portant organisation et fonctionnement des Écoles normales de formation des professeurs d’école (République togolaise, 2022b).</w:t>
      </w:r>
    </w:p>
    <w:p>
      <w:pPr>
        <w:pStyle w:val="Normal"/>
        <w:spacing w:lineRule="auto" w:line="360" w:before="0" w:after="120"/>
        <w:ind w:firstLine="709"/>
        <w:jc w:val="both"/>
        <w:rPr/>
      </w:pPr>
      <w:r>
        <w:rPr>
          <w:rFonts w:eastAsia="Times New Roman" w:cs="Times New Roman"/>
        </w:rPr>
        <w:t>Au cours de la semaine du 24 au 29 mai 2026, nous avons par ailleurs enrichi nos acquis en interdisciplinarité lors de l’administration des UEL du semestre 3 de la promotion 3. Nous avons notamment suivi M. DOHON Edoh en plantes médicinales et pharmacopée (plantes, maladies traitées et modes de préparation), M. TCHANDIKOU Sonhaye en jardin potager (techniques de fertilisation du sol) et Mme MANGAMANA Pimalinam Sylviane en théâtre et arts scéniques (production de textes dramatiques).</w:t>
      </w:r>
    </w:p>
    <w:p>
      <w:pPr>
        <w:pStyle w:val="Normal"/>
        <w:spacing w:lineRule="auto" w:line="360" w:before="0" w:after="120"/>
        <w:ind w:firstLine="709"/>
        <w:jc w:val="both"/>
        <w:rPr/>
      </w:pPr>
      <w:r>
        <w:rPr>
          <w:rFonts w:eastAsia="Times New Roman" w:cs="Times New Roman"/>
        </w:rPr>
        <w:t>Nous avons également été initiés aux techniques de pédagogie active (TPA), qui favorisent la participation, renforcent les compétences et préparent l’apprenant à mobiliser ses connaissances dans la vie réelle. Enfin, nos encadrants ont insisté sur l’importance du matériel pédagogique — support qui facilite l’enseignement, favorise l’apprentissage et rend la leçon plus vivante et plus concrète — ainsi que du matériel didactique, qui en constitue un sous-ensemble.</w:t>
      </w:r>
    </w:p>
    <w:p>
      <w:pPr>
        <w:pStyle w:val="Heading2"/>
        <w:rPr/>
      </w:pPr>
      <w:bookmarkStart w:id="21" w:name="__RefHeading___Toc49428_3411847120"/>
      <w:bookmarkEnd w:id="21"/>
      <w:r>
        <w:rPr>
          <w:rFonts w:eastAsia="Times New Roman" w:cs="Times New Roman" w:ascii="Times New Roman" w:hAnsi="Times New Roman"/>
        </w:rPr>
        <w:t>1.4. Difficultés rencontrées</w:t>
      </w:r>
    </w:p>
    <w:p>
      <w:pPr>
        <w:pStyle w:val="Normal"/>
        <w:spacing w:lineRule="auto" w:line="360" w:before="0" w:after="120"/>
        <w:jc w:val="both"/>
        <w:rPr/>
      </w:pPr>
      <w:r>
        <w:rPr>
          <w:rFonts w:eastAsia="Times New Roman" w:cs="Times New Roman"/>
        </w:rPr>
        <w:t>Si notre stage s’est déroulé conformément au cahier des charges, nous avons néanmoins été confrontés à quelques difficultés :</w:t>
      </w:r>
    </w:p>
    <w:p>
      <w:pPr>
        <w:pStyle w:val="ListParagraph"/>
        <w:numPr>
          <w:ilvl w:val="0"/>
          <w:numId w:val="105"/>
        </w:numPr>
        <w:spacing w:lineRule="auto" w:line="360" w:before="0" w:after="40"/>
        <w:jc w:val="both"/>
        <w:rPr/>
      </w:pPr>
      <w:r>
        <w:rPr>
          <w:rFonts w:eastAsia="Times New Roman" w:cs="Times New Roman"/>
        </w:rPr>
        <w:t>l’insuffisance du matériel didactique ;</w:t>
      </w:r>
    </w:p>
    <w:p>
      <w:pPr>
        <w:pStyle w:val="ListParagraph"/>
        <w:numPr>
          <w:ilvl w:val="0"/>
          <w:numId w:val="106"/>
        </w:numPr>
        <w:spacing w:lineRule="auto" w:line="360" w:before="0" w:after="40"/>
        <w:jc w:val="both"/>
        <w:rPr/>
      </w:pPr>
      <w:r>
        <w:rPr>
          <w:rFonts w:eastAsia="Times New Roman" w:cs="Times New Roman"/>
        </w:rPr>
        <w:t>l’absence de connexion Wi-Fi fonctionnelle ;</w:t>
      </w:r>
    </w:p>
    <w:p>
      <w:pPr>
        <w:pStyle w:val="ListParagraph"/>
        <w:numPr>
          <w:ilvl w:val="0"/>
          <w:numId w:val="107"/>
        </w:numPr>
        <w:spacing w:lineRule="auto" w:line="360" w:before="0" w:after="40"/>
        <w:jc w:val="both"/>
        <w:rPr/>
      </w:pPr>
      <w:r>
        <w:rPr>
          <w:rFonts w:eastAsia="Times New Roman" w:cs="Times New Roman"/>
        </w:rPr>
        <w:t>le manque d’accompagnement financier des élèves-professeurs d’ENFPE (EP-ENFPE) ;</w:t>
      </w:r>
    </w:p>
    <w:p>
      <w:pPr>
        <w:pStyle w:val="ListParagraph"/>
        <w:numPr>
          <w:ilvl w:val="0"/>
          <w:numId w:val="108"/>
        </w:numPr>
        <w:spacing w:lineRule="auto" w:line="360" w:before="0" w:after="40"/>
        <w:jc w:val="both"/>
        <w:rPr/>
      </w:pPr>
      <w:r>
        <w:rPr>
          <w:rFonts w:eastAsia="Times New Roman" w:cs="Times New Roman"/>
        </w:rPr>
        <w:t>la juxtaposition des promotions ;</w:t>
      </w:r>
    </w:p>
    <w:p>
      <w:pPr>
        <w:pStyle w:val="ListParagraph"/>
        <w:numPr>
          <w:ilvl w:val="0"/>
          <w:numId w:val="109"/>
        </w:numPr>
        <w:spacing w:lineRule="auto" w:line="360" w:before="0" w:after="120"/>
        <w:jc w:val="both"/>
        <w:rPr/>
      </w:pPr>
      <w:r>
        <w:rPr>
          <w:rFonts w:eastAsia="Times New Roman" w:cs="Times New Roman"/>
        </w:rPr>
        <w:t>la non-prise en compte des stagiaires EP-ENFPE dans le budget alloué aux activités pédagogiques.</w:t>
      </w:r>
    </w:p>
    <w:p>
      <w:pPr>
        <w:pStyle w:val="Heading2"/>
        <w:rPr/>
      </w:pPr>
      <w:bookmarkStart w:id="22" w:name="__RefHeading___Toc49430_3411847120"/>
      <w:bookmarkEnd w:id="22"/>
      <w:r>
        <w:rPr>
          <w:rFonts w:eastAsia="Times New Roman" w:cs="Times New Roman" w:ascii="Times New Roman" w:hAnsi="Times New Roman"/>
        </w:rPr>
        <w:t>1.5. Analyse des difficultés et suggestions</w:t>
      </w:r>
    </w:p>
    <w:p>
      <w:pPr>
        <w:pStyle w:val="Heading3"/>
        <w:rPr/>
      </w:pPr>
      <w:bookmarkStart w:id="23" w:name="__RefHeading___Toc49524_3411847120"/>
      <w:bookmarkEnd w:id="23"/>
      <w:r>
        <w:rPr>
          <w:rFonts w:eastAsia="Times New Roman" w:cs="Times New Roman" w:ascii="Times New Roman" w:hAnsi="Times New Roman"/>
        </w:rPr>
        <w:t>1.5.1. Analyse des difficultés</w:t>
      </w:r>
    </w:p>
    <w:p>
      <w:pPr>
        <w:pStyle w:val="Normal"/>
        <w:spacing w:lineRule="auto" w:line="360" w:before="0" w:after="120"/>
        <w:jc w:val="both"/>
        <w:rPr/>
      </w:pPr>
      <w:r>
        <w:rPr>
          <w:rFonts w:eastAsia="Times New Roman" w:cs="Times New Roman"/>
        </w:rPr>
        <w:t>L’analyse de ces difficultés fait ressortir les constats suivants :</w:t>
      </w:r>
    </w:p>
    <w:p>
      <w:pPr>
        <w:pStyle w:val="ListParagraph"/>
        <w:numPr>
          <w:ilvl w:val="0"/>
          <w:numId w:val="110"/>
        </w:numPr>
        <w:spacing w:lineRule="auto" w:line="360" w:before="0" w:after="40"/>
        <w:jc w:val="both"/>
        <w:rPr/>
      </w:pPr>
      <w:r>
        <w:rPr>
          <w:rFonts w:eastAsia="Times New Roman" w:cs="Times New Roman"/>
        </w:rPr>
        <w:t>l’insuffisance du matériel didactique nuit à la compréhension des élèves-professeurs ;</w:t>
      </w:r>
    </w:p>
    <w:p>
      <w:pPr>
        <w:pStyle w:val="ListParagraph"/>
        <w:numPr>
          <w:ilvl w:val="0"/>
          <w:numId w:val="111"/>
        </w:numPr>
        <w:spacing w:lineRule="auto" w:line="360" w:before="0" w:after="40"/>
        <w:jc w:val="both"/>
        <w:rPr/>
      </w:pPr>
      <w:r>
        <w:rPr>
          <w:rFonts w:eastAsia="Times New Roman" w:cs="Times New Roman"/>
        </w:rPr>
        <w:t>l’absence de Wi-Fi fonctionnel empêche formateurs et EPE d’effectuer les recherches nécessaires aux activités pédagogiques ;</w:t>
      </w:r>
    </w:p>
    <w:p>
      <w:pPr>
        <w:pStyle w:val="ListParagraph"/>
        <w:numPr>
          <w:ilvl w:val="0"/>
          <w:numId w:val="112"/>
        </w:numPr>
        <w:spacing w:lineRule="auto" w:line="360" w:before="0" w:after="40"/>
        <w:jc w:val="both"/>
        <w:rPr/>
      </w:pPr>
      <w:r>
        <w:rPr>
          <w:rFonts w:eastAsia="Times New Roman" w:cs="Times New Roman"/>
        </w:rPr>
        <w:t>faute d’accompagnement financier, les stagiaires peinent à faire face aux besoins liés à leur formation ;</w:t>
      </w:r>
    </w:p>
    <w:p>
      <w:pPr>
        <w:pStyle w:val="ListParagraph"/>
        <w:numPr>
          <w:ilvl w:val="0"/>
          <w:numId w:val="113"/>
        </w:numPr>
        <w:spacing w:lineRule="auto" w:line="360" w:before="0" w:after="40"/>
        <w:jc w:val="both"/>
        <w:rPr/>
      </w:pPr>
      <w:r>
        <w:rPr>
          <w:rFonts w:eastAsia="Times New Roman" w:cs="Times New Roman"/>
        </w:rPr>
        <w:t>la juxtaposition de deux promotions épuise les formateurs et nuit à une bonne acquisition des compétences par les EPE ;</w:t>
      </w:r>
    </w:p>
    <w:p>
      <w:pPr>
        <w:pStyle w:val="ListParagraph"/>
        <w:numPr>
          <w:ilvl w:val="0"/>
          <w:numId w:val="114"/>
        </w:numPr>
        <w:spacing w:lineRule="auto" w:line="360" w:before="0" w:after="120"/>
        <w:jc w:val="both"/>
        <w:rPr/>
      </w:pPr>
      <w:r>
        <w:rPr>
          <w:rFonts w:eastAsia="Times New Roman" w:cs="Times New Roman"/>
        </w:rPr>
        <w:t>l’absence de prise en compte des stagiaires dans le budget des activités pédagogiques limite leur pleine participation à ces activités.</w:t>
      </w:r>
    </w:p>
    <w:p>
      <w:pPr>
        <w:pStyle w:val="Heading3"/>
        <w:rPr/>
      </w:pPr>
      <w:bookmarkStart w:id="24" w:name="__RefHeading___Toc49526_3411847120"/>
      <w:bookmarkEnd w:id="24"/>
      <w:r>
        <w:rPr>
          <w:rFonts w:eastAsia="Times New Roman" w:cs="Times New Roman" w:ascii="Times New Roman" w:hAnsi="Times New Roman"/>
        </w:rPr>
        <w:t>1.5.2. Suggestions</w:t>
      </w:r>
    </w:p>
    <w:p>
      <w:pPr>
        <w:pStyle w:val="Normal"/>
        <w:spacing w:lineRule="auto" w:line="360" w:before="0" w:after="120"/>
        <w:jc w:val="both"/>
        <w:rPr/>
      </w:pPr>
      <w:r>
        <w:rPr>
          <w:rFonts w:eastAsia="Times New Roman" w:cs="Times New Roman"/>
        </w:rPr>
        <w:t>Afin d’améliorer les conditions de vie et de travail dans cette école de formation de renom, nous formulons les suggestions suivantes :</w:t>
      </w:r>
    </w:p>
    <w:p>
      <w:pPr>
        <w:pStyle w:val="ListParagraph"/>
        <w:numPr>
          <w:ilvl w:val="0"/>
          <w:numId w:val="115"/>
        </w:numPr>
        <w:spacing w:lineRule="auto" w:line="360" w:before="0" w:after="40"/>
        <w:jc w:val="both"/>
        <w:rPr/>
      </w:pPr>
      <w:r>
        <w:rPr>
          <w:rFonts w:eastAsia="Times New Roman" w:cs="Times New Roman"/>
        </w:rPr>
        <w:t>doter l’ENFPE d’une connexion Wi-Fi fluide et opérationnelle ;</w:t>
      </w:r>
    </w:p>
    <w:p>
      <w:pPr>
        <w:pStyle w:val="ListParagraph"/>
        <w:numPr>
          <w:ilvl w:val="0"/>
          <w:numId w:val="116"/>
        </w:numPr>
        <w:spacing w:lineRule="auto" w:line="360" w:before="0" w:after="40"/>
        <w:jc w:val="both"/>
        <w:rPr/>
      </w:pPr>
      <w:r>
        <w:rPr>
          <w:rFonts w:eastAsia="Times New Roman" w:cs="Times New Roman"/>
        </w:rPr>
        <w:t>équiper l’institution en matériel didactique suffisant et doter chaque champ disciplinaire d’un vidéoprojecteur afin de faciliter la compréhension des cours ;</w:t>
      </w:r>
    </w:p>
    <w:p>
      <w:pPr>
        <w:pStyle w:val="ListParagraph"/>
        <w:numPr>
          <w:ilvl w:val="0"/>
          <w:numId w:val="117"/>
        </w:numPr>
        <w:spacing w:lineRule="auto" w:line="360" w:before="0" w:after="40"/>
        <w:jc w:val="both"/>
        <w:rPr/>
      </w:pPr>
      <w:r>
        <w:rPr>
          <w:rFonts w:eastAsia="Times New Roman" w:cs="Times New Roman"/>
        </w:rPr>
        <w:t>accompagner financièrement les EP-ENFPE durant leur formation ;</w:t>
      </w:r>
    </w:p>
    <w:p>
      <w:pPr>
        <w:pStyle w:val="ListParagraph"/>
        <w:numPr>
          <w:ilvl w:val="0"/>
          <w:numId w:val="118"/>
        </w:numPr>
        <w:spacing w:lineRule="auto" w:line="360" w:before="0" w:after="40"/>
        <w:jc w:val="both"/>
        <w:rPr/>
      </w:pPr>
      <w:r>
        <w:rPr>
          <w:rFonts w:eastAsia="Times New Roman" w:cs="Times New Roman"/>
        </w:rPr>
        <w:t>recruter et former une seule promotion sur les deux années de formation, afin que les EPE soient mieux outillés ;</w:t>
      </w:r>
    </w:p>
    <w:p>
      <w:pPr>
        <w:pStyle w:val="ListParagraph"/>
        <w:numPr>
          <w:ilvl w:val="0"/>
          <w:numId w:val="119"/>
        </w:numPr>
        <w:spacing w:lineRule="auto" w:line="360" w:before="0" w:after="40"/>
        <w:jc w:val="both"/>
        <w:rPr/>
      </w:pPr>
      <w:r>
        <w:rPr>
          <w:rFonts w:eastAsia="Times New Roman" w:cs="Times New Roman"/>
        </w:rPr>
        <w:t>instaurer des congés au profit des formateurs ;</w:t>
      </w:r>
    </w:p>
    <w:p>
      <w:pPr>
        <w:pStyle w:val="ListParagraph"/>
        <w:numPr>
          <w:ilvl w:val="0"/>
          <w:numId w:val="120"/>
        </w:numPr>
        <w:spacing w:lineRule="auto" w:line="360" w:before="0" w:after="120"/>
        <w:jc w:val="both"/>
        <w:rPr/>
      </w:pPr>
      <w:r>
        <w:rPr>
          <w:rFonts w:eastAsia="Times New Roman" w:cs="Times New Roman"/>
        </w:rPr>
        <w:t>prendre en compte les stagiaires EP-ENFPE dans le budget alloué aux activités pédagogiques.</w:t>
      </w:r>
    </w:p>
    <w:p>
      <w:pPr>
        <w:pStyle w:val="Heading2"/>
        <w:rPr/>
      </w:pPr>
      <w:bookmarkStart w:id="25" w:name="__RefHeading___Toc49432_3411847120"/>
      <w:bookmarkEnd w:id="25"/>
      <w:r>
        <w:rPr>
          <w:rFonts w:eastAsia="Times New Roman" w:cs="Times New Roman" w:ascii="Times New Roman" w:hAnsi="Times New Roman"/>
        </w:rPr>
        <w:t>Conclusion</w:t>
      </w:r>
    </w:p>
    <w:p>
      <w:pPr>
        <w:pStyle w:val="Normal"/>
        <w:spacing w:lineRule="auto" w:line="360" w:before="0" w:after="120"/>
        <w:ind w:firstLine="709"/>
        <w:jc w:val="both"/>
        <w:rPr/>
      </w:pPr>
      <w:r>
        <w:rPr>
          <w:rFonts w:eastAsia="Times New Roman" w:cs="Times New Roman"/>
        </w:rPr>
        <w:t>Le stage de pratique en responsabilité effectué à l’ENFPE de Notsè a constitué une expérience riche, formatrice et déterminante dans notre parcours. En nous immergeant dans les activités pédagogiques, administratives et évaluatives inhérentes à la fonction de formateur, il nous a permis d’articuler nos acquis théoriques à la pratique et de toucher du doigt les réalités du terrain. Notre implication dans la correction des copies, la préparation des délibérations, la remédiation et les examens de rattrapage nous a fait mesurer l’importance de la rigueur et de l’objectivité en évaluation. La conduite de cours sous le regard de nos encadrants a renforcé nos compétences didactiques et notre capacité à structurer un enseignement de qualité, tandis que l’observation des pratiques enseignantes et le suivi pédagogique nous ont permis de mieux saisir les exigences du métier. Notre participation aux réunions administratives et pédagogiques nous a enfin sensibilisés à l’importance du travail en équipe et de la vie collective en milieu éducatif.</w:t>
      </w:r>
    </w:p>
    <w:p>
      <w:pPr>
        <w:pStyle w:val="Normal"/>
        <w:spacing w:lineRule="auto" w:line="360" w:before="0" w:after="120"/>
        <w:ind w:firstLine="709"/>
        <w:jc w:val="both"/>
        <w:rPr/>
      </w:pPr>
      <w:r>
        <w:rPr>
          <w:rFonts w:eastAsia="Times New Roman" w:cs="Times New Roman"/>
        </w:rPr>
        <w:t>Ce stage a conforté notre choix professionnel et renforcé notre motivation à devenir un formateur compétent. Il a également consolidé des qualités essentielles : le respect de l’éthique et de la déontologie du métier, la rigueur, le sens des responsabilités et l’ouverture à l’amélioration continue.</w:t>
      </w:r>
    </w:p>
    <w:p>
      <w:pPr>
        <w:pStyle w:val="Normal"/>
        <w:spacing w:lineRule="auto" w:line="360" w:before="0" w:after="120"/>
        <w:jc w:val="both"/>
        <w:rPr/>
      </w:pPr>
      <w:r>
        <w:rPr>
          <w:rFonts w:eastAsia="Times New Roman" w:cs="Times New Roman"/>
        </w:rPr>
        <w:t>En définitive, les défis relevés et les expériences acquises au cours de ce stage nous permettront d’exercer avec efficacité notre profession de formateur. À titre de perspectives, nous souhaitons :</w:t>
      </w:r>
    </w:p>
    <w:p>
      <w:pPr>
        <w:pStyle w:val="ListParagraph"/>
        <w:numPr>
          <w:ilvl w:val="0"/>
          <w:numId w:val="121"/>
        </w:numPr>
        <w:spacing w:lineRule="auto" w:line="360" w:before="0" w:after="40"/>
        <w:jc w:val="both"/>
        <w:rPr/>
      </w:pPr>
      <w:r>
        <w:rPr>
          <w:rFonts w:eastAsia="Times New Roman" w:cs="Times New Roman"/>
        </w:rPr>
        <w:t>qu’à l’issue du stage en responsabilité, une note de maintien au poste soit signée par les autorités compétentes et transmise aux ayants droit ;</w:t>
      </w:r>
    </w:p>
    <w:p>
      <w:pPr>
        <w:pStyle w:val="ListParagraph"/>
        <w:numPr>
          <w:ilvl w:val="0"/>
          <w:numId w:val="122"/>
        </w:numPr>
        <w:spacing w:lineRule="auto" w:line="360" w:before="0" w:after="40"/>
        <w:jc w:val="both"/>
        <w:rPr/>
      </w:pPr>
      <w:r>
        <w:rPr>
          <w:rFonts w:eastAsia="Times New Roman" w:cs="Times New Roman"/>
        </w:rPr>
        <w:t>que cette formation soit pérennisée et continuellement améliorée au profit des promotions suivantes ;</w:t>
      </w:r>
    </w:p>
    <w:p>
      <w:pPr>
        <w:pStyle w:val="ListParagraph"/>
        <w:numPr>
          <w:ilvl w:val="0"/>
          <w:numId w:val="123"/>
        </w:numPr>
        <w:spacing w:lineRule="auto" w:line="360" w:before="0" w:after="120"/>
        <w:jc w:val="both"/>
        <w:rPr/>
      </w:pPr>
      <w:r>
        <w:rPr>
          <w:rFonts w:eastAsia="Times New Roman" w:cs="Times New Roman"/>
        </w:rPr>
        <w:t>que les stagiaires soient pris en compte dans le budget alloué aux activités pédagogiques.</w:t>
      </w:r>
    </w:p>
    <w:p>
      <w:pPr>
        <w:pStyle w:val="Heading1"/>
        <w:rPr/>
      </w:pPr>
      <w:bookmarkStart w:id="26" w:name="__RefHeading___Toc49434_3411847120"/>
      <w:bookmarkEnd w:id="26"/>
      <w:r>
        <w:rPr>
          <w:rFonts w:eastAsia="Times New Roman" w:cs="Times New Roman" w:ascii="Times New Roman" w:hAnsi="Times New Roman"/>
        </w:rPr>
        <w:t>CHAPITRE 2 : PROBLÈME SOULEVÉ AU COURS DU STAGE</w:t>
      </w:r>
    </w:p>
    <w:p>
      <w:pPr>
        <w:pStyle w:val="Normal"/>
        <w:spacing w:lineRule="auto" w:line="360" w:before="0" w:after="120"/>
        <w:ind w:firstLine="709"/>
        <w:jc w:val="both"/>
        <w:rPr/>
      </w:pPr>
      <w:r>
        <w:rPr>
          <w:rFonts w:eastAsia="Times New Roman" w:cs="Times New Roman"/>
        </w:rPr>
        <w:t>Ce deuxième chapitre présente le problème identifié au cours du stage. Après une introduction, il expose le contexte et la justification de l’étude, énonce le problème, formule les questions et les hypothèses de recherche, puis précise les objectifs poursuivis. Le thème retenu s’intitule : « Analyse des techniques d’évaluation en ECM sur la notion de citoyenneté à l’ENFPE de Notsè ».</w:t>
      </w:r>
    </w:p>
    <w:p>
      <w:pPr>
        <w:pStyle w:val="Heading2"/>
        <w:rPr/>
      </w:pPr>
      <w:bookmarkStart w:id="27" w:name="__RefHeading___Toc49436_3411847120"/>
      <w:bookmarkEnd w:id="27"/>
      <w:r>
        <w:rPr>
          <w:rFonts w:eastAsia="Times New Roman" w:cs="Times New Roman" w:ascii="Times New Roman" w:hAnsi="Times New Roman"/>
        </w:rPr>
        <w:t>2.1. Introduction</w:t>
      </w:r>
    </w:p>
    <w:p>
      <w:pPr>
        <w:pStyle w:val="Normal"/>
        <w:spacing w:lineRule="auto" w:line="360" w:before="0" w:after="120"/>
        <w:ind w:firstLine="709"/>
        <w:jc w:val="both"/>
        <w:rPr/>
      </w:pPr>
      <w:r>
        <w:rPr>
          <w:rFonts w:eastAsia="Times New Roman" w:cs="Times New Roman"/>
        </w:rPr>
        <w:t>Dans un monde où l’éducation constitue le socle du développement durable, l’évaluation est, en milieu scolaire, le moyen par lequel l’enseignant vérifie les acquisitions de ses apprenants au cours du processus d’enseignement-apprentissage. Elle lui permet d’identifier les acquis et les difficultés de ceux-ci afin de procéder à des régulations, c’est-à-dire à des actions correctives destinées à améliorer les apprentissages. L’évaluation des compétences joue dès lors un rôle déterminant dans l’équité et l’efficacité des systèmes éducatifs.</w:t>
      </w:r>
    </w:p>
    <w:p>
      <w:pPr>
        <w:pStyle w:val="Normal"/>
        <w:spacing w:lineRule="auto" w:line="360" w:before="0" w:after="120"/>
        <w:ind w:firstLine="709"/>
        <w:jc w:val="both"/>
        <w:rPr/>
      </w:pPr>
      <w:r>
        <w:rPr>
          <w:rFonts w:eastAsia="Times New Roman" w:cs="Times New Roman"/>
        </w:rPr>
        <w:t>Selon l’UNESCO (2020), plus de 250 millions d’enfants dans le monde peinent à acquérir les compétences de base. Or, l’acquisition de ces compétences passe nécessairement par des enseignants bien formés. C’est dans ce contexte que le Togo, dont la population est jeune à plus de 60 %, a mis en place les ENFPE afin d’assurer aux enseignants une formation initiale de qualité, conformément à l’Objectif de développement durable n° 4 (ODD 4 : éducation de qualité) et au Plan sectoriel de l’éducation (PSE). L’éducation préscolaire et primaire constitue ainsi un enjeu majeur et stratégique de la politique éducative togolaise.</w:t>
      </w:r>
    </w:p>
    <w:p>
      <w:pPr>
        <w:pStyle w:val="Normal"/>
        <w:spacing w:lineRule="auto" w:line="360" w:before="0" w:after="120"/>
        <w:ind w:firstLine="709"/>
        <w:jc w:val="both"/>
        <w:rPr/>
      </w:pPr>
      <w:r>
        <w:rPr>
          <w:rFonts w:eastAsia="Times New Roman" w:cs="Times New Roman"/>
        </w:rPr>
        <w:t>Parmi les disciplines enseignées au cours de cette formation initiale, l’Éducation civique et morale (ECM) occupe une place de choix dans l’acquisition des valeurs et des compétences pratiques des futurs enseignants. Son évaluation est tout aussi essentielle : elle permet de vérifier l’atteinte des objectifs et les savoirs acquis, à des fins pragmatiques, décisionnelles et certificatives ; elle offre en outre à l’enseignant l’occasion de s’autoévaluer afin de réguler ses méthodes. Le but ultime de l’organisation des activités d’enseignement-apprentissage-évaluation est en effet d’amener progressivement chaque apprenant, par un contrôle continu, à la maîtrise des compétences visées, en lien avec les objectifs et le contexte togolais.</w:t>
      </w:r>
    </w:p>
    <w:p>
      <w:pPr>
        <w:pStyle w:val="Normal"/>
        <w:spacing w:lineRule="auto" w:line="360" w:before="0" w:after="120"/>
        <w:ind w:firstLine="709"/>
        <w:jc w:val="both"/>
        <w:rPr/>
      </w:pPr>
      <w:r>
        <w:rPr>
          <w:rFonts w:eastAsia="Times New Roman" w:cs="Times New Roman"/>
        </w:rPr>
        <w:t>Pourtant, en dépit de ces avancées, les techniques d’évaluation en ECM à l’ENFPE de Notsè peinent à s’aligner sur les nouveaux modèles et oscillent entre une évaluation sommative traditionnelle et une évaluation formative moderne, cette dernière restant largement théorique. C’est dans ce cadre que s’inscrit notre problématique de recherche : quelles sont les techniques d’évaluation mises en œuvre en ECM à l’ENFPE de Notsè, et dans quelle mesure permettent-elles d’apprécier et de développer la notion de citoyenneté chez les élèves-professeurs d’école ?</w:t>
      </w:r>
    </w:p>
    <w:p>
      <w:pPr>
        <w:pStyle w:val="Heading2"/>
        <w:rPr/>
      </w:pPr>
      <w:bookmarkStart w:id="28" w:name="__RefHeading___Toc49438_3411847120"/>
      <w:bookmarkEnd w:id="28"/>
      <w:r>
        <w:rPr>
          <w:rFonts w:eastAsia="Times New Roman" w:cs="Times New Roman" w:ascii="Times New Roman" w:hAnsi="Times New Roman"/>
        </w:rPr>
        <w:t>2.2. Contexte et justification de l’étude</w:t>
      </w:r>
    </w:p>
    <w:p>
      <w:pPr>
        <w:pStyle w:val="Heading3"/>
        <w:rPr/>
      </w:pPr>
      <w:bookmarkStart w:id="29" w:name="__RefHeading___Toc49528_3411847120"/>
      <w:bookmarkEnd w:id="29"/>
      <w:r>
        <w:rPr>
          <w:rFonts w:eastAsia="Times New Roman" w:cs="Times New Roman" w:ascii="Times New Roman" w:hAnsi="Times New Roman"/>
        </w:rPr>
        <w:t>2.2.1. Contexte du problème</w:t>
      </w:r>
    </w:p>
    <w:p>
      <w:pPr>
        <w:pStyle w:val="Normal"/>
        <w:spacing w:lineRule="auto" w:line="360" w:before="0" w:after="120"/>
        <w:ind w:firstLine="709"/>
        <w:jc w:val="both"/>
        <w:rPr/>
      </w:pPr>
      <w:r>
        <w:rPr>
          <w:rFonts w:eastAsia="Times New Roman" w:cs="Times New Roman"/>
        </w:rPr>
        <w:t>En tant que discipline, l’ECM vise à faire acquérir aux apprenants des connaissances, des valeurs citoyennes et des attitudes, mais aussi les compétences nécessaires pour agir sur leur milieu et le transformer (République togolaise, 1975). L’évaluation n’y est donc pas un simple outil de mesure des acquis : elle permet également d’interroger les méthodes pédagogiques afin de renforcer les apprentissages (Bourque et Johnson, 2018).</w:t>
      </w:r>
    </w:p>
    <w:p>
      <w:pPr>
        <w:pStyle w:val="Normal"/>
        <w:spacing w:lineRule="auto" w:line="360" w:before="0" w:after="120"/>
        <w:ind w:firstLine="709"/>
        <w:jc w:val="both"/>
        <w:rPr/>
      </w:pPr>
      <w:r>
        <w:rPr>
          <w:rFonts w:eastAsia="Times New Roman" w:cs="Times New Roman"/>
        </w:rPr>
        <w:t>Dans les ENFPE, l’enseignement de l’ECM vise ainsi à développer chez les futurs professeurs d’école des savoirs, des savoir-faire, des savoir-être, des compétences pédagogiques et des attitudes citoyennes. Or, au cours de nos différents stages, et en particulier de notre stage en responsabilité à l’ENFPE de Notsè, nous avons constaté que les techniques d’évaluation mises en œuvre en ECM demeurent largement centrées sur les outils traditionnels, notamment les questions de restitution du cours et les tests écrits. C’est cette situation que la présente étude se propose d’examiner, en vue d’identifier et d’analyser ces techniques.</w:t>
      </w:r>
    </w:p>
    <w:p>
      <w:pPr>
        <w:pStyle w:val="Heading3"/>
        <w:rPr/>
      </w:pPr>
      <w:bookmarkStart w:id="30" w:name="__RefHeading___Toc49530_3411847120"/>
      <w:bookmarkEnd w:id="30"/>
      <w:r>
        <w:rPr>
          <w:rFonts w:eastAsia="Times New Roman" w:cs="Times New Roman" w:ascii="Times New Roman" w:hAnsi="Times New Roman"/>
        </w:rPr>
        <w:t>2.2.2. Justification du problème</w:t>
      </w:r>
    </w:p>
    <w:p>
      <w:pPr>
        <w:pStyle w:val="Normal"/>
        <w:spacing w:lineRule="auto" w:line="360" w:before="0" w:after="120"/>
        <w:ind w:firstLine="709"/>
        <w:jc w:val="both"/>
        <w:rPr/>
      </w:pPr>
      <w:r>
        <w:rPr>
          <w:rFonts w:eastAsia="Times New Roman" w:cs="Times New Roman"/>
        </w:rPr>
        <w:t>Ce problème se justifie par la nécessité d’analyser les techniques d’évaluation en ECM au regard des objectifs d’apprentissage des ENFPE. En pédagogie moderne, l’évaluation des apprentissages ne se limite pas à la mesure des connaissances : elle s’inscrit dans un processus global qui valorise la progression des compétences, l’autonomie des apprenants et l’ajustement des pratiques didactiques (Nitko et Brookhart, 2014). Or, l’ECM, bien qu’enseignée, est avant tout une discipline qui se vit au quotidien. Son évaluation devrait donc couvrir l’ensemble des domaines de compétence : les acquis cognitifs, mais aussi les attitudes, les valeurs et, surtout, les comportements. Notre constat révèle au contraire une prédominance des techniques d’évaluation traditionnelles, centrées sur la restitution des acquis cognitifs.</w:t>
      </w:r>
    </w:p>
    <w:p>
      <w:pPr>
        <w:pStyle w:val="Heading3"/>
        <w:rPr/>
      </w:pPr>
      <w:bookmarkStart w:id="31" w:name="__RefHeading___Toc49532_3411847120"/>
      <w:bookmarkEnd w:id="31"/>
      <w:r>
        <w:rPr>
          <w:rFonts w:eastAsia="Times New Roman" w:cs="Times New Roman" w:ascii="Times New Roman" w:hAnsi="Times New Roman"/>
        </w:rPr>
        <w:t>2.2.3. Intérêt social</w:t>
      </w:r>
    </w:p>
    <w:p>
      <w:pPr>
        <w:pStyle w:val="Normal"/>
        <w:spacing w:lineRule="auto" w:line="360" w:before="0" w:after="120"/>
        <w:ind w:firstLine="709"/>
        <w:jc w:val="both"/>
        <w:rPr/>
      </w:pPr>
      <w:r>
        <w:rPr>
          <w:rFonts w:eastAsia="Times New Roman" w:cs="Times New Roman"/>
        </w:rPr>
        <w:t>La citoyenneté est au cœur de la construction d’une société démocratique et pacifique : elle renvoie à la connaissance des droits et des devoirs, au respect des lois, à la participation à la vie collective, à la tolérance, au respect d’autrui et à la protection des biens publics.</w:t>
      </w:r>
    </w:p>
    <w:p>
      <w:pPr>
        <w:pStyle w:val="Normal"/>
        <w:spacing w:lineRule="auto" w:line="360" w:before="0" w:after="120"/>
        <w:ind w:firstLine="709"/>
        <w:jc w:val="both"/>
        <w:rPr/>
      </w:pPr>
      <w:r>
        <w:rPr>
          <w:rFonts w:eastAsia="Times New Roman" w:cs="Times New Roman"/>
        </w:rPr>
        <w:t>La présente étude revêt dès lors un intérêt certain pour la société togolaise. Les futurs professeurs d’école formés à l’ENFPE de Notsè sont appelés à instruire et à éduquer les générations à venir ; en s’appropriant des techniques d’évaluation adaptées, ils pourront mieux identifier les difficultés de leurs élèves et contribuer au développement de comportements citoyens à l’école primaire. Dans un contexte marqué par l’incivisme, les conflits, l’intolérance, la dégradation de l’environnement et un faible engagement communautaire, l’éducation à la citoyenneté apparaît comme une nécessité sociale, et l’école comme un cadre privilégié de transmission des valeurs du vivre-ensemble. L’ECM est, à cet égard, la discipline la mieux placée pour former des citoyens capables de respecter les règles de la vie collective, de résoudre pacifiquement les conflits, d’assumer leurs responsabilités et de participer pleinement au développement de leur communauté.</w:t>
      </w:r>
    </w:p>
    <w:p>
      <w:pPr>
        <w:pStyle w:val="Normal"/>
        <w:spacing w:lineRule="auto" w:line="360" w:before="0" w:after="120"/>
        <w:ind w:firstLine="709"/>
        <w:jc w:val="both"/>
        <w:rPr/>
      </w:pPr>
      <w:r>
        <w:rPr>
          <w:rFonts w:eastAsia="Times New Roman" w:cs="Times New Roman"/>
        </w:rPr>
        <w:t>L’efficacité de cette formation dépend toutefois de la manière dont les apprentissages sont évalués. Une évaluation calquée sur la restitution des acquis permet certes de vérifier les savoirs cognitifs, mais elle demeure insuffisante pour apprécier les comportements observables, les compétences et les valeurs citoyennes : un apprenant peut aisément définir la citoyenneté sans pour autant être capable de respecter les règles, de coopérer avec ses pairs ou d’adopter une attitude responsable dans une situation concrète. D’où la nécessité d’analyser en profondeur les techniques d’évaluation des différentes facettes de la citoyenneté.</w:t>
      </w:r>
    </w:p>
    <w:p>
      <w:pPr>
        <w:pStyle w:val="Heading3"/>
        <w:rPr/>
      </w:pPr>
      <w:bookmarkStart w:id="32" w:name="__RefHeading___Toc49534_3411847120"/>
      <w:bookmarkEnd w:id="32"/>
      <w:r>
        <w:rPr>
          <w:rFonts w:eastAsia="Times New Roman" w:cs="Times New Roman" w:ascii="Times New Roman" w:hAnsi="Times New Roman"/>
        </w:rPr>
        <w:t>2.2.4. Intérêt pédagogique</w:t>
      </w:r>
    </w:p>
    <w:p>
      <w:pPr>
        <w:pStyle w:val="Normal"/>
        <w:spacing w:lineRule="auto" w:line="360" w:before="0" w:after="120"/>
        <w:ind w:firstLine="709"/>
        <w:jc w:val="both"/>
        <w:rPr/>
      </w:pPr>
      <w:r>
        <w:rPr>
          <w:rFonts w:eastAsia="Times New Roman" w:cs="Times New Roman"/>
        </w:rPr>
        <w:t>Sur le plan pédagogique, l’analyse des techniques d’évaluation mises en œuvre à l’ENFPE de Notsè se justifie par la nécessité de renforcer les compétences évaluatives des formateurs et des élèves-professeurs, en les amenant à choisir des techniques adaptées aux objectifs. Elle permettra de vérifier l’adéquation de ces techniques avec les objectifs de l’enseignement de la citoyenneté et de déterminer si elles évaluent uniquement les savoirs cognitifs et théoriques ou si elles prennent également en compte les savoir-être et le domaine psychomoteur.</w:t>
      </w:r>
    </w:p>
    <w:p>
      <w:pPr>
        <w:pStyle w:val="Normal"/>
        <w:spacing w:lineRule="auto" w:line="360" w:before="0" w:after="120"/>
        <w:ind w:firstLine="709"/>
        <w:jc w:val="both"/>
        <w:rPr/>
      </w:pPr>
      <w:r>
        <w:rPr>
          <w:rFonts w:eastAsia="Times New Roman" w:cs="Times New Roman"/>
        </w:rPr>
        <w:t>Notre recherche entend ainsi contribuer à l’amélioration de la qualité de l’enseignement de l’ECM, en mettant en évidence les pratiques efficaces ainsi que les difficultés et les insuffisances rencontrées par les formateurs en situation d’enseignement-apprentissage-évaluation. Elle vise également à enrichir les connaissances sur les pratiques évaluatives en ECM dans les institutions de formation des enseignants au Togo, en éclairant les liens entre objectifs de formation, contenus d’enseignement et techniques d’évaluation, dans la perspective d’une évaluation davantage formative, critériée et orientée vers le développement de compétences concrètes. Ses résultats pourront enfin servir à l’élaboration de grilles d’évaluation, de situations d’apprentissage et d’outils mieux adaptés à l’évaluation des compétences citoyennes.</w:t>
      </w:r>
    </w:p>
    <w:p>
      <w:pPr>
        <w:pStyle w:val="Normal"/>
        <w:spacing w:lineRule="auto" w:line="360" w:before="0" w:after="120"/>
        <w:ind w:firstLine="709"/>
        <w:jc w:val="both"/>
        <w:rPr/>
      </w:pPr>
      <w:r>
        <w:rPr>
          <w:rFonts w:eastAsia="Times New Roman" w:cs="Times New Roman"/>
        </w:rPr>
        <w:t>En définitive, le choix de notre sujet se justifie à la fois par l’importance sociale de la formation citoyenne et par la nécessité pédagogique d’évaluer efficacement les apprentissages. À travers l’analyse des techniques d’évaluation en ECM sur la notion de citoyenneté à l’ENFPE de Notsè, notre recherche vise à contribuer à la formation d’enseignants mieux outillés pour éduquer des citoyens responsables, respectueux des valeurs sociétales et aptes à participer pleinement au développement de la société togolaise.</w:t>
      </w:r>
    </w:p>
    <w:p>
      <w:pPr>
        <w:pStyle w:val="Heading2"/>
        <w:rPr/>
      </w:pPr>
      <w:bookmarkStart w:id="33" w:name="__RefHeading___Toc49440_3411847120"/>
      <w:bookmarkEnd w:id="33"/>
      <w:r>
        <w:rPr>
          <w:rFonts w:eastAsia="Times New Roman" w:cs="Times New Roman" w:ascii="Times New Roman" w:hAnsi="Times New Roman"/>
        </w:rPr>
        <w:t>2.3. Énoncé du problème</w:t>
      </w:r>
    </w:p>
    <w:p>
      <w:pPr>
        <w:pStyle w:val="Normal"/>
        <w:spacing w:lineRule="auto" w:line="360" w:before="0" w:after="120"/>
        <w:ind w:firstLine="709"/>
        <w:jc w:val="both"/>
        <w:rPr/>
      </w:pPr>
      <w:r>
        <w:rPr>
          <w:rFonts w:eastAsia="Times New Roman" w:cs="Times New Roman"/>
        </w:rPr>
        <w:t>Au Togo, les ENFPE, dont celle de Notsè, jouent un rôle clé dans la formation des enseignants du primaire. Depuis les réformes récentes, la durée de la formation est passée de neuf mois à deux ans, avec un accent particulier sur l’approche par les compétences (APC) et sur l’évaluation des compétences.</w:t>
      </w:r>
    </w:p>
    <w:p>
      <w:pPr>
        <w:pStyle w:val="Normal"/>
        <w:spacing w:lineRule="auto" w:line="360" w:before="0" w:after="120"/>
        <w:ind w:firstLine="709"/>
        <w:jc w:val="both"/>
        <w:rPr/>
      </w:pPr>
      <w:r>
        <w:rPr>
          <w:rFonts w:eastAsia="Times New Roman" w:cs="Times New Roman"/>
        </w:rPr>
        <w:t>Dans cette logique, l’enseignement-évaluation de l’ECM occupe une place de choix dans la formation des futurs enseignants. Le thème « la notion de citoyenneté » vise non seulement l’acquisition de connaissances théoriques, mais aussi le développement de comportements citoyens, de valeurs morales et de compétences sociales. L’évaluation des compétences citoyennes requiert, dans cette perspective, la mise en œuvre de techniques variées, puisqu’elle doit permettre de mesurer les acquis cognitifs, affectifs et comportementaux des futurs enseignants.</w:t>
      </w:r>
    </w:p>
    <w:p>
      <w:pPr>
        <w:pStyle w:val="Normal"/>
        <w:spacing w:lineRule="auto" w:line="360" w:before="0" w:after="120"/>
        <w:ind w:firstLine="709"/>
        <w:jc w:val="both"/>
        <w:rPr/>
      </w:pPr>
      <w:r>
        <w:rPr>
          <w:rFonts w:eastAsia="Times New Roman" w:cs="Times New Roman"/>
        </w:rPr>
        <w:t>Cette exigence s’inscrit dans l’esprit de la réforme de l’enseignement de 1975, dont les textes fondateurs soulignent que « si l’on veut éviter que l’enseignement soit un frein au développement économique et social, un énorme gaspillage, et que l’école devienne une fabrique de chômeurs, il est important qu’une réforme soit opérée » (programme du Rassemblement du peuple togolais, cité dans République togolaise, 1975). L’école nouvelle doit ainsi former des individus sains, équilibrés et épanouis dans toutes leurs dimensions : un citoyen « capable de s’adapter aisément à toutes les situations nouvelles, plein d’initiative et apte à agir sur le milieu pour le transformer » (République togolaise, 1975, p. 9).</w:t>
      </w:r>
    </w:p>
    <w:p>
      <w:pPr>
        <w:pStyle w:val="Normal"/>
        <w:spacing w:lineRule="auto" w:line="360" w:before="0" w:after="120"/>
        <w:ind w:firstLine="709"/>
        <w:jc w:val="both"/>
        <w:rPr/>
      </w:pPr>
      <w:r>
        <w:rPr>
          <w:rFonts w:eastAsia="Times New Roman" w:cs="Times New Roman"/>
        </w:rPr>
        <w:t>Or, au cours de notre stage en responsabilité, nous avons constaté que les formateurs privilégient les évaluations traditionnelles, centrées sur la restitution des savoirs théoriques, au détriment des compétences comportementales. L’évaluation des contenus liés aux valeurs citoyennes soulève dès lors d’importantes difficultés pédagogiques et didactiques, alors même que la notion de citoyenneté appelle des techniques capables d’apprécier non seulement les savoirs cognitifs, mais aussi les compétences comportementales.</w:t>
      </w:r>
    </w:p>
    <w:p>
      <w:pPr>
        <w:pStyle w:val="Normal"/>
        <w:spacing w:lineRule="auto" w:line="360" w:before="0" w:after="120"/>
        <w:ind w:firstLine="709"/>
        <w:jc w:val="both"/>
        <w:rPr/>
      </w:pPr>
      <w:r>
        <w:rPr>
          <w:rFonts w:eastAsia="Times New Roman" w:cs="Times New Roman"/>
        </w:rPr>
        <w:t>À l’ENFPE de Notsè, cette situation ne permet pas de vérifier convenablement les acquis comportementaux des élèves-professeurs. Les contenus de cette unité d’enseignement ne sont pourtant pas destinés à être récités, mais à être vécus, pratiqués et intégrés dans le comportement quotidien de l’apprenant ; leur évaluation devrait, par conséquent, porter davantage sur des comportements observables.</w:t>
      </w:r>
    </w:p>
    <w:p>
      <w:pPr>
        <w:pStyle w:val="Normal"/>
        <w:spacing w:lineRule="auto" w:line="360" w:before="0" w:after="120"/>
        <w:ind w:firstLine="709"/>
        <w:jc w:val="both"/>
        <w:rPr/>
      </w:pPr>
      <w:r>
        <w:rPr>
          <w:rFonts w:eastAsia="Times New Roman" w:cs="Times New Roman"/>
        </w:rPr>
        <w:t>C’est ce constat qui nous a conduit à nous intéresser aux techniques d’évaluation en ECM sur la notion de citoyenneté. Notre travail consistera à analyser les techniques utilisées à l’ENFPE de Notsè, leurs limites et leur efficacité dans l’évaluation des apprentissages liés à cette notion.</w:t>
      </w:r>
    </w:p>
    <w:p>
      <w:pPr>
        <w:pStyle w:val="Heading2"/>
        <w:rPr/>
      </w:pPr>
      <w:bookmarkStart w:id="34" w:name="__RefHeading___Toc49442_3411847120"/>
      <w:bookmarkEnd w:id="34"/>
      <w:r>
        <w:rPr>
          <w:rFonts w:eastAsia="Times New Roman" w:cs="Times New Roman" w:ascii="Times New Roman" w:hAnsi="Times New Roman"/>
        </w:rPr>
        <w:t>2.4. Questions de recherche</w:t>
      </w:r>
    </w:p>
    <w:p>
      <w:pPr>
        <w:pStyle w:val="Heading3"/>
        <w:rPr/>
      </w:pPr>
      <w:bookmarkStart w:id="35" w:name="__RefHeading___Toc49536_3411847120"/>
      <w:bookmarkEnd w:id="35"/>
      <w:r>
        <w:rPr>
          <w:rFonts w:eastAsia="Times New Roman" w:cs="Times New Roman" w:ascii="Times New Roman" w:hAnsi="Times New Roman"/>
        </w:rPr>
        <w:t>2.4.1. Question principale</w:t>
      </w:r>
    </w:p>
    <w:p>
      <w:pPr>
        <w:pStyle w:val="Normal"/>
        <w:spacing w:lineRule="auto" w:line="360" w:before="0" w:after="120"/>
        <w:jc w:val="both"/>
        <w:rPr/>
      </w:pPr>
      <w:r>
        <w:rPr>
          <w:rFonts w:eastAsia="Times New Roman" w:cs="Times New Roman"/>
        </w:rPr>
        <w:t>Au regard de ce constat, la question principale suivante mérite d’être posée :</w:t>
      </w:r>
    </w:p>
    <w:p>
      <w:pPr>
        <w:pStyle w:val="Normal"/>
        <w:spacing w:lineRule="auto" w:line="360" w:before="0" w:after="120"/>
        <w:ind w:left="567" w:right="567"/>
        <w:jc w:val="both"/>
        <w:rPr/>
      </w:pPr>
      <w:r>
        <w:rPr>
          <w:rFonts w:eastAsia="Times New Roman" w:cs="Times New Roman"/>
          <w:i/>
          <w:iCs/>
        </w:rPr>
        <w:t>Quelles sont les techniques d’évaluation mises en œuvre en ECM à l’ENFPE de Notsè, et dans quelle mesure permettent-elles d’apprécier et de développer la notion de citoyenneté chez les élèves-professeurs d’école ?</w:t>
      </w:r>
    </w:p>
    <w:p>
      <w:pPr>
        <w:pStyle w:val="Heading3"/>
        <w:rPr/>
      </w:pPr>
      <w:bookmarkStart w:id="36" w:name="__RefHeading___Toc49538_3411847120"/>
      <w:bookmarkEnd w:id="36"/>
      <w:r>
        <w:rPr>
          <w:rFonts w:eastAsia="Times New Roman" w:cs="Times New Roman" w:ascii="Times New Roman" w:hAnsi="Times New Roman"/>
        </w:rPr>
        <w:t>2.4.2. Questions secondaires</w:t>
      </w:r>
    </w:p>
    <w:p>
      <w:pPr>
        <w:pStyle w:val="Normal"/>
        <w:spacing w:lineRule="auto" w:line="360" w:before="0" w:after="120"/>
        <w:jc w:val="both"/>
        <w:rPr/>
      </w:pPr>
      <w:r>
        <w:rPr>
          <w:rFonts w:eastAsia="Times New Roman" w:cs="Times New Roman"/>
        </w:rPr>
        <w:t>De cette question principale découlent les questions secondaires suivantes :</w:t>
      </w:r>
    </w:p>
    <w:p>
      <w:pPr>
        <w:pStyle w:val="ListParagraph"/>
        <w:numPr>
          <w:ilvl w:val="0"/>
          <w:numId w:val="124"/>
        </w:numPr>
        <w:spacing w:lineRule="auto" w:line="360" w:before="0" w:after="40"/>
        <w:jc w:val="both"/>
        <w:rPr/>
      </w:pPr>
      <w:r>
        <w:rPr>
          <w:rFonts w:eastAsia="Times New Roman" w:cs="Times New Roman"/>
          <w:b/>
          <w:bCs/>
        </w:rPr>
        <w:t>QS1</w:t>
      </w:r>
      <w:r>
        <w:rPr>
          <w:rFonts w:eastAsia="Times New Roman" w:cs="Times New Roman"/>
        </w:rPr>
        <w:t> : quelles techniques d’évaluation les formateurs mettent-ils en œuvre en ECM à l’ENFPE de Notsè ?</w:t>
      </w:r>
    </w:p>
    <w:p>
      <w:pPr>
        <w:pStyle w:val="ListParagraph"/>
        <w:numPr>
          <w:ilvl w:val="0"/>
          <w:numId w:val="125"/>
        </w:numPr>
        <w:spacing w:lineRule="auto" w:line="360" w:before="0" w:after="40"/>
        <w:jc w:val="both"/>
        <w:rPr/>
      </w:pPr>
      <w:r>
        <w:rPr>
          <w:rFonts w:eastAsia="Times New Roman" w:cs="Times New Roman"/>
          <w:b/>
          <w:bCs/>
        </w:rPr>
        <w:t>QS2</w:t>
      </w:r>
      <w:r>
        <w:rPr>
          <w:rFonts w:eastAsia="Times New Roman" w:cs="Times New Roman"/>
        </w:rPr>
        <w:t> : ces techniques permettent-elles réellement de mesurer les compétences citoyennes des élèves-professeurs d’école ?</w:t>
      </w:r>
    </w:p>
    <w:p>
      <w:pPr>
        <w:pStyle w:val="ListParagraph"/>
        <w:numPr>
          <w:ilvl w:val="0"/>
          <w:numId w:val="126"/>
        </w:numPr>
        <w:spacing w:lineRule="auto" w:line="360" w:before="0" w:after="40"/>
        <w:jc w:val="both"/>
        <w:rPr/>
      </w:pPr>
      <w:r>
        <w:rPr>
          <w:rFonts w:eastAsia="Times New Roman" w:cs="Times New Roman"/>
          <w:b/>
          <w:bCs/>
        </w:rPr>
        <w:t>QS3</w:t>
      </w:r>
      <w:r>
        <w:rPr>
          <w:rFonts w:eastAsia="Times New Roman" w:cs="Times New Roman"/>
        </w:rPr>
        <w:t> : comment ces techniques sont-elles mises en œuvre dans l’enseignement de l’ECM, et avec quelle efficacité ?</w:t>
      </w:r>
    </w:p>
    <w:p>
      <w:pPr>
        <w:pStyle w:val="ListParagraph"/>
        <w:numPr>
          <w:ilvl w:val="0"/>
          <w:numId w:val="127"/>
        </w:numPr>
        <w:spacing w:lineRule="auto" w:line="360" w:before="0" w:after="40"/>
        <w:jc w:val="both"/>
        <w:rPr/>
      </w:pPr>
      <w:r>
        <w:rPr>
          <w:rFonts w:eastAsia="Times New Roman" w:cs="Times New Roman"/>
          <w:b/>
          <w:bCs/>
        </w:rPr>
        <w:t>QS4</w:t>
      </w:r>
      <w:r>
        <w:rPr>
          <w:rFonts w:eastAsia="Times New Roman" w:cs="Times New Roman"/>
        </w:rPr>
        <w:t> : quelles difficultés entravent l’évaluation des apprentissages en ECM au sein de l’ENFPE ?</w:t>
      </w:r>
    </w:p>
    <w:p>
      <w:pPr>
        <w:pStyle w:val="ListParagraph"/>
        <w:numPr>
          <w:ilvl w:val="0"/>
          <w:numId w:val="128"/>
        </w:numPr>
        <w:spacing w:lineRule="auto" w:line="360" w:before="0" w:after="120"/>
        <w:jc w:val="both"/>
        <w:rPr/>
      </w:pPr>
      <w:r>
        <w:rPr>
          <w:rFonts w:eastAsia="Times New Roman" w:cs="Times New Roman"/>
          <w:b/>
          <w:bCs/>
        </w:rPr>
        <w:t>QS5</w:t>
      </w:r>
      <w:r>
        <w:rPr>
          <w:rFonts w:eastAsia="Times New Roman" w:cs="Times New Roman"/>
        </w:rPr>
        <w:t> : quelles pistes d’amélioration peuvent être envisagées pour rendre ces techniques plus adaptées à la formation citoyenne ?</w:t>
      </w:r>
    </w:p>
    <w:p>
      <w:pPr>
        <w:pStyle w:val="Heading2"/>
        <w:rPr/>
      </w:pPr>
      <w:bookmarkStart w:id="37" w:name="__RefHeading___Toc49444_3411847120"/>
      <w:bookmarkEnd w:id="37"/>
      <w:r>
        <w:rPr>
          <w:rFonts w:eastAsia="Times New Roman" w:cs="Times New Roman" w:ascii="Times New Roman" w:hAnsi="Times New Roman"/>
        </w:rPr>
        <w:t>2.5. Hypothèses de l’étude</w:t>
      </w:r>
    </w:p>
    <w:p>
      <w:pPr>
        <w:pStyle w:val="Normal"/>
        <w:spacing w:lineRule="auto" w:line="360" w:before="0" w:after="120"/>
        <w:ind w:firstLine="709"/>
        <w:jc w:val="both"/>
        <w:rPr/>
      </w:pPr>
      <w:r>
        <w:rPr>
          <w:rFonts w:eastAsia="Times New Roman" w:cs="Times New Roman"/>
        </w:rPr>
        <w:t>L’atteinte de la finalité de notre étude passe par la formulation d’une hypothèse générale, déclinée en hypothèses secondaires.</w:t>
      </w:r>
    </w:p>
    <w:p>
      <w:pPr>
        <w:pStyle w:val="Heading3"/>
        <w:rPr/>
      </w:pPr>
      <w:bookmarkStart w:id="38" w:name="__RefHeading___Toc49540_3411847120"/>
      <w:bookmarkEnd w:id="38"/>
      <w:r>
        <w:rPr>
          <w:rFonts w:eastAsia="Times New Roman" w:cs="Times New Roman" w:ascii="Times New Roman" w:hAnsi="Times New Roman"/>
        </w:rPr>
        <w:t>2.5.1. Hypothèse générale</w:t>
      </w:r>
    </w:p>
    <w:p>
      <w:pPr>
        <w:pStyle w:val="Normal"/>
        <w:spacing w:lineRule="auto" w:line="360" w:before="0" w:after="120"/>
        <w:ind w:left="567" w:right="567"/>
        <w:jc w:val="both"/>
        <w:rPr/>
      </w:pPr>
      <w:r>
        <w:rPr>
          <w:rFonts w:eastAsia="Times New Roman" w:cs="Times New Roman"/>
          <w:i/>
          <w:iCs/>
        </w:rPr>
        <w:t>Les techniques d’évaluation mobilisées pour mesurer les compétences citoyennes sont calquées sur l’approche traditionnelle, c’est-à-dire sur la restitution des acquis à travers des épreuves écrites.</w:t>
      </w:r>
    </w:p>
    <w:p>
      <w:pPr>
        <w:pStyle w:val="Heading3"/>
        <w:rPr/>
      </w:pPr>
      <w:bookmarkStart w:id="39" w:name="__RefHeading___Toc49542_3411847120"/>
      <w:bookmarkEnd w:id="39"/>
      <w:r>
        <w:rPr>
          <w:rFonts w:eastAsia="Times New Roman" w:cs="Times New Roman" w:ascii="Times New Roman" w:hAnsi="Times New Roman"/>
        </w:rPr>
        <w:t>2.5.2. Hypothèses secondaires</w:t>
      </w:r>
    </w:p>
    <w:p>
      <w:pPr>
        <w:pStyle w:val="ListParagraph"/>
        <w:numPr>
          <w:ilvl w:val="0"/>
          <w:numId w:val="129"/>
        </w:numPr>
        <w:spacing w:lineRule="auto" w:line="360" w:before="0" w:after="40"/>
        <w:jc w:val="both"/>
        <w:rPr/>
      </w:pPr>
      <w:r>
        <w:rPr>
          <w:rFonts w:eastAsia="Times New Roman" w:cs="Times New Roman"/>
          <w:b/>
          <w:bCs/>
        </w:rPr>
        <w:t>H1</w:t>
      </w:r>
      <w:r>
        <w:rPr>
          <w:rFonts w:eastAsia="Times New Roman" w:cs="Times New Roman"/>
        </w:rPr>
        <w:t> : ces techniques d’évaluation ne mesurent pas suffisamment les compétences comportementales et citoyennes des élèves-professeurs ;</w:t>
      </w:r>
    </w:p>
    <w:p>
      <w:pPr>
        <w:pStyle w:val="ListParagraph"/>
        <w:numPr>
          <w:ilvl w:val="0"/>
          <w:numId w:val="130"/>
        </w:numPr>
        <w:spacing w:lineRule="auto" w:line="360" w:before="0" w:after="40"/>
        <w:jc w:val="both"/>
        <w:rPr/>
      </w:pPr>
      <w:r>
        <w:rPr>
          <w:rFonts w:eastAsia="Times New Roman" w:cs="Times New Roman"/>
          <w:b/>
          <w:bCs/>
        </w:rPr>
        <w:t>H2</w:t>
      </w:r>
      <w:r>
        <w:rPr>
          <w:rFonts w:eastAsia="Times New Roman" w:cs="Times New Roman"/>
        </w:rPr>
        <w:t> : l’évaluation formative est peu exploitée ;</w:t>
      </w:r>
    </w:p>
    <w:p>
      <w:pPr>
        <w:pStyle w:val="ListParagraph"/>
        <w:numPr>
          <w:ilvl w:val="0"/>
          <w:numId w:val="131"/>
        </w:numPr>
        <w:spacing w:lineRule="auto" w:line="360" w:before="0" w:after="40"/>
        <w:jc w:val="both"/>
        <w:rPr/>
      </w:pPr>
      <w:r>
        <w:rPr>
          <w:rFonts w:eastAsia="Times New Roman" w:cs="Times New Roman"/>
          <w:b/>
          <w:bCs/>
        </w:rPr>
        <w:t>H3</w:t>
      </w:r>
      <w:r>
        <w:rPr>
          <w:rFonts w:eastAsia="Times New Roman" w:cs="Times New Roman"/>
        </w:rPr>
        <w:t> : les limites des dispositifs d’évaluation réduisent l’efficacité pédagogique de l’ECM dans la formation citoyenne ;</w:t>
      </w:r>
    </w:p>
    <w:p>
      <w:pPr>
        <w:pStyle w:val="ListParagraph"/>
        <w:numPr>
          <w:ilvl w:val="0"/>
          <w:numId w:val="132"/>
        </w:numPr>
        <w:spacing w:lineRule="auto" w:line="360" w:before="0" w:after="40"/>
        <w:jc w:val="both"/>
        <w:rPr/>
      </w:pPr>
      <w:r>
        <w:rPr>
          <w:rFonts w:eastAsia="Times New Roman" w:cs="Times New Roman"/>
          <w:b/>
          <w:bCs/>
        </w:rPr>
        <w:t>H4</w:t>
      </w:r>
      <w:r>
        <w:rPr>
          <w:rFonts w:eastAsia="Times New Roman" w:cs="Times New Roman"/>
        </w:rPr>
        <w:t> : l’évaluation en ECM est davantage orientée vers les savoirs cognitifs que vers les comportements citoyens observables ;</w:t>
      </w:r>
    </w:p>
    <w:p>
      <w:pPr>
        <w:pStyle w:val="ListParagraph"/>
        <w:numPr>
          <w:ilvl w:val="0"/>
          <w:numId w:val="133"/>
        </w:numPr>
        <w:spacing w:lineRule="auto" w:line="360" w:before="0" w:after="120"/>
        <w:jc w:val="both"/>
        <w:rPr/>
      </w:pPr>
      <w:r>
        <w:rPr>
          <w:rFonts w:eastAsia="Times New Roman" w:cs="Times New Roman"/>
          <w:b/>
          <w:bCs/>
        </w:rPr>
        <w:t>H5</w:t>
      </w:r>
      <w:r>
        <w:rPr>
          <w:rFonts w:eastAsia="Times New Roman" w:cs="Times New Roman"/>
        </w:rPr>
        <w:t> : le recours à des techniques d’évaluation formatives et actives favorise une meilleure construction des attitudes citoyennes et renforce l’adhésion des élèves-professeurs aux valeurs citoyennes observables.</w:t>
      </w:r>
    </w:p>
    <w:p>
      <w:pPr>
        <w:pStyle w:val="Heading2"/>
        <w:rPr/>
      </w:pPr>
      <w:bookmarkStart w:id="40" w:name="__RefHeading___Toc49446_3411847120"/>
      <w:bookmarkEnd w:id="40"/>
      <w:r>
        <w:rPr>
          <w:rFonts w:eastAsia="Times New Roman" w:cs="Times New Roman" w:ascii="Times New Roman" w:hAnsi="Times New Roman"/>
        </w:rPr>
        <w:t>2.6. Variables et indicateurs</w:t>
      </w:r>
    </w:p>
    <w:p>
      <w:pPr>
        <w:pStyle w:val="Normal"/>
        <w:spacing w:lineRule="auto" w:line="360" w:before="0" w:after="120"/>
        <w:ind w:firstLine="709"/>
        <w:jc w:val="both"/>
        <w:rPr/>
      </w:pPr>
      <w:r>
        <w:rPr>
          <w:rFonts w:eastAsia="Times New Roman" w:cs="Times New Roman"/>
        </w:rPr>
        <w:t>Afin de conduire notre recherche avec rigueur, il importe de préciser les concepts à mesurer, leurs dimensions et les indicateurs qui permettront de recueillir et d’analyser finement les données. Deux catégories de variables ont été retenues : la variable indépendante et la variable dépendante.</w:t>
      </w:r>
    </w:p>
    <w:p>
      <w:pPr>
        <w:pStyle w:val="Heading3"/>
        <w:rPr/>
      </w:pPr>
      <w:bookmarkStart w:id="41" w:name="__RefHeading___Toc49544_3411847120"/>
      <w:bookmarkEnd w:id="41"/>
      <w:r>
        <w:rPr>
          <w:rFonts w:eastAsia="Times New Roman" w:cs="Times New Roman" w:ascii="Times New Roman" w:hAnsi="Times New Roman"/>
        </w:rPr>
        <w:t>2.6.1. Variable indépendante : les techniques d’évaluation</w:t>
      </w:r>
    </w:p>
    <w:p>
      <w:pPr>
        <w:pStyle w:val="Normal"/>
        <w:spacing w:lineRule="auto" w:line="360" w:before="0" w:after="120"/>
        <w:ind w:firstLine="709"/>
        <w:jc w:val="both"/>
        <w:rPr/>
      </w:pPr>
      <w:r>
        <w:rPr>
          <w:rFonts w:eastAsia="Times New Roman" w:cs="Times New Roman"/>
        </w:rPr>
        <w:t>La variable indépendante désigne le facteur explicatif, supposé influer sur le phénomène étudié. Dans cette recherche, il s’agit des techniques d’évaluation mobilisées par les formateurs en ECM à l’ENFPE de Notsè, c’est-à-dire de l’ensemble des méthodes, procédés et instruments (épreuves écrites, épreuves orales, mises en situation, projets, activités pratiques) utilisés pour recueillir des informations sur les apprentissages des élèves-professeurs.</w:t>
      </w:r>
    </w:p>
    <w:p>
      <w:pPr>
        <w:pStyle w:val="Heading3"/>
        <w:rPr/>
      </w:pPr>
      <w:bookmarkStart w:id="42" w:name="__RefHeading___Toc49546_3411847120"/>
      <w:bookmarkEnd w:id="42"/>
      <w:r>
        <w:rPr>
          <w:rFonts w:eastAsia="Times New Roman" w:cs="Times New Roman" w:ascii="Times New Roman" w:hAnsi="Times New Roman"/>
        </w:rPr>
        <w:t>2.6.2. Variable dépendante : l’adéquation avec la notion de citoyenneté</w:t>
      </w:r>
    </w:p>
    <w:p>
      <w:pPr>
        <w:pStyle w:val="Normal"/>
        <w:spacing w:lineRule="auto" w:line="360" w:before="0" w:after="120"/>
        <w:ind w:firstLine="709"/>
        <w:jc w:val="both"/>
        <w:rPr/>
      </w:pPr>
      <w:r>
        <w:rPr>
          <w:rFonts w:eastAsia="Times New Roman" w:cs="Times New Roman"/>
        </w:rPr>
        <w:t>La variable dépendante désigne le phénomène que la recherche tente d’expliquer. Il s’agit ici de l’adéquation entre les techniques d’évaluation mobilisées et les objectifs de la formation à la citoyenneté en ECM. Sur le plan opérationnel, cette adéquation renvoie au degré de correspondance entre les techniques mises en œuvre par les formateurs et les trois dimensions de la citoyenneté visées par le programme d’ECM : la dimension cognitive (connaissances), la dimension affective (attitudes et valeurs) et la dimension comportementale (pratiques citoyennes). Elle se traduit, chez les élèves-professeurs, par le degré d’appropriation de la notion de citoyenneté.</w:t>
      </w:r>
    </w:p>
    <w:p>
      <w:pPr>
        <w:pStyle w:val="Normal"/>
        <w:spacing w:lineRule="auto" w:line="360" w:before="0" w:after="120"/>
        <w:ind w:firstLine="709"/>
        <w:jc w:val="both"/>
        <w:rPr/>
      </w:pPr>
      <w:r>
        <w:rPr>
          <w:rFonts w:eastAsia="Times New Roman" w:cs="Times New Roman"/>
        </w:rPr>
        <w:t>Certaines variables contextuelles sont également prises en compte dans l’interprétation des résultats : le niveau des élèves-professeurs, la durée de la formation, la formation des formateurs en docimologie et le contexte institutionnel.</w:t>
      </w:r>
    </w:p>
    <w:p>
      <w:pPr>
        <w:pStyle w:val="Heading3"/>
        <w:rPr/>
      </w:pPr>
      <w:bookmarkStart w:id="43" w:name="__RefHeading___Toc49548_3411847120"/>
      <w:bookmarkEnd w:id="43"/>
      <w:r>
        <w:rPr>
          <w:rFonts w:eastAsia="Times New Roman" w:cs="Times New Roman" w:ascii="Times New Roman" w:hAnsi="Times New Roman"/>
        </w:rPr>
        <w:t>2.6.3. Indicateurs</w:t>
      </w:r>
    </w:p>
    <w:p>
      <w:pPr>
        <w:pStyle w:val="Normal"/>
        <w:spacing w:lineRule="auto" w:line="360" w:before="0" w:after="120"/>
        <w:ind w:firstLine="709"/>
        <w:jc w:val="both"/>
        <w:rPr/>
      </w:pPr>
      <w:r>
        <w:rPr>
          <w:rFonts w:eastAsia="Times New Roman" w:cs="Times New Roman"/>
        </w:rPr>
        <w:t>Les indicateurs retenus portent sur la fréquence des évaluations, la nature des outils d’évaluation, les critères utilisés, les connaissances civiques, les attitudes citoyennes et les comportements observables chez les élèves-professeurs de l’ENFPE de Notsè.</w:t>
      </w:r>
    </w:p>
    <w:p>
      <w:pPr>
        <w:pStyle w:val="Heading2"/>
        <w:rPr/>
      </w:pPr>
      <w:bookmarkStart w:id="44" w:name="__RefHeading___Toc49448_3411847120"/>
      <w:bookmarkEnd w:id="44"/>
      <w:r>
        <w:rPr>
          <w:rFonts w:eastAsia="Times New Roman" w:cs="Times New Roman" w:ascii="Times New Roman" w:hAnsi="Times New Roman"/>
        </w:rPr>
        <w:t>2.7. Objectifs de l’étude</w:t>
      </w:r>
    </w:p>
    <w:p>
      <w:pPr>
        <w:pStyle w:val="Normal"/>
        <w:spacing w:lineRule="auto" w:line="360" w:before="0" w:after="120"/>
        <w:ind w:firstLine="709"/>
        <w:jc w:val="both"/>
        <w:rPr/>
      </w:pPr>
      <w:r>
        <w:rPr>
          <w:rFonts w:eastAsia="Times New Roman" w:cs="Times New Roman"/>
        </w:rPr>
        <w:t>Pour conduire nos recherches, nous nous sommes fixé un objectif général, décliné en objectifs opérationnels, afin d’orienter notre démarche vers la vérification des hypothèses.</w:t>
      </w:r>
    </w:p>
    <w:p>
      <w:pPr>
        <w:pStyle w:val="Heading3"/>
        <w:rPr/>
      </w:pPr>
      <w:bookmarkStart w:id="45" w:name="__RefHeading___Toc49550_3411847120"/>
      <w:bookmarkEnd w:id="45"/>
      <w:r>
        <w:rPr>
          <w:rFonts w:eastAsia="Times New Roman" w:cs="Times New Roman" w:ascii="Times New Roman" w:hAnsi="Times New Roman"/>
        </w:rPr>
        <w:t>2.7.1. Objectif général</w:t>
      </w:r>
    </w:p>
    <w:p>
      <w:pPr>
        <w:pStyle w:val="Normal"/>
        <w:spacing w:lineRule="auto" w:line="360" w:before="0" w:after="120"/>
        <w:ind w:firstLine="709"/>
        <w:jc w:val="both"/>
        <w:rPr/>
      </w:pPr>
      <w:r>
        <w:rPr>
          <w:rFonts w:eastAsia="Times New Roman" w:cs="Times New Roman"/>
        </w:rPr>
        <w:t>Cette recherche vise à analyser les techniques d’évaluation mises en œuvre en ECM à l’ENFPE de Notsè, afin d’apprécier leur contribution à l’appropriation de la notion de citoyenneté par les EPE et leur efficacité dans la formation à la citoyenneté.</w:t>
      </w:r>
    </w:p>
    <w:p>
      <w:pPr>
        <w:pStyle w:val="Heading3"/>
        <w:rPr/>
      </w:pPr>
      <w:bookmarkStart w:id="46" w:name="__RefHeading___Toc49552_3411847120"/>
      <w:bookmarkEnd w:id="46"/>
      <w:r>
        <w:rPr>
          <w:rFonts w:eastAsia="Times New Roman" w:cs="Times New Roman" w:ascii="Times New Roman" w:hAnsi="Times New Roman"/>
        </w:rPr>
        <w:t>2.7.2. Objectifs opérationnels</w:t>
      </w:r>
    </w:p>
    <w:p>
      <w:pPr>
        <w:pStyle w:val="Normal"/>
        <w:spacing w:lineRule="auto" w:line="360" w:before="0" w:after="120"/>
        <w:jc w:val="both"/>
        <w:rPr/>
      </w:pPr>
      <w:r>
        <w:rPr>
          <w:rFonts w:eastAsia="Times New Roman" w:cs="Times New Roman"/>
        </w:rPr>
        <w:t>De manière opérationnelle, il s’agit de :</w:t>
      </w:r>
    </w:p>
    <w:p>
      <w:pPr>
        <w:pStyle w:val="ListParagraph"/>
        <w:numPr>
          <w:ilvl w:val="0"/>
          <w:numId w:val="134"/>
        </w:numPr>
        <w:spacing w:lineRule="auto" w:line="360" w:before="0" w:after="40"/>
        <w:jc w:val="both"/>
        <w:rPr/>
      </w:pPr>
      <w:r>
        <w:rPr>
          <w:rFonts w:eastAsia="Times New Roman" w:cs="Times New Roman"/>
          <w:b/>
          <w:bCs/>
        </w:rPr>
        <w:t>OO1</w:t>
      </w:r>
      <w:r>
        <w:rPr>
          <w:rFonts w:eastAsia="Times New Roman" w:cs="Times New Roman"/>
        </w:rPr>
        <w:t> : identifier les techniques d’évaluation mises en œuvre par les formateurs en ECM à l’ENFPE de Notsè ;</w:t>
      </w:r>
    </w:p>
    <w:p>
      <w:pPr>
        <w:pStyle w:val="ListParagraph"/>
        <w:numPr>
          <w:ilvl w:val="0"/>
          <w:numId w:val="135"/>
        </w:numPr>
        <w:spacing w:lineRule="auto" w:line="360" w:before="0" w:after="40"/>
        <w:jc w:val="both"/>
        <w:rPr/>
      </w:pPr>
      <w:r>
        <w:rPr>
          <w:rFonts w:eastAsia="Times New Roman" w:cs="Times New Roman"/>
          <w:b/>
          <w:bCs/>
        </w:rPr>
        <w:t>OO2</w:t>
      </w:r>
      <w:r>
        <w:rPr>
          <w:rFonts w:eastAsia="Times New Roman" w:cs="Times New Roman"/>
        </w:rPr>
        <w:t> : examiner leur pertinence au regard des compétences visées et des dimensions de la citoyenneté effectivement prises en compte ;</w:t>
      </w:r>
    </w:p>
    <w:p>
      <w:pPr>
        <w:pStyle w:val="ListParagraph"/>
        <w:numPr>
          <w:ilvl w:val="0"/>
          <w:numId w:val="136"/>
        </w:numPr>
        <w:spacing w:lineRule="auto" w:line="360" w:before="0" w:after="40"/>
        <w:jc w:val="both"/>
        <w:rPr/>
      </w:pPr>
      <w:r>
        <w:rPr>
          <w:rFonts w:eastAsia="Times New Roman" w:cs="Times New Roman"/>
          <w:b/>
          <w:bCs/>
        </w:rPr>
        <w:t>OO3</w:t>
      </w:r>
      <w:r>
        <w:rPr>
          <w:rFonts w:eastAsia="Times New Roman" w:cs="Times New Roman"/>
        </w:rPr>
        <w:t> : évaluer leur efficacité ;</w:t>
      </w:r>
    </w:p>
    <w:p>
      <w:pPr>
        <w:pStyle w:val="ListParagraph"/>
        <w:numPr>
          <w:ilvl w:val="0"/>
          <w:numId w:val="137"/>
        </w:numPr>
        <w:spacing w:lineRule="auto" w:line="360" w:before="0" w:after="40"/>
        <w:jc w:val="both"/>
        <w:rPr/>
      </w:pPr>
      <w:r>
        <w:rPr>
          <w:rFonts w:eastAsia="Times New Roman" w:cs="Times New Roman"/>
          <w:b/>
          <w:bCs/>
        </w:rPr>
        <w:t>OO4</w:t>
      </w:r>
      <w:r>
        <w:rPr>
          <w:rFonts w:eastAsia="Times New Roman" w:cs="Times New Roman"/>
        </w:rPr>
        <w:t> : identifier les contraintes liées à leur mise en œuvre et les insuffisances des pratiques évaluatives observées ;</w:t>
      </w:r>
    </w:p>
    <w:p>
      <w:pPr>
        <w:pStyle w:val="ListParagraph"/>
        <w:numPr>
          <w:ilvl w:val="0"/>
          <w:numId w:val="138"/>
        </w:numPr>
        <w:spacing w:lineRule="auto" w:line="360" w:before="0" w:after="120"/>
        <w:jc w:val="both"/>
        <w:rPr/>
      </w:pPr>
      <w:r>
        <w:rPr>
          <w:rFonts w:eastAsia="Times New Roman" w:cs="Times New Roman"/>
          <w:b/>
          <w:bCs/>
        </w:rPr>
        <w:t>OO5</w:t>
      </w:r>
      <w:r>
        <w:rPr>
          <w:rFonts w:eastAsia="Times New Roman" w:cs="Times New Roman"/>
        </w:rPr>
        <w:t> : proposer des pistes d’amélioration permettant de passer de la théorie à la pratique.</w:t>
      </w:r>
    </w:p>
    <w:p>
      <w:pPr>
        <w:pStyle w:val="Heading1"/>
        <w:rPr/>
      </w:pPr>
      <w:bookmarkStart w:id="47" w:name="__RefHeading___Toc49450_3411847120"/>
      <w:bookmarkEnd w:id="47"/>
      <w:r>
        <w:rPr>
          <w:rFonts w:eastAsia="Times New Roman" w:cs="Times New Roman" w:ascii="Times New Roman" w:hAnsi="Times New Roman"/>
        </w:rPr>
        <w:t>CHAPITRE 3 : APPROCHE THÉORIQUE ET MÉTHODOLOGIQUE</w:t>
      </w:r>
    </w:p>
    <w:p>
      <w:pPr>
        <w:pStyle w:val="Normal"/>
        <w:spacing w:lineRule="auto" w:line="360" w:before="0" w:after="120"/>
        <w:ind w:firstLine="709"/>
        <w:jc w:val="both"/>
        <w:rPr/>
      </w:pPr>
      <w:r>
        <w:rPr>
          <w:rFonts w:eastAsia="Times New Roman" w:cs="Times New Roman"/>
        </w:rPr>
        <w:t>Ce chapitre précise d’abord les concepts clés de l’étude, puis présente la revue de la littérature et le cadre théorique de référence, avant d’exposer la démarche méthodologique adoptée pour comprendre et résoudre le problème posé.</w:t>
      </w:r>
    </w:p>
    <w:p>
      <w:pPr>
        <w:pStyle w:val="Heading2"/>
        <w:rPr/>
      </w:pPr>
      <w:bookmarkStart w:id="48" w:name="__RefHeading___Toc49452_3411847120"/>
      <w:bookmarkEnd w:id="48"/>
      <w:r>
        <w:rPr>
          <w:rFonts w:eastAsia="Times New Roman" w:cs="Times New Roman" w:ascii="Times New Roman" w:hAnsi="Times New Roman"/>
        </w:rPr>
        <w:t>3.1. Clarification des concepts</w:t>
      </w:r>
    </w:p>
    <w:p>
      <w:pPr>
        <w:pStyle w:val="Normal"/>
        <w:spacing w:lineRule="auto" w:line="360" w:before="0" w:after="120"/>
        <w:ind w:firstLine="709"/>
        <w:jc w:val="both"/>
        <w:rPr/>
      </w:pPr>
      <w:r>
        <w:rPr>
          <w:rFonts w:eastAsia="Times New Roman" w:cs="Times New Roman"/>
        </w:rPr>
        <w:t>Pour mieux cerner les contours de notre étude, il importe de clarifier ses concepts clés.</w:t>
      </w:r>
    </w:p>
    <w:p>
      <w:pPr>
        <w:pStyle w:val="Heading3"/>
        <w:rPr/>
      </w:pPr>
      <w:bookmarkStart w:id="49" w:name="__RefHeading___Toc49554_3411847120"/>
      <w:bookmarkEnd w:id="49"/>
      <w:r>
        <w:rPr>
          <w:rFonts w:eastAsia="Times New Roman" w:cs="Times New Roman" w:ascii="Times New Roman" w:hAnsi="Times New Roman"/>
        </w:rPr>
        <w:t>3.1.1. Analyse</w:t>
      </w:r>
    </w:p>
    <w:p>
      <w:pPr>
        <w:pStyle w:val="Normal"/>
        <w:spacing w:lineRule="auto" w:line="360" w:before="0" w:after="120"/>
        <w:ind w:firstLine="709"/>
        <w:jc w:val="both"/>
        <w:rPr/>
      </w:pPr>
      <w:r>
        <w:rPr>
          <w:rFonts w:eastAsia="Times New Roman" w:cs="Times New Roman"/>
        </w:rPr>
        <w:t xml:space="preserve">Selon le </w:t>
      </w:r>
      <w:r>
        <w:rPr>
          <w:rFonts w:eastAsia="Times New Roman" w:cs="Times New Roman"/>
          <w:i/>
          <w:iCs/>
        </w:rPr>
        <w:t>Dictionnaire des sciences humaines</w:t>
      </w:r>
      <w:r>
        <w:rPr>
          <w:rFonts w:eastAsia="Times New Roman" w:cs="Times New Roman"/>
        </w:rPr>
        <w:t xml:space="preserve"> (s.d.), l’analyse est « une démarche de pensée qui se propose de décomposer un problème ou une notion en éléments plus simples » (p. 17). Plus largement, il s’agit d’une démarche intellectuelle consistant à décomposer un objet d’étude en ses éléments essentiels afin d’en comprendre la structure, le fonctionnement, la signification, les relations et la portée. Dans un travail de recherche, elle permet d’examiner une réalité de manière méthodique pour en dégager le sens, les forces, les limites et les implications. Dans le cadre de notre étude, l’analyse porte sur la manière dont les techniques d’évaluation sont mises en œuvre en ECM et sur leur capacité à mesurer réellement l’appropriation de la notion de citoyenneté par les élèves-professeurs.</w:t>
      </w:r>
    </w:p>
    <w:p>
      <w:pPr>
        <w:pStyle w:val="Heading3"/>
        <w:rPr/>
      </w:pPr>
      <w:bookmarkStart w:id="50" w:name="__RefHeading___Toc49556_3411847120"/>
      <w:bookmarkEnd w:id="50"/>
      <w:r>
        <w:rPr>
          <w:rFonts w:eastAsia="Times New Roman" w:cs="Times New Roman" w:ascii="Times New Roman" w:hAnsi="Times New Roman"/>
        </w:rPr>
        <w:t>3.1.2. Techniques</w:t>
      </w:r>
    </w:p>
    <w:p>
      <w:pPr>
        <w:pStyle w:val="Normal"/>
        <w:spacing w:lineRule="auto" w:line="360" w:before="0" w:after="120"/>
        <w:ind w:firstLine="709"/>
        <w:jc w:val="both"/>
        <w:rPr/>
      </w:pPr>
      <w:r>
        <w:rPr>
          <w:rFonts w:eastAsia="Times New Roman" w:cs="Times New Roman"/>
        </w:rPr>
        <w:t>De manière générale, les techniques désignent l’ensemble des procédés, méthodes, moyens ou démarches pratiques mobilisés pour atteindre un objectif précis. En contexte scolaire, elles renvoient à la manière concrète d’agir pour recueillir des informations, observer des acquis ou apprécier les performances des apprenants. Dans la présente étude, elles peuvent prendre la forme d’épreuves écrites, d’observations, d’entretiens ou de grilles d’évaluation.</w:t>
      </w:r>
    </w:p>
    <w:p>
      <w:pPr>
        <w:pStyle w:val="Heading3"/>
        <w:rPr/>
      </w:pPr>
      <w:bookmarkStart w:id="51" w:name="__RefHeading___Toc49558_3411847120"/>
      <w:bookmarkEnd w:id="51"/>
      <w:r>
        <w:rPr>
          <w:rFonts w:eastAsia="Times New Roman" w:cs="Times New Roman" w:ascii="Times New Roman" w:hAnsi="Times New Roman"/>
        </w:rPr>
        <w:t>3.1.3. Évaluation</w:t>
      </w:r>
    </w:p>
    <w:p>
      <w:pPr>
        <w:pStyle w:val="Normal"/>
        <w:spacing w:lineRule="auto" w:line="360" w:before="0" w:after="120"/>
        <w:ind w:firstLine="709"/>
        <w:jc w:val="both"/>
        <w:rPr/>
      </w:pPr>
      <w:r>
        <w:rPr>
          <w:rFonts w:eastAsia="Times New Roman" w:cs="Times New Roman"/>
        </w:rPr>
        <w:t xml:space="preserve">Le terme « évaluation » est employé dans de nombreux domaines. Au sens général, évaluer, c’est « attribuer une valeur à un objet » (Pelpel, 2002, p. 210). </w:t>
      </w:r>
      <w:r>
        <w:rPr>
          <w:rFonts w:eastAsia="Times New Roman" w:cs="Times New Roman"/>
          <w:i/>
          <w:iCs/>
        </w:rPr>
        <w:t>Le Petit Robert</w:t>
      </w:r>
      <w:r>
        <w:rPr>
          <w:rFonts w:eastAsia="Times New Roman" w:cs="Times New Roman"/>
        </w:rPr>
        <w:t xml:space="preserve"> (Le Robert, 2013) la définit comme un processus d’analyse et de mesure d’une situation, d’un objet, d’un service ou d’une personne en vue d’en déterminer la qualité, l’efficacité, la performance, la pertinence ou la valeur. Notre intérêt porte toutefois sur l’évaluation pédagogique en situation d’enseignement-apprentissage. Selon le </w:t>
      </w:r>
      <w:r>
        <w:rPr>
          <w:rFonts w:eastAsia="Times New Roman" w:cs="Times New Roman"/>
          <w:i/>
          <w:iCs/>
        </w:rPr>
        <w:t>Dictionnaire des sciences humaines</w:t>
      </w:r>
      <w:r>
        <w:rPr>
          <w:rFonts w:eastAsia="Times New Roman" w:cs="Times New Roman"/>
        </w:rPr>
        <w:t xml:space="preserve"> (s.d.), celle-ci constitue un régulateur de l’acquisition des apprentissages : elle vise à aider l’élève à progresser en lui permettant de prendre conscience de ses erreurs et de les comprendre (p. 223).</w:t>
      </w:r>
    </w:p>
    <w:p>
      <w:pPr>
        <w:pStyle w:val="Normal"/>
        <w:spacing w:lineRule="auto" w:line="360" w:before="0" w:after="120"/>
        <w:ind w:firstLine="709"/>
        <w:jc w:val="both"/>
        <w:rPr/>
      </w:pPr>
      <w:r>
        <w:rPr>
          <w:rFonts w:eastAsia="Times New Roman" w:cs="Times New Roman"/>
        </w:rPr>
        <w:t>L’évaluation des apprentissages peut ainsi être définie comme un processus continu qui consiste à recueillir des informations pertinentes, valides et fiables, à les confronter à des critères explicites et à leur donner du sens en vue de prendre une décision (De Ketele, 1989). Dans le champ éducatif, elle ne se limite pas à la notation : elle sert à apprécier le degré d’atteinte des objectifs d’apprentissage et à orienter l’action pédagogique. Dans ce travail, l’évaluation désigne l’ensemble des méthodes et instruments (interrogations, examens, grilles d’observation, portfolios) utilisés par les formateurs de l’ENFPE de Notsè pour mesurer les acquis des élèves-professeurs en ECM.</w:t>
      </w:r>
    </w:p>
    <w:p>
      <w:pPr>
        <w:pStyle w:val="Normal"/>
        <w:spacing w:lineRule="auto" w:line="360" w:before="0" w:after="120"/>
        <w:jc w:val="both"/>
        <w:rPr/>
      </w:pPr>
      <w:r>
        <w:rPr>
          <w:rFonts w:eastAsia="Times New Roman" w:cs="Times New Roman"/>
        </w:rPr>
        <w:t>Selon le moment et la fonction, on distingue notamment :</w:t>
      </w:r>
    </w:p>
    <w:p>
      <w:pPr>
        <w:pStyle w:val="ListParagraph"/>
        <w:numPr>
          <w:ilvl w:val="0"/>
          <w:numId w:val="139"/>
        </w:numPr>
        <w:spacing w:lineRule="auto" w:line="360" w:before="0" w:after="40"/>
        <w:jc w:val="both"/>
        <w:rPr/>
      </w:pPr>
      <w:r>
        <w:rPr>
          <w:rFonts w:eastAsia="Times New Roman" w:cs="Times New Roman"/>
        </w:rPr>
        <w:t>l’évaluation formative, qui intervient au cours du processus d’enseignement-apprentissage : elle vise à diagnostiquer les difficultés des apprenants afin d’adapter les pratiques d’enseignement ;</w:t>
      </w:r>
    </w:p>
    <w:p>
      <w:pPr>
        <w:pStyle w:val="ListParagraph"/>
        <w:numPr>
          <w:ilvl w:val="0"/>
          <w:numId w:val="140"/>
        </w:numPr>
        <w:spacing w:lineRule="auto" w:line="360" w:before="0" w:after="120"/>
        <w:jc w:val="both"/>
        <w:rPr/>
      </w:pPr>
      <w:r>
        <w:rPr>
          <w:rFonts w:eastAsia="Times New Roman" w:cs="Times New Roman"/>
        </w:rPr>
        <w:t>l’évaluation sommative, qui intervient au terme des apprentissages : elle porte un jugement sur le niveau d’atteinte des objectifs ou de maîtrise des compétences.</w:t>
      </w:r>
    </w:p>
    <w:p>
      <w:pPr>
        <w:pStyle w:val="Normal"/>
        <w:spacing w:lineRule="auto" w:line="360" w:before="0" w:after="120"/>
        <w:ind w:firstLine="709"/>
        <w:jc w:val="both"/>
        <w:rPr/>
      </w:pPr>
      <w:r>
        <w:rPr>
          <w:rFonts w:eastAsia="Times New Roman" w:cs="Times New Roman"/>
        </w:rPr>
        <w:t>Cette distinction est essentielle dans notre cadre d’étude : l’ECM visant à développer à la fois des connaissances civiques et des compétences professionnelles (la capacité à enseigner le civisme), son évaluation est nécessairement plurielle, à la fois accompagnement continu et bilan final.</w:t>
      </w:r>
    </w:p>
    <w:p>
      <w:pPr>
        <w:pStyle w:val="Heading3"/>
        <w:rPr/>
      </w:pPr>
      <w:bookmarkStart w:id="52" w:name="__RefHeading___Toc49560_3411847120"/>
      <w:bookmarkEnd w:id="52"/>
      <w:r>
        <w:rPr>
          <w:rFonts w:eastAsia="Times New Roman" w:cs="Times New Roman" w:ascii="Times New Roman" w:hAnsi="Times New Roman"/>
        </w:rPr>
        <w:t>3.1.4. Techniques d’évaluation</w:t>
      </w:r>
    </w:p>
    <w:p>
      <w:pPr>
        <w:pStyle w:val="Normal"/>
        <w:spacing w:lineRule="auto" w:line="360" w:before="0" w:after="120"/>
        <w:ind w:firstLine="709"/>
        <w:jc w:val="both"/>
        <w:rPr/>
      </w:pPr>
      <w:r>
        <w:rPr>
          <w:rFonts w:eastAsia="Times New Roman" w:cs="Times New Roman"/>
        </w:rPr>
        <w:t>Les techniques d’évaluation sont les procédés et outils concrets mobilisés pour recueillir des données sur les apprentissages (De Ketele, 1989 ; Scallon, 2004) : entretiens, grilles d’observation, tests écrits, etc. Dans le cadre de l’approche par les compétences (APC) en vigueur dans les ENFPE, l’évaluation n’est pas un simple instrument de mesure des connaissances ; elle stimule aussi les savoir-faire (capacités pratiques) et les savoir-être (valeurs civiques, attitudes, comportements éthiques). Dans notre étude, les techniques d’évaluation désignent l’ensemble des pratiques observables — types d’épreuves et fréquence des évaluations — utilisées à l’ENFPE de Notsè pour apprécier les apprentissages des élèves-professeurs.</w:t>
      </w:r>
    </w:p>
    <w:p>
      <w:pPr>
        <w:pStyle w:val="Heading3"/>
        <w:rPr/>
      </w:pPr>
      <w:bookmarkStart w:id="53" w:name="__RefHeading___Toc49562_3411847120"/>
      <w:bookmarkEnd w:id="53"/>
      <w:r>
        <w:rPr>
          <w:rFonts w:eastAsia="Times New Roman" w:cs="Times New Roman" w:ascii="Times New Roman" w:hAnsi="Times New Roman"/>
        </w:rPr>
        <w:t>3.1.5. Éducation civique et morale (ECM)</w:t>
      </w:r>
    </w:p>
    <w:p>
      <w:pPr>
        <w:pStyle w:val="Normal"/>
        <w:spacing w:lineRule="auto" w:line="360" w:before="0" w:after="120"/>
        <w:ind w:firstLine="709"/>
        <w:jc w:val="both"/>
        <w:rPr/>
      </w:pPr>
      <w:r>
        <w:rPr>
          <w:rFonts w:eastAsia="Times New Roman" w:cs="Times New Roman"/>
        </w:rPr>
        <w:t>L’Éducation civique et morale (ECM) est une discipline scolaire qui vise à former des citoyens responsables, conscients de leurs droits et devoirs, capables de participer activement à la vie démocratique et communautaire (Ministère des Enseignements primaire et secondaire [MEPS], 2015). Elle poursuit la formation du futur citoyen par l’acquisition de connaissances, de valeurs, d’attitudes et de comportements conformes à la vie en société, et cherche à développer le sens du devoir, le respect des règles communes, la solidarité, la responsabilité et la participation à la vie collective. Dans la logique des cadres internationaux, elle contribue à former des apprenants capables d’agir de façon éthique, responsable et participative dans leur environnement social (UNESCO, 2015). Elle ambitionne, en somme, de faire de l’apprenant un bon citoyen, doté d’une culture morale, civique et démocratique qui lui permette de participer activement à la vie sociale, politique et économique, ainsi qu’à la protection de son environnement.</w:t>
      </w:r>
    </w:p>
    <w:p>
      <w:pPr>
        <w:pStyle w:val="Heading3"/>
        <w:rPr/>
      </w:pPr>
      <w:bookmarkStart w:id="54" w:name="__RefHeading___Toc49564_3411847120"/>
      <w:bookmarkEnd w:id="54"/>
      <w:r>
        <w:rPr>
          <w:rFonts w:eastAsia="Times New Roman" w:cs="Times New Roman" w:ascii="Times New Roman" w:hAnsi="Times New Roman"/>
        </w:rPr>
        <w:t>3.1.6. Citoyenneté et notion de citoyenneté</w:t>
      </w:r>
    </w:p>
    <w:p>
      <w:pPr>
        <w:pStyle w:val="Normal"/>
        <w:spacing w:lineRule="auto" w:line="360" w:before="0" w:after="120"/>
        <w:ind w:firstLine="709"/>
        <w:jc w:val="both"/>
        <w:rPr/>
      </w:pPr>
      <w:r>
        <w:rPr>
          <w:rFonts w:eastAsia="Times New Roman" w:cs="Times New Roman"/>
        </w:rPr>
        <w:t>La citoyenneté est la qualité de citoyen, c’est-à-dire l’état d’une personne reconnue comme membre d’une communauté politique, jouissant de droits et assumant des devoirs. Elle renvoie à la participation active à la vie publique, au respect des lois, à l’exercice des responsabilités civiques et à l’engagement en faveur du bien commun. Dans le cadre éducatif, elle comporte en outre des dimensions cognitive, socioaffective et comportementale (UNESCO, 2015).</w:t>
      </w:r>
    </w:p>
    <w:p>
      <w:pPr>
        <w:pStyle w:val="Normal"/>
        <w:spacing w:lineRule="auto" w:line="360" w:before="0" w:after="120"/>
        <w:ind w:firstLine="709"/>
        <w:jc w:val="both"/>
        <w:rPr/>
      </w:pPr>
      <w:r>
        <w:rPr>
          <w:rFonts w:eastAsia="Times New Roman" w:cs="Times New Roman"/>
        </w:rPr>
        <w:t>La notion de citoyenneté désigne, quant à elle, l’ensemble des connaissances, valeurs, attitudes et comportements qui traduisent l’exercice concret de la citoyenneté dans la société. Elle ne se limite pas au statut juridique du citoyen ; elle englobe la participation, la responsabilité et l’adhésion aux principes de justice, de tolérance, de paix et de solidarité. Dans notre recherche, elle constitue l’objet central que l’ECM s’efforce de construire et pour lequel l’évaluation doit fournir des instruments de mesure adéquats.</w:t>
      </w:r>
    </w:p>
    <w:p>
      <w:pPr>
        <w:pStyle w:val="Heading3"/>
        <w:rPr/>
      </w:pPr>
      <w:bookmarkStart w:id="55" w:name="__RefHeading___Toc49566_3411847120"/>
      <w:bookmarkEnd w:id="55"/>
      <w:r>
        <w:rPr>
          <w:rFonts w:eastAsia="Times New Roman" w:cs="Times New Roman" w:ascii="Times New Roman" w:hAnsi="Times New Roman"/>
        </w:rPr>
        <w:t>3.1.7. École normale de formation des professeurs d’école (ENFPE)</w:t>
      </w:r>
    </w:p>
    <w:p>
      <w:pPr>
        <w:pStyle w:val="Normal"/>
        <w:spacing w:lineRule="auto" w:line="360" w:before="0" w:after="120"/>
        <w:ind w:firstLine="709"/>
        <w:jc w:val="both"/>
        <w:rPr/>
      </w:pPr>
      <w:r>
        <w:rPr>
          <w:rFonts w:eastAsia="Times New Roman" w:cs="Times New Roman"/>
        </w:rPr>
        <w:t>L’ENFPE est un établissement public de formation professionnelle des enseignants du préscolaire et du primaire au Togo. Depuis novembre 2022, les anciennes écoles normales d’instituteurs (ENI) portent cette dénomination. L’ENFPE de Notsè constitue notre terrain d’étude : c’est l’institution où nous avons observé, au cours de notre stage en responsabilité, les pratiques d’enseignement-apprentissage et d’évaluation en ECM, et où les données de ce travail ont été collectées.</w:t>
      </w:r>
    </w:p>
    <w:p>
      <w:pPr>
        <w:pStyle w:val="Normal"/>
        <w:spacing w:lineRule="auto" w:line="360" w:before="0" w:after="120"/>
        <w:ind w:firstLine="709"/>
        <w:jc w:val="both"/>
        <w:rPr/>
      </w:pPr>
      <w:r>
        <w:rPr>
          <w:rFonts w:eastAsia="Times New Roman" w:cs="Times New Roman"/>
        </w:rPr>
        <w:t>En somme, l’évaluation est entendue dans cette étude comme un processus de collecte, d’analyse et d’interprétation d’informations en vue de juger du degré d’atteinte des objectifs d’apprentissage et de fonder une décision pédagogique ; les techniques d’évaluation renvoient aux instruments et démarches mobilisés pour apprécier ces apprentissages. L’ECM est une discipline de formation du citoyen, qui vise l’acquisition de connaissances, de valeurs et d’attitudes favorables à la vie en société. La citoyenneté désigne à la fois un statut, des droits, des devoirs et une participation active à la vie publique, tandis que la notion de citoyenneté en intègre les dimensions cognitive, affective et comportementale, qui en traduisent l’exercice concret.</w:t>
      </w:r>
    </w:p>
    <w:p>
      <w:pPr>
        <w:pStyle w:val="Heading2"/>
        <w:rPr/>
      </w:pPr>
      <w:bookmarkStart w:id="56" w:name="__RefHeading___Toc49454_3411847120"/>
      <w:bookmarkEnd w:id="56"/>
      <w:r>
        <w:rPr>
          <w:rFonts w:eastAsia="Times New Roman" w:cs="Times New Roman" w:ascii="Times New Roman" w:hAnsi="Times New Roman"/>
        </w:rPr>
        <w:t>3.2. Revue de la littérature</w:t>
      </w:r>
    </w:p>
    <w:p>
      <w:pPr>
        <w:pStyle w:val="Normal"/>
        <w:spacing w:lineRule="auto" w:line="360" w:before="0" w:after="120"/>
        <w:ind w:firstLine="709"/>
        <w:jc w:val="both"/>
        <w:rPr/>
      </w:pPr>
      <w:r>
        <w:rPr>
          <w:rFonts w:eastAsia="Times New Roman" w:cs="Times New Roman"/>
        </w:rPr>
        <w:t>Ce travail s’appuie sur de nombreuses études ayant abordé, sous divers angles, l’évaluation des compétences et l’éducation à la citoyenneté. La présente revue vise à situer notre recherche par rapport à ces travaux et à mettre en évidence la nécessité d’analyser les pratiques évaluatives en ECM à l’ENFPE de Notsè.</w:t>
      </w:r>
    </w:p>
    <w:p>
      <w:pPr>
        <w:pStyle w:val="Normal"/>
        <w:spacing w:lineRule="auto" w:line="360" w:before="0" w:after="120"/>
        <w:ind w:firstLine="709"/>
        <w:jc w:val="both"/>
        <w:rPr/>
      </w:pPr>
      <w:r>
        <w:rPr>
          <w:rFonts w:eastAsia="Times New Roman" w:cs="Times New Roman"/>
        </w:rPr>
        <w:t>De nombreux auteurs s’accordent à considérer la citoyenneté comme une compétence complexe, qui mobilise à la fois des savoirs (connaissances civiques), des savoir-faire (capacité à participer, à débattre, à résoudre des conflits) et des savoir-être (respect, tolérance, responsabilité).</w:t>
      </w:r>
    </w:p>
    <w:p>
      <w:pPr>
        <w:pStyle w:val="Normal"/>
        <w:spacing w:lineRule="auto" w:line="360" w:before="0" w:after="120"/>
        <w:ind w:firstLine="709"/>
        <w:jc w:val="both"/>
        <w:rPr/>
      </w:pPr>
      <w:r>
        <w:rPr>
          <w:rFonts w:eastAsia="Times New Roman" w:cs="Times New Roman"/>
        </w:rPr>
        <w:t>Daas, ten Dam et Dijkstra (2016), dans leur article « Contemplating modes of assessing citizenship competences », soulignent que l’évaluation des compétences citoyennes doit tenir compte de cette multidimensionnalité et ne saurait se réduire à de simples tests de connaissances. Comparant quatre outils d’évaluation de l’éducation à la citoyenneté, ils proposent des critères permettant d’en juger la pertinence : validité, fiabilité, faisabilité, transparence, équité, importance pédagogique et acceptabilité sociale. Ils concluent qu’aucun outil n’est parfait et que le choix dépend des objectifs poursuivis, plaidant ainsi pour une diversification des modes d’évaluation susceptibles de saisir l’engagement réel des apprenants. Leurs travaux ne portent toutefois pas spécifiquement sur les techniques d’évaluation de la notion de citoyenneté en contexte de formation des enseignants.</w:t>
      </w:r>
    </w:p>
    <w:p>
      <w:pPr>
        <w:pStyle w:val="Normal"/>
        <w:spacing w:lineRule="auto" w:line="360" w:before="0" w:after="120"/>
        <w:ind w:firstLine="709"/>
        <w:jc w:val="both"/>
        <w:rPr/>
      </w:pPr>
      <w:r>
        <w:rPr>
          <w:rFonts w:eastAsia="Times New Roman" w:cs="Times New Roman"/>
        </w:rPr>
        <w:t>Dans le domaine de l’évaluation des compétences, Bloom (1969), De Ketele (1989) et Scallon (2004) ont proposé des modèles hiérarchisés permettant de situer les niveaux de maîtrise des apprentissages, sans aborder pour autant les techniques d’évaluation des compétences citoyennes en ECM.</w:t>
      </w:r>
    </w:p>
    <w:p>
      <w:pPr>
        <w:pStyle w:val="Normal"/>
        <w:spacing w:lineRule="auto" w:line="360" w:before="0" w:after="120"/>
        <w:ind w:firstLine="709"/>
        <w:jc w:val="both"/>
        <w:rPr/>
      </w:pPr>
      <w:r>
        <w:rPr>
          <w:rFonts w:eastAsia="Times New Roman" w:cs="Times New Roman"/>
        </w:rPr>
        <w:t>Selon l’UNESCO (2015), l’éducation à la citoyenneté vise à développer chez les apprenants des compétences, des valeurs et des attitudes leur permettant de contribuer à une société plus inclusive ; elle doit favoriser le respect, la responsabilité, la participation et le sens de la communauté. L’organisation précise les objectifs et les acquis attendus de cette éducation, sans toutefois aborder les techniques à mettre en œuvre pour leur évaluation.</w:t>
      </w:r>
    </w:p>
    <w:p>
      <w:pPr>
        <w:pStyle w:val="Normal"/>
        <w:spacing w:lineRule="auto" w:line="360" w:before="0" w:after="120"/>
        <w:ind w:firstLine="709"/>
        <w:jc w:val="both"/>
        <w:rPr/>
      </w:pPr>
      <w:r>
        <w:rPr>
          <w:rFonts w:eastAsia="Times New Roman" w:cs="Times New Roman"/>
        </w:rPr>
        <w:t>De Ketele et Gerard (2005) soulignent que l’évaluation des compétences repose sur la capacité de l’apprenant à mobiliser un ensemble de ressources pour résoudre une situation-problème, mais ne précisent pas les techniques permettant d’apprécier ces compétences dans le domaine citoyen. De Ketele et Roegiers (1993) présentent l’évaluation comme une démarche organisée, visant à produire des jugements fondés sur des critères explicites en vue de décisions éducatives pertinentes ; pour eux, l’évaluation n’est pas une fin en soi, mais un levier de régulation des apprentissages et d’amélioration de la qualité de l’enseignement. Dans la même optique, Scallon (2004) insiste sur le fait que l’évaluation doit accompagner l’apprentissage et aider à identifier les difficultés pour ajuster l’enseignement. Ces travaux inscrivent l’évaluation dans une logique de régulation, sans aborder les techniques propres à l’évaluation de la citoyenneté.</w:t>
      </w:r>
    </w:p>
    <w:p>
      <w:pPr>
        <w:pStyle w:val="Normal"/>
        <w:spacing w:lineRule="auto" w:line="360" w:before="0" w:after="120"/>
        <w:ind w:firstLine="709"/>
        <w:jc w:val="both"/>
        <w:rPr/>
      </w:pPr>
      <w:r>
        <w:rPr>
          <w:rFonts w:eastAsia="Times New Roman" w:cs="Times New Roman"/>
        </w:rPr>
        <w:t>Enfin, les travaux consacrés à l’éducation à la citoyenneté mondiale rappellent que les apprentissages dans ce domaine sont transversaux et doivent être intégrés à plusieurs disciplines, avec une attention particulière aux attitudes et à l’engagement (UNESCO, 2015). Il en découle que les techniques d’évaluation en ECM ne peuvent se réduire aux contrôles écrits traditionnels ; ces travaux ne détaillent cependant pas les techniques à mobiliser pour évaluer la notion de citoyenneté.</w:t>
      </w:r>
    </w:p>
    <w:p>
      <w:pPr>
        <w:pStyle w:val="Normal"/>
        <w:spacing w:lineRule="auto" w:line="360" w:before="0" w:after="120"/>
        <w:ind w:firstLine="709"/>
        <w:jc w:val="both"/>
        <w:rPr/>
      </w:pPr>
      <w:r>
        <w:rPr>
          <w:rFonts w:eastAsia="Times New Roman" w:cs="Times New Roman"/>
        </w:rPr>
        <w:t>Au total, cette revue met en évidence trois constats. D’abord, l’évaluation est un acte pédagogique complexe, qui ne saurait se réduire à la notation des productions. Ensuite, l’approche par les compétences impose des formes d’évaluation centrées sur la mobilisation des ressources. Enfin, l’éducation à la citoyenneté exige des outils variés, susceptibles de saisir les savoirs, les valeurs et les comportements des apprenants. Or, peu d’études ont porté sur les techniques d’évaluation de la citoyenneté en ECM dans les ENFPE togolaises : c’est précisément ce vide que la présente recherche entend contribuer à combler.</w:t>
      </w:r>
    </w:p>
    <w:p>
      <w:pPr>
        <w:pStyle w:val="Heading2"/>
        <w:rPr/>
      </w:pPr>
      <w:bookmarkStart w:id="57" w:name="__RefHeading___Toc49456_3411847120"/>
      <w:bookmarkEnd w:id="57"/>
      <w:r>
        <w:rPr>
          <w:rFonts w:eastAsia="Times New Roman" w:cs="Times New Roman" w:ascii="Times New Roman" w:hAnsi="Times New Roman"/>
        </w:rPr>
        <w:t>3.3. Cadre théorique</w:t>
      </w:r>
    </w:p>
    <w:p>
      <w:pPr>
        <w:pStyle w:val="Normal"/>
        <w:spacing w:lineRule="auto" w:line="360" w:before="0" w:after="120"/>
        <w:ind w:firstLine="709"/>
        <w:jc w:val="both"/>
        <w:rPr/>
      </w:pPr>
      <w:r>
        <w:rPr>
          <w:rFonts w:eastAsia="Times New Roman" w:cs="Times New Roman"/>
        </w:rPr>
        <w:t>Le cadre théorique constitue le soubassement conceptuel de l’analyse des techniques d’évaluation en ECM sur la notion de citoyenneté à l’ENFPE de Notsè. Il mobilise quatre champs : la théorie de l’évaluation pédagogique, la didactique de l’ECM, l’approche par les compétences et les théories de la citoyenneté en éducation.</w:t>
      </w:r>
    </w:p>
    <w:p>
      <w:pPr>
        <w:pStyle w:val="Heading3"/>
        <w:rPr/>
      </w:pPr>
      <w:bookmarkStart w:id="58" w:name="__RefHeading___Toc49568_3411847120"/>
      <w:bookmarkEnd w:id="58"/>
      <w:r>
        <w:rPr>
          <w:rFonts w:eastAsia="Times New Roman" w:cs="Times New Roman" w:ascii="Times New Roman" w:hAnsi="Times New Roman"/>
        </w:rPr>
        <w:t>3.3.1. Théorie de l’évaluation pédagogique</w:t>
      </w:r>
    </w:p>
    <w:p>
      <w:pPr>
        <w:pStyle w:val="Normal"/>
        <w:spacing w:lineRule="auto" w:line="360" w:before="0" w:after="120"/>
        <w:ind w:firstLine="709"/>
        <w:jc w:val="both"/>
        <w:rPr/>
      </w:pPr>
      <w:r>
        <w:rPr>
          <w:rFonts w:eastAsia="Times New Roman" w:cs="Times New Roman"/>
        </w:rPr>
        <w:t>Pour De Ketele (1989), l’évaluation est « le processus qui consiste à recueillir un ensemble d’informations suffisamment pertinentes, valides et fiables, et à examiner le degré d’adéquation entre ces informations et un ensemble de critères bien définis, en vue de prendre une décision ». Cette définition met en lumière trois opérations : la collecte d’informations, leur comparaison à des critères et la prise de décision pédagogique. Elle permet de retenir, pour notre étude, trois fonctions de l’évaluation :</w:t>
      </w:r>
    </w:p>
    <w:p>
      <w:pPr>
        <w:pStyle w:val="ListParagraph"/>
        <w:numPr>
          <w:ilvl w:val="0"/>
          <w:numId w:val="141"/>
        </w:numPr>
        <w:spacing w:lineRule="auto" w:line="360" w:before="0" w:after="40"/>
        <w:jc w:val="both"/>
        <w:rPr/>
      </w:pPr>
      <w:r>
        <w:rPr>
          <w:rFonts w:eastAsia="Times New Roman" w:cs="Times New Roman"/>
        </w:rPr>
        <w:t>l’évaluation diagnostique (ou « évaluation zéro »), qui permet de déceler les acquis préalables des élèves-professeurs sur la notion de citoyenneté avant l’enseignement ;</w:t>
      </w:r>
    </w:p>
    <w:p>
      <w:pPr>
        <w:pStyle w:val="ListParagraph"/>
        <w:numPr>
          <w:ilvl w:val="0"/>
          <w:numId w:val="142"/>
        </w:numPr>
        <w:spacing w:lineRule="auto" w:line="360" w:before="0" w:after="40"/>
        <w:jc w:val="both"/>
        <w:rPr/>
      </w:pPr>
      <w:r>
        <w:rPr>
          <w:rFonts w:eastAsia="Times New Roman" w:cs="Times New Roman"/>
        </w:rPr>
        <w:t>l’évaluation formative, qui accompagne les apprentissages en mettant en évidence les progrès des apprenants et les difficultés qu’ils rencontrent ;</w:t>
      </w:r>
    </w:p>
    <w:p>
      <w:pPr>
        <w:pStyle w:val="ListParagraph"/>
        <w:numPr>
          <w:ilvl w:val="0"/>
          <w:numId w:val="143"/>
        </w:numPr>
        <w:spacing w:lineRule="auto" w:line="360" w:before="0" w:after="120"/>
        <w:jc w:val="both"/>
        <w:rPr/>
      </w:pPr>
      <w:r>
        <w:rPr>
          <w:rFonts w:eastAsia="Times New Roman" w:cs="Times New Roman"/>
        </w:rPr>
        <w:t>l’évaluation sommative, qui certifie les acquis au terme d’un cycle d’apprentissage.</w:t>
      </w:r>
    </w:p>
    <w:p>
      <w:pPr>
        <w:pStyle w:val="Normal"/>
        <w:spacing w:lineRule="auto" w:line="360" w:before="0" w:after="120"/>
        <w:ind w:firstLine="709"/>
        <w:jc w:val="both"/>
        <w:rPr/>
      </w:pPr>
      <w:r>
        <w:rPr>
          <w:rFonts w:eastAsia="Times New Roman" w:cs="Times New Roman"/>
        </w:rPr>
        <w:t>Scallon (2004) distingue, pour sa part, l’évaluation des savoirs (connaissances), celle des savoir-être (valeurs et attitudes) et celle des savoir-faire (compétences procédurales). Dans cette perspective, la notion de citoyenneté ne se résume pas à un savoir théorique : elle intègre des dimensions affectives et comportementales.</w:t>
      </w:r>
    </w:p>
    <w:p>
      <w:pPr>
        <w:pStyle w:val="Heading3"/>
        <w:rPr/>
      </w:pPr>
      <w:bookmarkStart w:id="59" w:name="__RefHeading___Toc49570_3411847120"/>
      <w:bookmarkEnd w:id="59"/>
      <w:r>
        <w:rPr>
          <w:rFonts w:eastAsia="Times New Roman" w:cs="Times New Roman" w:ascii="Times New Roman" w:hAnsi="Times New Roman"/>
        </w:rPr>
        <w:t>3.3.2. Didactique de l’ECM</w:t>
      </w:r>
    </w:p>
    <w:p>
      <w:pPr>
        <w:pStyle w:val="Normal"/>
        <w:spacing w:lineRule="auto" w:line="360" w:before="0" w:after="120"/>
        <w:ind w:firstLine="709"/>
        <w:jc w:val="both"/>
        <w:rPr/>
      </w:pPr>
      <w:r>
        <w:rPr>
          <w:rFonts w:eastAsia="Times New Roman" w:cs="Times New Roman"/>
        </w:rPr>
        <w:t>Le programme d’ECM assigne à cette discipline la mission de « former des citoyens responsables, conscients de leurs droits et devoirs, capables de participer activement à la vie démocratique et communautaire » (MEPS, 2015). L’ECM se distingue ainsi des autres disciplines par la combinaison de trois dimensions : une dimension cognitive (acquisition de savoirs sur les institutions, les droits et devoirs et les valeurs républicaines), une dimension axiologique (développement d’attitudes citoyennes telles que la tolérance, la solidarité, l’engagement et le respect) et une dimension comportementale (pratiques concrètes de participation, d’initiative et de responsabilité).</w:t>
      </w:r>
    </w:p>
    <w:p>
      <w:pPr>
        <w:pStyle w:val="Normal"/>
        <w:spacing w:lineRule="auto" w:line="360" w:before="0" w:after="120"/>
        <w:ind w:firstLine="709"/>
        <w:jc w:val="both"/>
        <w:rPr/>
      </w:pPr>
      <w:r>
        <w:rPr>
          <w:rFonts w:eastAsia="Times New Roman" w:cs="Times New Roman"/>
        </w:rPr>
        <w:t>Pour Audigier (2000), l’éducation à la citoyenneté ne saurait se limiter à la transmission de connaissances ; elle doit intégrer des démarches actives — débats, projets, simulations — qui permettent aux apprenants de vivre pleinement la citoyenneté. Il en découle que l’évaluation en ECM doit recourir à une pluralité d’outils, afin d’amener l’apprenant à mobiliser et à manifester ses compétences.</w:t>
      </w:r>
    </w:p>
    <w:p>
      <w:pPr>
        <w:pStyle w:val="Heading3"/>
        <w:rPr/>
      </w:pPr>
      <w:bookmarkStart w:id="60" w:name="__RefHeading___Toc49572_3411847120"/>
      <w:bookmarkEnd w:id="60"/>
      <w:r>
        <w:rPr>
          <w:rFonts w:eastAsia="Times New Roman" w:cs="Times New Roman" w:ascii="Times New Roman" w:hAnsi="Times New Roman"/>
        </w:rPr>
        <w:t>3.3.3. Approche par les compétences (APC)</w:t>
      </w:r>
    </w:p>
    <w:p>
      <w:pPr>
        <w:pStyle w:val="Normal"/>
        <w:spacing w:lineRule="auto" w:line="360" w:before="0" w:after="120"/>
        <w:ind w:firstLine="709"/>
        <w:jc w:val="both"/>
        <w:rPr/>
      </w:pPr>
      <w:r>
        <w:rPr>
          <w:rFonts w:eastAsia="Times New Roman" w:cs="Times New Roman"/>
        </w:rPr>
        <w:t>L’approche par les compétences offre un cadre pertinent pour repenser l’évaluation en ECM. Selon Roegiers (2003), une compétence est « un savoir-agir complexe qui prend appui sur des ressources internes (savoirs, savoir-faire, attitudes) et externes, et qui se manifeste dans la résolution de situations-problèmes authentiques ». La citoyenneté peut, dans cette optique, être considérée comme une compétence transversale qui se manifeste dans des situations concrètes de la vie scolaire et sociale. L’APC implique dès lors une transformation profonde des pratiques évaluatives :</w:t>
      </w:r>
    </w:p>
    <w:p>
      <w:pPr>
        <w:pStyle w:val="ListParagraph"/>
        <w:numPr>
          <w:ilvl w:val="0"/>
          <w:numId w:val="144"/>
        </w:numPr>
        <w:spacing w:lineRule="auto" w:line="360" w:before="0" w:after="40"/>
        <w:jc w:val="both"/>
        <w:rPr/>
      </w:pPr>
      <w:r>
        <w:rPr>
          <w:rFonts w:eastAsia="Times New Roman" w:cs="Times New Roman"/>
        </w:rPr>
        <w:t>passer de l’évaluation de connaissances isolées à celle de la mobilisation intégrée des ressources en situation complexe ;</w:t>
      </w:r>
    </w:p>
    <w:p>
      <w:pPr>
        <w:pStyle w:val="ListParagraph"/>
        <w:numPr>
          <w:ilvl w:val="0"/>
          <w:numId w:val="145"/>
        </w:numPr>
        <w:spacing w:lineRule="auto" w:line="360" w:before="0" w:after="40"/>
        <w:jc w:val="both"/>
        <w:rPr/>
      </w:pPr>
      <w:r>
        <w:rPr>
          <w:rFonts w:eastAsia="Times New Roman" w:cs="Times New Roman"/>
        </w:rPr>
        <w:t>privilégier les évaluations authentiques (projets, portfolios, observation des comportements) plutôt que les évaluations décontextualisées (QCM, interrogations écrites ou orales) ;</w:t>
      </w:r>
    </w:p>
    <w:p>
      <w:pPr>
        <w:pStyle w:val="ListParagraph"/>
        <w:numPr>
          <w:ilvl w:val="0"/>
          <w:numId w:val="146"/>
        </w:numPr>
        <w:spacing w:lineRule="auto" w:line="360" w:before="0" w:after="120"/>
        <w:jc w:val="both"/>
        <w:rPr/>
      </w:pPr>
      <w:r>
        <w:rPr>
          <w:rFonts w:eastAsia="Times New Roman" w:cs="Times New Roman"/>
        </w:rPr>
        <w:t>intégrer l’autoévaluation et l’évaluation par les pairs, outils de développement de la métacognition et de la responsabilité citoyenne.</w:t>
      </w:r>
    </w:p>
    <w:p>
      <w:pPr>
        <w:pStyle w:val="Normal"/>
        <w:spacing w:lineRule="auto" w:line="360" w:before="0" w:after="120"/>
        <w:ind w:firstLine="709"/>
        <w:jc w:val="both"/>
        <w:rPr/>
      </w:pPr>
      <w:r>
        <w:rPr>
          <w:rFonts w:eastAsia="Times New Roman" w:cs="Times New Roman"/>
        </w:rPr>
        <w:t>Tardif (2006) insiste sur le fait que l’évaluation des compétences doit être critériée (fondée sur des critères explicites), continue (réalisée tout au long du parcours de l’apprenant) et signifiante (ancrée dans des situations réelles). Ces principes conviennent particulièrement à l’évaluation de la citoyenneté, qui exige une observation objective des attitudes et des comportements.</w:t>
      </w:r>
    </w:p>
    <w:p>
      <w:pPr>
        <w:pStyle w:val="Heading3"/>
        <w:rPr/>
      </w:pPr>
      <w:bookmarkStart w:id="61" w:name="__RefHeading___Toc49574_3411847120"/>
      <w:bookmarkEnd w:id="61"/>
      <w:r>
        <w:rPr>
          <w:rFonts w:eastAsia="Times New Roman" w:cs="Times New Roman" w:ascii="Times New Roman" w:hAnsi="Times New Roman"/>
        </w:rPr>
        <w:t>3.3.4. Théories de la citoyenneté en éducation</w:t>
      </w:r>
    </w:p>
    <w:p>
      <w:pPr>
        <w:pStyle w:val="Normal"/>
        <w:spacing w:lineRule="auto" w:line="360" w:before="0" w:after="120"/>
        <w:ind w:firstLine="709"/>
        <w:jc w:val="both"/>
        <w:rPr/>
      </w:pPr>
      <w:r>
        <w:rPr>
          <w:rFonts w:eastAsia="Times New Roman" w:cs="Times New Roman"/>
        </w:rPr>
        <w:t>La notion de citoyenneté fait l’objet de multiples conceptualisations. Barber (1984) distingue la citoyenneté passive (respect des lois, participation minimale) de la citoyenneté active (engagement, participation délibérative, initiative communautaire). C’est cette seconde conception que privilégie le contexte éducatif togolais, comme en témoignent les orientations curriculaires de l’ECM.</w:t>
      </w:r>
    </w:p>
    <w:p>
      <w:pPr>
        <w:pStyle w:val="Normal"/>
        <w:spacing w:lineRule="auto" w:line="360" w:before="0" w:after="120"/>
        <w:ind w:firstLine="709"/>
        <w:jc w:val="both"/>
        <w:rPr/>
      </w:pPr>
      <w:r>
        <w:rPr>
          <w:rFonts w:eastAsia="Times New Roman" w:cs="Times New Roman"/>
        </w:rPr>
        <w:t>Nussbaum (1997), dans son approche par les « capabilités », propose une conception de la citoyenneté fondée sur le développement des capacités humaines fondamentales (raisonnement, affiliation, participation politique). Cette perspective rejoint les préoccupations de l’ECM au Togo, qui vise à former des citoyens capables non seulement de connaître leurs droits, mais aussi de les exercer effectivement dans leur environnement.</w:t>
      </w:r>
    </w:p>
    <w:p>
      <w:pPr>
        <w:pStyle w:val="Normal"/>
        <w:spacing w:lineRule="auto" w:line="360" w:before="0" w:after="120"/>
        <w:jc w:val="both"/>
        <w:rPr/>
      </w:pPr>
      <w:r>
        <w:rPr>
          <w:rFonts w:eastAsia="Times New Roman" w:cs="Times New Roman"/>
        </w:rPr>
        <w:t>Osler et Starkey (2005) identifient enfin trois dimensions de l’éducation à la citoyenneté :</w:t>
      </w:r>
    </w:p>
    <w:p>
      <w:pPr>
        <w:pStyle w:val="ListParagraph"/>
        <w:numPr>
          <w:ilvl w:val="0"/>
          <w:numId w:val="147"/>
        </w:numPr>
        <w:spacing w:lineRule="auto" w:line="360" w:before="0" w:after="40"/>
        <w:jc w:val="both"/>
        <w:rPr/>
      </w:pPr>
      <w:r>
        <w:rPr>
          <w:rFonts w:eastAsia="Times New Roman" w:cs="Times New Roman"/>
        </w:rPr>
        <w:t>la dimension cognitive : connaissances sur les institutions, les droits et les enjeux sociétaux ;</w:t>
      </w:r>
    </w:p>
    <w:p>
      <w:pPr>
        <w:pStyle w:val="ListParagraph"/>
        <w:numPr>
          <w:ilvl w:val="0"/>
          <w:numId w:val="148"/>
        </w:numPr>
        <w:spacing w:lineRule="auto" w:line="360" w:before="0" w:after="40"/>
        <w:jc w:val="both"/>
        <w:rPr/>
      </w:pPr>
      <w:r>
        <w:rPr>
          <w:rFonts w:eastAsia="Times New Roman" w:cs="Times New Roman"/>
        </w:rPr>
        <w:t>la dimension affective : sentiment d’appartenance, valeurs, empathie ;</w:t>
      </w:r>
    </w:p>
    <w:p>
      <w:pPr>
        <w:pStyle w:val="ListParagraph"/>
        <w:numPr>
          <w:ilvl w:val="0"/>
          <w:numId w:val="149"/>
        </w:numPr>
        <w:spacing w:lineRule="auto" w:line="360" w:before="0" w:after="120"/>
        <w:jc w:val="both"/>
        <w:rPr/>
      </w:pPr>
      <w:r>
        <w:rPr>
          <w:rFonts w:eastAsia="Times New Roman" w:cs="Times New Roman"/>
        </w:rPr>
        <w:t>la dimension comportementale : participation, engagement, actions concrètes.</w:t>
      </w:r>
    </w:p>
    <w:p>
      <w:pPr>
        <w:pStyle w:val="Normal"/>
        <w:spacing w:lineRule="auto" w:line="360" w:before="0" w:after="120"/>
        <w:ind w:firstLine="709"/>
        <w:jc w:val="both"/>
        <w:rPr/>
      </w:pPr>
      <w:r>
        <w:rPr>
          <w:rFonts w:eastAsia="Times New Roman" w:cs="Times New Roman"/>
        </w:rPr>
        <w:t>Ces trois dimensions constituent un cadre d’analyse pertinent pour examiner de façon objective les pratiques d’évaluation en ECM à l’ENFPE de Notsè et pour formuler des recommandations en vue de leur amélioration.</w:t>
      </w:r>
    </w:p>
    <w:p>
      <w:pPr>
        <w:pStyle w:val="Heading2"/>
        <w:rPr/>
      </w:pPr>
      <w:bookmarkStart w:id="62" w:name="__RefHeading___Toc49458_3411847120"/>
      <w:bookmarkEnd w:id="62"/>
      <w:r>
        <w:rPr>
          <w:rFonts w:eastAsia="Times New Roman" w:cs="Times New Roman" w:ascii="Times New Roman" w:hAnsi="Times New Roman"/>
        </w:rPr>
        <w:t>3.4. Démarche méthodologique</w:t>
      </w:r>
    </w:p>
    <w:p>
      <w:pPr>
        <w:pStyle w:val="Normal"/>
        <w:spacing w:lineRule="auto" w:line="360" w:before="0" w:after="120"/>
        <w:ind w:firstLine="709"/>
        <w:jc w:val="both"/>
        <w:rPr/>
      </w:pPr>
      <w:r>
        <w:rPr>
          <w:rFonts w:eastAsia="Times New Roman" w:cs="Times New Roman"/>
        </w:rPr>
        <w:t>Cette section présente la démarche adoptée : le type de recherche, le cadre de l’étude, la population cible, l’échantillonnage, les techniques et instruments de collecte, le traitement et l’analyse des données, ainsi que les limites de l’étude et les difficultés rencontrées. Elle vise à garantir la cohérence entre les questions de recherche et les données recueillies.</w:t>
      </w:r>
    </w:p>
    <w:p>
      <w:pPr>
        <w:pStyle w:val="Heading3"/>
        <w:rPr/>
      </w:pPr>
      <w:bookmarkStart w:id="63" w:name="__RefHeading___Toc49576_3411847120"/>
      <w:bookmarkEnd w:id="63"/>
      <w:r>
        <w:rPr>
          <w:rFonts w:eastAsia="Times New Roman" w:cs="Times New Roman" w:ascii="Times New Roman" w:hAnsi="Times New Roman"/>
        </w:rPr>
        <w:t>3.4.1. Type de recherche</w:t>
      </w:r>
    </w:p>
    <w:p>
      <w:pPr>
        <w:pStyle w:val="Normal"/>
        <w:spacing w:lineRule="auto" w:line="360" w:before="0" w:after="120"/>
        <w:jc w:val="both"/>
        <w:rPr/>
      </w:pPr>
      <w:r>
        <w:rPr>
          <w:rFonts w:eastAsia="Times New Roman" w:cs="Times New Roman"/>
        </w:rPr>
        <w:t>Au regard du problème constaté lors de notre stage, nous avons adopté une approche mixte, combinant méthodes quantitatives et qualitatives, de type à la fois descriptif et analytique :</w:t>
      </w:r>
    </w:p>
    <w:p>
      <w:pPr>
        <w:pStyle w:val="ListParagraph"/>
        <w:numPr>
          <w:ilvl w:val="0"/>
          <w:numId w:val="150"/>
        </w:numPr>
        <w:spacing w:lineRule="auto" w:line="360" w:before="0" w:after="40"/>
        <w:jc w:val="both"/>
        <w:rPr/>
      </w:pPr>
      <w:r>
        <w:rPr>
          <w:rFonts w:eastAsia="Times New Roman" w:cs="Times New Roman"/>
        </w:rPr>
        <w:t>la visée descriptive permet de rendre compte des pratiques actuelles d’évaluation en ECM à l’ENFPE de Notsè, en identifiant les techniques employées, les instruments mobilisés et les difficultés rencontrées par les formateurs ;</w:t>
      </w:r>
    </w:p>
    <w:p>
      <w:pPr>
        <w:pStyle w:val="ListParagraph"/>
        <w:numPr>
          <w:ilvl w:val="0"/>
          <w:numId w:val="151"/>
        </w:numPr>
        <w:spacing w:lineRule="auto" w:line="360" w:before="0" w:after="120"/>
        <w:jc w:val="both"/>
        <w:rPr/>
      </w:pPr>
      <w:r>
        <w:rPr>
          <w:rFonts w:eastAsia="Times New Roman" w:cs="Times New Roman"/>
        </w:rPr>
        <w:t>la visée analytique permet d’examiner l’adéquation entre ces techniques et les objectifs pédagogiques liés à la notion de citoyenneté, afin de déceler les insuffisances ou les écarts et de proposer des pistes d’amélioration.</w:t>
      </w:r>
    </w:p>
    <w:p>
      <w:pPr>
        <w:pStyle w:val="Normal"/>
        <w:spacing w:lineRule="auto" w:line="360" w:before="0" w:after="120"/>
        <w:ind w:firstLine="709"/>
        <w:jc w:val="both"/>
        <w:rPr/>
      </w:pPr>
      <w:r>
        <w:rPr>
          <w:rFonts w:eastAsia="Times New Roman" w:cs="Times New Roman"/>
        </w:rPr>
        <w:t>Ce choix s’explique par la complexité de notre objet : l’évaluation des compétences citoyennes mobilise les domaines cognitif, socioaffectif et comportemental des apprenants, ce qui rend indispensable le recours à des outils variés.</w:t>
      </w:r>
    </w:p>
    <w:p>
      <w:pPr>
        <w:pStyle w:val="Heading3"/>
        <w:rPr/>
      </w:pPr>
      <w:bookmarkStart w:id="64" w:name="__RefHeading___Toc49578_3411847120"/>
      <w:bookmarkEnd w:id="64"/>
      <w:r>
        <w:rPr>
          <w:rFonts w:eastAsia="Times New Roman" w:cs="Times New Roman" w:ascii="Times New Roman" w:hAnsi="Times New Roman"/>
        </w:rPr>
        <w:t>3.4.2. Cadre de l’étude</w:t>
      </w:r>
    </w:p>
    <w:p>
      <w:pPr>
        <w:pStyle w:val="Normal"/>
        <w:spacing w:lineRule="auto" w:line="360" w:before="0" w:after="120"/>
        <w:ind w:firstLine="709"/>
        <w:jc w:val="both"/>
        <w:rPr/>
      </w:pPr>
      <w:r>
        <w:rPr>
          <w:rFonts w:eastAsia="Times New Roman" w:cs="Times New Roman"/>
        </w:rPr>
        <w:t xml:space="preserve">Située dans la préfecture de Haho (région des Plateaux), à environ 95 km de Lomé, la ville de Notsè est un pôle administratif, éducatif et économique dont la position constitue un atout pour les structures scolaires et professionnelles qu’elle abrite, dont l’ENFPE. Les ENFPE ont remplacé les anciennes ENI en vertu de l’arrêté n° 615/MEPSTA/CAB/SG du 8 novembre 2022 portant organisation et fonctionnement des ENFPE (République togolaise, 2022b) ; elles assurent la formation initiale des enseignants du préscolaire et du primaire au Togo. La réouverture officielle de ces écoles s’est tenue le </w:t>
      </w:r>
      <w:r>
        <w:rPr>
          <w:rFonts w:eastAsia="Times New Roman" w:cs="Times New Roman"/>
          <w:highlight w:val="yellow"/>
        </w:rPr>
        <w:t>3 janvier 2023</w:t>
      </w:r>
      <w:r>
        <w:rPr>
          <w:rFonts w:eastAsia="Times New Roman" w:cs="Times New Roman"/>
        </w:rPr>
        <w:t xml:space="preserve"> à l’ENFPE de Notsè, qui a accueilli la cérémonie nationale de lancement.</w:t>
      </w:r>
    </w:p>
    <w:p>
      <w:pPr>
        <w:pStyle w:val="Normal"/>
        <w:spacing w:lineRule="auto" w:line="360" w:before="0" w:after="120"/>
        <w:ind w:firstLine="709"/>
        <w:jc w:val="both"/>
        <w:rPr/>
      </w:pPr>
      <w:r>
        <w:rPr>
          <w:rFonts w:eastAsia="Times New Roman" w:cs="Times New Roman"/>
        </w:rPr>
        <w:t>Implantée à l’est, à l’entrée de la ville, l’ENFPE de Notsè compte 396 élèves-professeurs pour la promotion 3, dont la formation s’est achevée le 10 septembre 2026, et 294 élèves-professeurs inscrits au semestre 1 pour la promotion 4 (tableau 4). La présentation détaillée de son personnel et de ses infrastructures figure à la section 1.1 (tableau 1).</w:t>
      </w:r>
    </w:p>
    <w:p>
      <w:pPr>
        <w:pStyle w:val="Heading3"/>
        <w:rPr/>
      </w:pPr>
      <w:bookmarkStart w:id="65" w:name="__RefHeading___Toc49580_3411847120"/>
      <w:bookmarkEnd w:id="65"/>
      <w:r>
        <w:rPr>
          <w:rFonts w:eastAsia="Times New Roman" w:cs="Times New Roman" w:ascii="Times New Roman" w:hAnsi="Times New Roman"/>
        </w:rPr>
        <w:t>3.4.3. Population cible</w:t>
      </w:r>
    </w:p>
    <w:p>
      <w:pPr>
        <w:pStyle w:val="Normal"/>
        <w:spacing w:lineRule="auto" w:line="360" w:before="0" w:after="120"/>
        <w:jc w:val="both"/>
        <w:rPr/>
      </w:pPr>
      <w:r>
        <w:rPr>
          <w:rFonts w:eastAsia="Times New Roman" w:cs="Times New Roman"/>
        </w:rPr>
        <w:t>Notre recherche porte sur l’ENFPE de Notsè, établissement qui nous a accueilli lors de notre stage en responsabilité. Trois catégories de population sont concernées :</w:t>
      </w:r>
    </w:p>
    <w:p>
      <w:pPr>
        <w:pStyle w:val="ListParagraph"/>
        <w:numPr>
          <w:ilvl w:val="0"/>
          <w:numId w:val="152"/>
        </w:numPr>
        <w:spacing w:lineRule="auto" w:line="360" w:before="0" w:after="40"/>
        <w:jc w:val="both"/>
        <w:rPr/>
      </w:pPr>
      <w:r>
        <w:rPr>
          <w:rFonts w:eastAsia="Times New Roman" w:cs="Times New Roman"/>
        </w:rPr>
        <w:t>les formateurs en sciences humaines en poste à l’ENFPE de Notsè ;</w:t>
      </w:r>
    </w:p>
    <w:p>
      <w:pPr>
        <w:pStyle w:val="ListParagraph"/>
        <w:numPr>
          <w:ilvl w:val="0"/>
          <w:numId w:val="153"/>
        </w:numPr>
        <w:spacing w:lineRule="auto" w:line="360" w:before="0" w:after="40"/>
        <w:jc w:val="both"/>
        <w:rPr/>
      </w:pPr>
      <w:r>
        <w:rPr>
          <w:rFonts w:eastAsia="Times New Roman" w:cs="Times New Roman"/>
        </w:rPr>
        <w:t>les élèves-professeurs de l’établissement ;</w:t>
      </w:r>
    </w:p>
    <w:p>
      <w:pPr>
        <w:pStyle w:val="ListParagraph"/>
        <w:numPr>
          <w:ilvl w:val="0"/>
          <w:numId w:val="154"/>
        </w:numPr>
        <w:spacing w:lineRule="auto" w:line="360" w:before="0" w:after="120"/>
        <w:jc w:val="both"/>
        <w:rPr/>
      </w:pPr>
      <w:r>
        <w:rPr>
          <w:rFonts w:eastAsia="Times New Roman" w:cs="Times New Roman"/>
        </w:rPr>
        <w:t>les documents pédagogiques : programmes, guides, épreuves et sujets d’évaluation.</w:t>
      </w:r>
    </w:p>
    <w:p>
      <w:pPr>
        <w:pStyle w:val="Heading3"/>
        <w:rPr/>
      </w:pPr>
      <w:bookmarkStart w:id="66" w:name="__RefHeading___Toc49582_3411847120"/>
      <w:bookmarkEnd w:id="66"/>
      <w:r>
        <w:rPr>
          <w:rFonts w:eastAsia="Times New Roman" w:cs="Times New Roman" w:ascii="Times New Roman" w:hAnsi="Times New Roman"/>
        </w:rPr>
        <w:t>3.4.4. Échantillonnage</w:t>
      </w:r>
    </w:p>
    <w:p>
      <w:pPr>
        <w:pStyle w:val="Normal"/>
        <w:spacing w:lineRule="auto" w:line="360" w:before="0" w:after="120"/>
        <w:ind w:firstLine="709"/>
        <w:jc w:val="both"/>
        <w:rPr/>
      </w:pPr>
      <w:r>
        <w:rPr>
          <w:rFonts w:eastAsia="Times New Roman" w:cs="Times New Roman"/>
        </w:rPr>
        <w:t>L’échantillon désigne l’ensemble des personnes effectivement enquêtées. Compte tenu du nombre restreint de formateurs en sciences humaines, tous ont été pris en compte (échantillonnage exhaustif) ; quatre (4) d’entre eux ont renseigné le questionnaire. Pour les élèves-professeurs, nous avons procédé à un échantillonnage non probabiliste de type accidentel, en interrogeant, sans sélection préalable, les EPE des promotions 3 et 4 ayant enseigné l’éducation sociale au cours de leurs stages, tout en veillant à une représentativité acceptable ; soixante-deux (62) questionnaires exploitables ont été recueillis. Le tableau 5 présente la composition de l’échantillon.</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5</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Composition de l’échantillon de l’étude</w:t>
      </w:r>
    </w:p>
    <w:tbl>
      <w:tblPr>
        <w:tblW w:w="9072" w:type="dxa"/>
        <w:jc w:val="center"/>
        <w:tblInd w:w="0" w:type="dxa"/>
        <w:tblLayout w:type="fixed"/>
        <w:tblCellMar>
          <w:top w:w="40" w:type="dxa"/>
          <w:left w:w="60" w:type="dxa"/>
          <w:bottom w:w="40" w:type="dxa"/>
          <w:right w:w="60" w:type="dxa"/>
        </w:tblCellMar>
      </w:tblPr>
      <w:tblGrid>
        <w:gridCol w:w="4536"/>
        <w:gridCol w:w="2268"/>
        <w:gridCol w:w="2268"/>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Catégorie de répondants</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Effectif</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Pourcentage (%)</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Formateurs en sciences humaines</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4</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6,1</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Élèves-professeurs d’école (promotions 3 et 4)</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62</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93,9</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left"/>
              <w:rPr/>
            </w:pPr>
            <w:r>
              <w:rPr>
                <w:rFonts w:eastAsia="Times New Roman" w:cs="Times New Roman"/>
                <w:b/>
                <w:bCs/>
                <w:sz w:val="22"/>
                <w:szCs w:val="22"/>
              </w:rPr>
              <w:t>Total</w:t>
            </w:r>
          </w:p>
        </w:tc>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66</w:t>
            </w:r>
          </w:p>
        </w:tc>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100,0</w:t>
            </w:r>
          </w:p>
        </w:tc>
      </w:tr>
    </w:tbl>
    <w:p>
      <w:pPr>
        <w:pStyle w:val="Normal"/>
        <w:spacing w:lineRule="auto" w:line="240" w:before="60" w:after="240"/>
        <w:jc w:val="left"/>
        <w:rPr/>
      </w:pPr>
      <w:r>
        <w:rPr>
          <w:rFonts w:eastAsia="Times New Roman" w:cs="Times New Roman"/>
          <w:i/>
          <w:iCs/>
          <w:sz w:val="22"/>
          <w:szCs w:val="22"/>
        </w:rPr>
        <w:t>Source : Enquête de terrain, ENFPE de Notsè (2026).</w:t>
      </w:r>
    </w:p>
    <w:p>
      <w:pPr>
        <w:pStyle w:val="Heading3"/>
        <w:rPr/>
      </w:pPr>
      <w:bookmarkStart w:id="67" w:name="__RefHeading___Toc49584_3411847120"/>
      <w:bookmarkEnd w:id="67"/>
      <w:r>
        <w:rPr>
          <w:rFonts w:eastAsia="Times New Roman" w:cs="Times New Roman" w:ascii="Times New Roman" w:hAnsi="Times New Roman"/>
        </w:rPr>
        <w:t>3.4.5. Techniques et instruments de collecte des données</w:t>
      </w:r>
    </w:p>
    <w:p>
      <w:pPr>
        <w:pStyle w:val="Normal"/>
        <w:spacing w:lineRule="auto" w:line="360" w:before="0" w:after="120"/>
        <w:ind w:firstLine="709"/>
        <w:jc w:val="both"/>
        <w:rPr/>
      </w:pPr>
      <w:r>
        <w:rPr>
          <w:rFonts w:eastAsia="Times New Roman" w:cs="Times New Roman"/>
        </w:rPr>
        <w:t>Afin de recueillir des informations variées et complémentaires, nous avons diversifié nos instruments de collecte : analyse documentaire, observation des pratiques, questionnaire et entretien semi-directif. Ces instruments ont été construits à partir des questions de recherche, des hypothèses, des variables et des indicateurs, ce qui garantit la cohérence interne du travail.</w:t>
      </w:r>
    </w:p>
    <w:p>
      <w:pPr>
        <w:pStyle w:val="Normal"/>
        <w:spacing w:lineRule="auto" w:line="360" w:before="0" w:after="120"/>
        <w:ind w:firstLine="709"/>
        <w:jc w:val="both"/>
        <w:rPr/>
      </w:pPr>
      <w:r>
        <w:rPr>
          <w:rFonts w:eastAsia="Times New Roman" w:cs="Times New Roman"/>
          <w:b/>
          <w:bCs/>
        </w:rPr>
        <w:t>Analyse documentaire.</w:t>
      </w:r>
      <w:r>
        <w:rPr>
          <w:rFonts w:eastAsia="Times New Roman" w:cs="Times New Roman"/>
        </w:rPr>
        <w:t xml:space="preserve"> Elle a consisté à examiner les documents officiels afin d’identifier les objectifs pédagogiques liés à la citoyenneté et les techniques d’évaluation prescrites. Une fiche d’analyse documentaire (type de document, objectifs visés, techniques d’évaluation prévues, critères d’évaluation) a été appliquée aux programmes d’ECM des ENFPE, aux guides pédagogiques ainsi qu’aux sujets d’examen et de devoirs des années précédentes.</w:t>
      </w:r>
    </w:p>
    <w:p>
      <w:pPr>
        <w:pStyle w:val="Normal"/>
        <w:spacing w:lineRule="auto" w:line="360" w:before="0" w:after="120"/>
        <w:ind w:firstLine="709"/>
        <w:jc w:val="both"/>
        <w:rPr/>
      </w:pPr>
      <w:r>
        <w:rPr>
          <w:rFonts w:eastAsia="Times New Roman" w:cs="Times New Roman"/>
          <w:b/>
          <w:bCs/>
        </w:rPr>
        <w:t>Observation des pratiques pédagogiques.</w:t>
      </w:r>
      <w:r>
        <w:rPr>
          <w:rFonts w:eastAsia="Times New Roman" w:cs="Times New Roman"/>
        </w:rPr>
        <w:t xml:space="preserve"> L’observation visait à examiner directement les pratiques réelles en classe : activités proposées par les formateurs, interactions entre formateurs et élèves-professeurs, consignes et rétroactions. Elle s’est appuyée sur une grille (annexe 2) portant sur le type d’évaluation, la présence d’une situation-problème, la correction et la remédiation, le moment de la séance, l’organisation d’un débat ou d’un travail de groupe, la participation des élèves-professeurs, les rétroactions, la prise en compte de leur argumentation, la coopération entre eux et l’écoute active du formateur. Compte tenu de notre emploi du temps, cinq (5) séances d’ECM ont été observées.</w:t>
      </w:r>
    </w:p>
    <w:p>
      <w:pPr>
        <w:pStyle w:val="Normal"/>
        <w:spacing w:lineRule="auto" w:line="360" w:before="0" w:after="120"/>
        <w:ind w:firstLine="709"/>
        <w:jc w:val="both"/>
        <w:rPr/>
      </w:pPr>
      <w:r>
        <w:rPr>
          <w:rFonts w:eastAsia="Times New Roman" w:cs="Times New Roman"/>
          <w:b/>
          <w:bCs/>
        </w:rPr>
        <w:t>Questionnaire.</w:t>
      </w:r>
      <w:r>
        <w:rPr>
          <w:rFonts w:eastAsia="Times New Roman" w:cs="Times New Roman"/>
        </w:rPr>
        <w:t xml:space="preserve"> Adressé aux formateurs et aux élèves-professeurs, le questionnaire visait à recueillir leurs perceptions des techniques d’évaluation utilisées en ECM, les difficultés rencontrées et leurs suggestions. Composé de questions fermées et semi-ouvertes (annexe 3), il a permis de recueillir des données principalement quantitatives auprès des élèves-professeurs et des données à dominante qualitative auprès des formateurs.</w:t>
      </w:r>
    </w:p>
    <w:p>
      <w:pPr>
        <w:pStyle w:val="Normal"/>
        <w:spacing w:lineRule="auto" w:line="360" w:before="0" w:after="120"/>
        <w:ind w:firstLine="709"/>
        <w:jc w:val="both"/>
        <w:rPr/>
      </w:pPr>
      <w:r>
        <w:rPr>
          <w:rFonts w:eastAsia="Times New Roman" w:cs="Times New Roman"/>
          <w:b/>
          <w:bCs/>
        </w:rPr>
        <w:t>Entretien semi-directif.</w:t>
      </w:r>
      <w:r>
        <w:rPr>
          <w:rFonts w:eastAsia="Times New Roman" w:cs="Times New Roman"/>
        </w:rPr>
        <w:t xml:space="preserve"> Nous nous sommes entretenu avec certains formateurs afin d’obtenir des données qualitatives approfondies sur leurs pratiques, leurs perceptions et leurs défis en matière d’évaluation en ECM. Le guide d’entretien (annexe 1), composé de questions ouvertes, s’articulait autour de cinq thèmes : les objectifs pédagogiques de l’ECM relatifs à la citoyenneté ; les techniques d’évaluation utilisées (types, fréquence, outils) ; l’adéquation entre objectifs et évaluation des compétences ; les difficultés rencontrées lors des évaluations ; les pistes d’amélioration.</w:t>
      </w:r>
    </w:p>
    <w:p>
      <w:pPr>
        <w:pStyle w:val="Heading3"/>
        <w:rPr/>
      </w:pPr>
      <w:bookmarkStart w:id="68" w:name="__RefHeading___Toc49586_3411847120"/>
      <w:bookmarkEnd w:id="68"/>
      <w:r>
        <w:rPr>
          <w:rFonts w:eastAsia="Times New Roman" w:cs="Times New Roman" w:ascii="Times New Roman" w:hAnsi="Times New Roman"/>
        </w:rPr>
        <w:t>3.4.6. Traitement et analyse des données</w:t>
      </w:r>
    </w:p>
    <w:p>
      <w:pPr>
        <w:pStyle w:val="Normal"/>
        <w:spacing w:lineRule="auto" w:line="360" w:before="0" w:after="120"/>
        <w:ind w:firstLine="709"/>
        <w:jc w:val="both"/>
        <w:rPr/>
      </w:pPr>
      <w:r>
        <w:rPr>
          <w:rFonts w:eastAsia="Times New Roman" w:cs="Times New Roman"/>
        </w:rPr>
        <w:t>Les données quantitatives ont été dépouillées puis analysées à l’aide de fréquences et de pourcentages ; des tableaux croisés et un test du khi-deux (χ²) ont servi à examiner certaines relations entre variables. Les données qualitatives issues des entretiens, des observations, des documents et des questions ouvertes ont fait l’objet d’une analyse de contenu thématique (Paillé et Mucchielli, 2016), fondée sur des catégories établies à partir des questions de recherche et des hypothèses : techniques d’évaluation, fonctions de l’évaluation, attitudes observées, difficultés et pistes d’amélioration. L’interprétation finale repose sur la mise en relation des résultats quantitatifs et qualitatifs, afin d’apprécier l’adéquation entre les techniques d’évaluation utilisées et les finalités de la formation citoyenne.</w:t>
      </w:r>
    </w:p>
    <w:p>
      <w:pPr>
        <w:pStyle w:val="Heading3"/>
        <w:rPr/>
      </w:pPr>
      <w:bookmarkStart w:id="69" w:name="__RefHeading___Toc49588_3411847120"/>
      <w:bookmarkEnd w:id="69"/>
      <w:r>
        <w:rPr>
          <w:rFonts w:eastAsia="Times New Roman" w:cs="Times New Roman" w:ascii="Times New Roman" w:hAnsi="Times New Roman"/>
        </w:rPr>
        <w:t>3.4.7. Délimitation et limites de l’étude</w:t>
      </w:r>
    </w:p>
    <w:p>
      <w:pPr>
        <w:pStyle w:val="Normal"/>
        <w:spacing w:lineRule="auto" w:line="360" w:before="0" w:after="120"/>
        <w:ind w:firstLine="709"/>
        <w:jc w:val="both"/>
        <w:rPr/>
      </w:pPr>
      <w:r>
        <w:rPr>
          <w:rFonts w:eastAsia="Times New Roman" w:cs="Times New Roman"/>
        </w:rPr>
        <w:t>Sur le plan géographique, l’étude est circonscrite à l’ENFPE de Notsè, située dans la préfecture de Haho (région des Plateaux). Sur le plan thématique, elle porte exclusivement sur les techniques d’évaluation mises en œuvre en ECM en lien avec la notion de citoyenneté ; elle ne prétend donc analyser ni l’ensemble des disciplines des sciences humaines ni toutes les dimensions de la formation professionnelle, mais s’intéresse aux outils, méthodes et critères utilisés pour évaluer les apprentissages liés à la citoyenneté.</w:t>
      </w:r>
    </w:p>
    <w:p>
      <w:pPr>
        <w:pStyle w:val="Normal"/>
        <w:spacing w:lineRule="auto" w:line="360" w:before="0" w:after="120"/>
        <w:ind w:firstLine="709"/>
        <w:jc w:val="both"/>
        <w:rPr/>
      </w:pPr>
      <w:r>
        <w:rPr>
          <w:rFonts w:eastAsia="Times New Roman" w:cs="Times New Roman"/>
        </w:rPr>
        <w:t>L’ENFPE de Notsè constitue un terrain pertinent : c’est l’établissement où nous avons effectué notre stage en responsabilité et observé les situations d’enseignement-apprentissage-évaluation. Elle prépare de futurs enseignants dont la mission ne se limite pas à la transmission de connaissances, mais inclut l’éducation morale et civique des élèves : respect des règles, responsabilité, solidarité, participation à la vie collective. L’ECM y occupe, de ce fait, une place de choix. L’objectif est de déterminer si les pratiques évaluatives mesurent uniquement les connaissances théoriques ou si elles prennent également en compte les attitudes, les valeurs et les comportements citoyens.</w:t>
      </w:r>
    </w:p>
    <w:p>
      <w:pPr>
        <w:pStyle w:val="Normal"/>
        <w:spacing w:lineRule="auto" w:line="360" w:before="0" w:after="120"/>
        <w:ind w:firstLine="709"/>
        <w:jc w:val="both"/>
        <w:rPr/>
      </w:pPr>
      <w:r>
        <w:rPr>
          <w:rFonts w:eastAsia="Times New Roman" w:cs="Times New Roman"/>
        </w:rPr>
        <w:t>Sur le plan méthodologique, la taille restreinte de l’échantillon, en particulier celui des formateurs, la subjectivité inhérente aux entretiens et l’impossibilité de généraliser les résultats à l’ensemble des ENFPE du Togo invitent à interpréter les conclusions avec prudence.</w:t>
      </w:r>
    </w:p>
    <w:p>
      <w:pPr>
        <w:pStyle w:val="Heading3"/>
        <w:rPr/>
      </w:pPr>
      <w:bookmarkStart w:id="70" w:name="__RefHeading___Toc49590_3411847120"/>
      <w:bookmarkEnd w:id="70"/>
      <w:r>
        <w:rPr>
          <w:rFonts w:eastAsia="Times New Roman" w:cs="Times New Roman" w:ascii="Times New Roman" w:hAnsi="Times New Roman"/>
        </w:rPr>
        <w:t>3.4.8. Difficultés rencontrées</w:t>
      </w:r>
    </w:p>
    <w:p>
      <w:pPr>
        <w:pStyle w:val="Normal"/>
        <w:spacing w:lineRule="auto" w:line="360" w:before="0" w:after="120"/>
        <w:ind w:firstLine="709"/>
        <w:jc w:val="both"/>
        <w:rPr/>
      </w:pPr>
      <w:r>
        <w:rPr>
          <w:rFonts w:eastAsia="Times New Roman" w:cs="Times New Roman"/>
        </w:rPr>
        <w:t xml:space="preserve">La collecte des données s’est heurtée à quelques difficultés : le faible nombre de formateurs en sciences humaines, qui n’a permis de recueillir que quatre questionnaires ; l’hétérogénéité des réponses à certains items, notamment la variable « statut », qui a dû être écartée de l’analyse ; enfin, un emploi du temps chargé, qui a limité à cinq le nombre de séances d’ECM observées. </w:t>
      </w:r>
      <w:r>
        <w:rPr>
          <w:rFonts w:eastAsia="Times New Roman" w:cs="Times New Roman"/>
          <w:highlight w:val="yellow"/>
        </w:rPr>
        <w:t>[À compléter par l’auteur, le cas échéant.]</w:t>
      </w:r>
    </w:p>
    <w:p>
      <w:pPr>
        <w:pStyle w:val="Heading1"/>
        <w:rPr/>
      </w:pPr>
      <w:bookmarkStart w:id="71" w:name="__RefHeading___Toc49460_3411847120"/>
      <w:bookmarkEnd w:id="71"/>
      <w:r>
        <w:rPr>
          <w:rFonts w:eastAsia="Times New Roman" w:cs="Times New Roman" w:ascii="Times New Roman" w:hAnsi="Times New Roman"/>
        </w:rPr>
        <w:t>CHAPITRE 4 : PRÉSENTATION, ANALYSE ET INTERPRÉTATION DES RÉSULTATS</w:t>
      </w:r>
    </w:p>
    <w:p>
      <w:pPr>
        <w:pStyle w:val="Normal"/>
        <w:spacing w:lineRule="auto" w:line="360" w:before="0" w:after="120"/>
        <w:ind w:firstLine="709"/>
        <w:jc w:val="both"/>
        <w:rPr/>
      </w:pPr>
      <w:r>
        <w:rPr>
          <w:rFonts w:eastAsia="Times New Roman" w:cs="Times New Roman"/>
        </w:rPr>
        <w:t>Le présent chapitre présente, analyse et interprète les résultats de deux enquêtes complémentaires : la première auprès de quatre (4) formateurs en sciences humaines de l’ENFPE de Notsè, la seconde auprès de soixante-deux (62) élèves-professeurs d’école (EPE) ayant enseigné l’éducation sociale 1 au cours de leurs stages. Cette double investigation permet de croiser le point de vue des formateurs, concepteurs des dispositifs d’évaluation, avec celui des élèves-professeurs, qui en sont les destinataires directs, conformément aux objectifs opérationnels énoncés : identifier les techniques mises en œuvre, en examiner la pertinence, en évaluer l’efficacité, en cerner les contraintes de mise en œuvre et proposer des pistes d’amélioration. Précisons d’emblée que la taille très restreinte de l’échantillon des formateurs (n = 4) n’autorise qu’une lecture descriptive et qualitative de leurs réponses, tandis que celui des élèves-professeurs (n = 62) se prête à un traitement statistique plus approfondi, incluant des tableaux croisés.</w:t>
      </w:r>
    </w:p>
    <w:p>
      <w:pPr>
        <w:pStyle w:val="Heading2"/>
        <w:rPr/>
      </w:pPr>
      <w:bookmarkStart w:id="72" w:name="__RefHeading___Toc49462_3411847120"/>
      <w:bookmarkEnd w:id="72"/>
      <w:r>
        <w:rPr>
          <w:rFonts w:eastAsia="Times New Roman" w:cs="Times New Roman" w:ascii="Times New Roman" w:hAnsi="Times New Roman"/>
        </w:rPr>
        <w:t>4.1. Résultats de l’enquête auprès des élèves-professeurs d’école</w:t>
      </w:r>
    </w:p>
    <w:p>
      <w:pPr>
        <w:pStyle w:val="Heading3"/>
        <w:rPr/>
      </w:pPr>
      <w:bookmarkStart w:id="73" w:name="__RefHeading___Toc49592_3411847120"/>
      <w:bookmarkEnd w:id="73"/>
      <w:r>
        <w:rPr>
          <w:rFonts w:eastAsia="Times New Roman" w:cs="Times New Roman" w:ascii="Times New Roman" w:hAnsi="Times New Roman"/>
        </w:rPr>
        <w:t>4.1.1. Profil des répondants</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6</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Répartition des EPE enquêtés selon le sexe (n = 62)</w:t>
      </w:r>
    </w:p>
    <w:tbl>
      <w:tblPr>
        <w:tblW w:w="9072" w:type="dxa"/>
        <w:jc w:val="center"/>
        <w:tblInd w:w="0" w:type="dxa"/>
        <w:tblLayout w:type="fixed"/>
        <w:tblCellMar>
          <w:top w:w="40" w:type="dxa"/>
          <w:left w:w="60" w:type="dxa"/>
          <w:bottom w:w="40" w:type="dxa"/>
          <w:right w:w="60" w:type="dxa"/>
        </w:tblCellMar>
      </w:tblPr>
      <w:tblGrid>
        <w:gridCol w:w="4536"/>
        <w:gridCol w:w="2268"/>
        <w:gridCol w:w="2268"/>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Sexe</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Effectif</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Pourcentage (%)</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Masculin</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44</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71,0</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Féminin</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18</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29,0</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left"/>
              <w:rPr/>
            </w:pPr>
            <w:r>
              <w:rPr>
                <w:rFonts w:eastAsia="Times New Roman" w:cs="Times New Roman"/>
                <w:b/>
                <w:bCs/>
                <w:sz w:val="22"/>
                <w:szCs w:val="22"/>
              </w:rPr>
              <w:t>Total</w:t>
            </w:r>
          </w:p>
        </w:tc>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62</w:t>
            </w:r>
          </w:p>
        </w:tc>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100,0</w:t>
            </w:r>
          </w:p>
        </w:tc>
      </w:tr>
    </w:tbl>
    <w:p>
      <w:pPr>
        <w:pStyle w:val="Normal"/>
        <w:spacing w:lineRule="auto" w:line="240" w:before="60" w:after="240"/>
        <w:jc w:val="left"/>
        <w:rPr/>
      </w:pPr>
      <w:r>
        <w:rPr>
          <w:rFonts w:eastAsia="Times New Roman" w:cs="Times New Roman"/>
          <w:i/>
          <w:iCs/>
          <w:sz w:val="22"/>
          <w:szCs w:val="22"/>
        </w:rPr>
        <w:t>Source : Enquête de terrain auprès des élèves-professeurs d’école, ENFPE de Notsè (2026).</w:t>
      </w:r>
    </w:p>
    <w:p>
      <w:pPr>
        <w:pStyle w:val="Caption"/>
        <w:keepNext w:val="true"/>
        <w:spacing w:lineRule="auto" w:line="240" w:before="200" w:after="100"/>
        <w:jc w:val="center"/>
        <w:rPr/>
      </w:pPr>
      <w:r>
        <w:rPr>
          <w:rFonts w:eastAsia="Times New Roman" w:cs="Times New Roman"/>
          <w:b/>
          <w:bCs/>
          <w:sz w:val="22"/>
          <w:szCs w:val="22"/>
        </w:rPr>
        <w:t xml:space="preserve">Figure </w:t>
      </w:r>
      <w:r>
        <w:rPr>
          <w:rFonts w:cs="Times New Roman"/>
          <w:b/>
          <w:bCs/>
          <w:sz w:val="22"/>
          <w:szCs w:val="22"/>
        </w:rPr>
        <w:fldChar w:fldCharType="begin"/>
      </w:r>
      <w:r>
        <w:rPr>
          <w:sz w:val="22"/>
          <w:b/>
          <w:szCs w:val="22"/>
          <w:bCs/>
          <w:rFonts w:cs="Times New Roman"/>
        </w:rPr>
        <w:instrText xml:space="preserve"> SEQ Figure \* ARABIC </w:instrText>
      </w:r>
      <w:r>
        <w:rPr>
          <w:sz w:val="22"/>
          <w:b/>
          <w:szCs w:val="22"/>
          <w:bCs/>
          <w:rFonts w:cs="Times New Roman"/>
        </w:rPr>
        <w:fldChar w:fldCharType="separate"/>
      </w:r>
      <w:r>
        <w:rPr>
          <w:sz w:val="22"/>
          <w:b/>
          <w:szCs w:val="22"/>
          <w:bCs/>
          <w:rFonts w:cs="Times New Roman"/>
        </w:rPr>
        <w:t>2</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Répartition des EPE enquêtés selon le sexe (n = 62)</w:t>
      </w:r>
    </w:p>
    <w:p>
      <w:pPr>
        <w:pStyle w:val="Normal"/>
        <w:keepNext w:val="true"/>
        <w:spacing w:lineRule="auto" w:line="240" w:before="0" w:after="0"/>
        <w:jc w:val="center"/>
        <w:rPr/>
      </w:pPr>
      <w:r>
        <w:rPr/>
        <w:drawing>
          <wp:inline distT="0" distB="0" distL="0" distR="0">
            <wp:extent cx="5400675" cy="15049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5400675" cy="1504950"/>
                    </a:xfrm>
                    <a:prstGeom prst="rect">
                      <a:avLst/>
                    </a:prstGeom>
                  </pic:spPr>
                </pic:pic>
              </a:graphicData>
            </a:graphic>
          </wp:inline>
        </w:drawing>
      </w:r>
    </w:p>
    <w:p>
      <w:pPr>
        <w:pStyle w:val="Normal"/>
        <w:spacing w:lineRule="auto" w:line="240" w:before="60" w:after="240"/>
        <w:jc w:val="left"/>
        <w:rPr/>
      </w:pPr>
      <w:r>
        <w:rPr>
          <w:rFonts w:eastAsia="Times New Roman" w:cs="Times New Roman"/>
          <w:i/>
          <w:iCs/>
          <w:sz w:val="22"/>
          <w:szCs w:val="22"/>
        </w:rPr>
        <w:t>Source : Enquête de terrain auprès des élèves-professeurs d’école, ENFPE de Notsè (2026).</w:t>
      </w:r>
    </w:p>
    <w:p>
      <w:pPr>
        <w:pStyle w:val="Normal"/>
        <w:spacing w:lineRule="auto" w:line="360" w:before="0" w:after="120"/>
        <w:ind w:firstLine="709"/>
        <w:jc w:val="both"/>
        <w:rPr/>
      </w:pPr>
      <w:r>
        <w:rPr>
          <w:rFonts w:eastAsia="Times New Roman" w:cs="Times New Roman"/>
        </w:rPr>
        <w:t>L’échantillon des élèves-professeurs enquêtés est majoritairement masculin : 44 hommes (71,0 %) contre 18 femmes (29,0 %).</w:t>
      </w:r>
    </w:p>
    <w:p>
      <w:pPr>
        <w:pStyle w:val="Heading3"/>
        <w:rPr/>
      </w:pPr>
      <w:bookmarkStart w:id="74" w:name="__RefHeading___Toc49594_3411847120"/>
      <w:bookmarkEnd w:id="74"/>
      <w:r>
        <w:rPr>
          <w:rFonts w:eastAsia="Times New Roman" w:cs="Times New Roman" w:ascii="Times New Roman" w:hAnsi="Times New Roman"/>
        </w:rPr>
        <w:t>4.1.2. Techniques d’évaluation effectivement utilisées (OO1)</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7</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Techniques d’évaluation utilisées par les EPE en éducation sociale (réponses multiples, n = 62)</w:t>
      </w:r>
    </w:p>
    <w:tbl>
      <w:tblPr>
        <w:tblW w:w="9072" w:type="dxa"/>
        <w:jc w:val="center"/>
        <w:tblInd w:w="0" w:type="dxa"/>
        <w:tblLayout w:type="fixed"/>
        <w:tblCellMar>
          <w:top w:w="40" w:type="dxa"/>
          <w:left w:w="60" w:type="dxa"/>
          <w:bottom w:w="40" w:type="dxa"/>
          <w:right w:w="60" w:type="dxa"/>
        </w:tblCellMar>
      </w:tblPr>
      <w:tblGrid>
        <w:gridCol w:w="4536"/>
        <w:gridCol w:w="2268"/>
        <w:gridCol w:w="2268"/>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Technique d’évaluation</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Effectif (citations)</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 des répondants</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Questions écrites</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56</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90,3</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Questions orales</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40</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64,5</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Observation des comportements</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17</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27,4</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Travaux de groupe</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16</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25,8</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Jeux de rôle</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9</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14,5</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Études de cas</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8</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12,9</w:t>
            </w:r>
          </w:p>
        </w:tc>
      </w:tr>
    </w:tbl>
    <w:p>
      <w:pPr>
        <w:pStyle w:val="Normal"/>
        <w:spacing w:lineRule="auto" w:line="240" w:before="60" w:after="0"/>
        <w:jc w:val="left"/>
        <w:rPr/>
      </w:pPr>
      <w:r>
        <w:rPr>
          <w:rFonts w:eastAsia="Times New Roman" w:cs="Times New Roman"/>
          <w:sz w:val="20"/>
          <w:szCs w:val="20"/>
        </w:rPr>
        <w:t>Note. Question à réponses multiples : le total des pourcentages excède 100 %.</w:t>
      </w:r>
    </w:p>
    <w:p>
      <w:pPr>
        <w:pStyle w:val="Normal"/>
        <w:spacing w:lineRule="auto" w:line="240" w:before="60" w:after="240"/>
        <w:jc w:val="left"/>
        <w:rPr/>
      </w:pPr>
      <w:r>
        <w:rPr>
          <w:rFonts w:eastAsia="Times New Roman" w:cs="Times New Roman"/>
          <w:i/>
          <w:iCs/>
          <w:sz w:val="22"/>
          <w:szCs w:val="22"/>
        </w:rPr>
        <w:t>Source : Enquête de terrain auprès des élèves-professeurs d’école, ENFPE de Notsè (2026).</w:t>
      </w:r>
    </w:p>
    <w:p>
      <w:pPr>
        <w:pStyle w:val="Caption"/>
        <w:keepNext w:val="true"/>
        <w:spacing w:lineRule="auto" w:line="240" w:before="200" w:after="100"/>
        <w:jc w:val="center"/>
        <w:rPr/>
      </w:pPr>
      <w:r>
        <w:rPr>
          <w:rFonts w:eastAsia="Times New Roman" w:cs="Times New Roman"/>
          <w:b/>
          <w:bCs/>
          <w:sz w:val="22"/>
          <w:szCs w:val="22"/>
        </w:rPr>
        <w:t xml:space="preserve">Figure </w:t>
      </w:r>
      <w:r>
        <w:rPr>
          <w:rFonts w:cs="Times New Roman"/>
          <w:b/>
          <w:bCs/>
          <w:sz w:val="22"/>
          <w:szCs w:val="22"/>
        </w:rPr>
        <w:fldChar w:fldCharType="begin"/>
      </w:r>
      <w:r>
        <w:rPr>
          <w:sz w:val="22"/>
          <w:b/>
          <w:szCs w:val="22"/>
          <w:bCs/>
          <w:rFonts w:cs="Times New Roman"/>
        </w:rPr>
        <w:instrText xml:space="preserve"> SEQ Figure \* ARABIC </w:instrText>
      </w:r>
      <w:r>
        <w:rPr>
          <w:sz w:val="22"/>
          <w:b/>
          <w:szCs w:val="22"/>
          <w:bCs/>
          <w:rFonts w:cs="Times New Roman"/>
        </w:rPr>
        <w:fldChar w:fldCharType="separate"/>
      </w:r>
      <w:r>
        <w:rPr>
          <w:sz w:val="22"/>
          <w:b/>
          <w:szCs w:val="22"/>
          <w:bCs/>
          <w:rFonts w:cs="Times New Roman"/>
        </w:rPr>
        <w:t>3</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Techniques d’évaluation utilisées par les EPE en éducation sociale (réponses multiples, n = 62)</w:t>
      </w:r>
    </w:p>
    <w:p>
      <w:pPr>
        <w:pStyle w:val="Normal"/>
        <w:keepNext w:val="true"/>
        <w:spacing w:lineRule="auto" w:line="240" w:before="0" w:after="0"/>
        <w:jc w:val="center"/>
        <w:rPr/>
      </w:pPr>
      <w:r>
        <w:rPr/>
        <w:drawing>
          <wp:inline distT="0" distB="0" distL="0" distR="0">
            <wp:extent cx="5400675" cy="29718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tretch>
                      <a:fillRect/>
                    </a:stretch>
                  </pic:blipFill>
                  <pic:spPr bwMode="auto">
                    <a:xfrm>
                      <a:off x="0" y="0"/>
                      <a:ext cx="5400675" cy="2971800"/>
                    </a:xfrm>
                    <a:prstGeom prst="rect">
                      <a:avLst/>
                    </a:prstGeom>
                  </pic:spPr>
                </pic:pic>
              </a:graphicData>
            </a:graphic>
          </wp:inline>
        </w:drawing>
      </w:r>
    </w:p>
    <w:p>
      <w:pPr>
        <w:pStyle w:val="Normal"/>
        <w:spacing w:lineRule="auto" w:line="240" w:before="60" w:after="240"/>
        <w:jc w:val="left"/>
        <w:rPr/>
      </w:pPr>
      <w:r>
        <w:rPr>
          <w:rFonts w:eastAsia="Times New Roman" w:cs="Times New Roman"/>
          <w:i/>
          <w:iCs/>
          <w:sz w:val="22"/>
          <w:szCs w:val="22"/>
        </w:rPr>
        <w:t>Source : Enquête de terrain auprès des élèves-professeurs d’école, ENFPE de Notsè (2026).</w:t>
      </w:r>
    </w:p>
    <w:p>
      <w:pPr>
        <w:pStyle w:val="Normal"/>
        <w:spacing w:lineRule="auto" w:line="360" w:before="0" w:after="120"/>
        <w:ind w:firstLine="709"/>
        <w:jc w:val="both"/>
        <w:rPr/>
      </w:pPr>
      <w:r>
        <w:rPr>
          <w:rFonts w:eastAsia="Times New Roman" w:cs="Times New Roman"/>
        </w:rPr>
        <w:t>L’examen des techniques mobilisées fait apparaître une hiérarchie sans équivoque. Les questions écrites arrivent très largement en tête (90,3 % des élèves-professeurs), suivies des questions orales (64,5 %). À l’inverse, l’observation des comportements — seule technique directement adossée à la manifestation d’un comportement citoyen réel plutôt qu’à la restitution d’un savoir — n’est citée que par 27,4 % des répondants, à un niveau comparable à celui des travaux de groupe (25,8 %), et devant les jeux de rôle (14,5 %) et les études de cas (12,9 %).</w:t>
      </w:r>
    </w:p>
    <w:p>
      <w:pPr>
        <w:pStyle w:val="Normal"/>
        <w:spacing w:lineRule="auto" w:line="360" w:before="0" w:after="120"/>
        <w:ind w:firstLine="709"/>
        <w:jc w:val="both"/>
        <w:rPr/>
      </w:pPr>
      <w:r>
        <w:rPr>
          <w:rFonts w:eastAsia="Times New Roman" w:cs="Times New Roman"/>
        </w:rPr>
        <w:t>Ce résultat constitue un premier indice empirique, direct et sans ambiguïté, en faveur de l’hypothèse générale : les techniques d’évaluation mobilisées en ECM demeurent largement calquées sur l’approche traditionnelle de restitution écrite des acquis.</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8</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Profil dominant des techniques d’évaluation mobilisées par les EPE (n = 62)</w:t>
      </w:r>
    </w:p>
    <w:tbl>
      <w:tblPr>
        <w:tblW w:w="9072" w:type="dxa"/>
        <w:jc w:val="center"/>
        <w:tblInd w:w="0" w:type="dxa"/>
        <w:tblLayout w:type="fixed"/>
        <w:tblCellMar>
          <w:top w:w="40" w:type="dxa"/>
          <w:left w:w="60" w:type="dxa"/>
          <w:bottom w:w="40" w:type="dxa"/>
          <w:right w:w="60" w:type="dxa"/>
        </w:tblCellMar>
      </w:tblPr>
      <w:tblGrid>
        <w:gridCol w:w="4536"/>
        <w:gridCol w:w="2268"/>
        <w:gridCol w:w="2268"/>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Profil dominant</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Effectif</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Pourcentage (%)</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Exclusivement écrit et/ou oral (cognitif)</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28</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45,2</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Combiné avec des travaux pratiques (sans observation)</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17</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27,4</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Combiné avec l’observation des comportements</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17</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27,4</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left"/>
              <w:rPr/>
            </w:pPr>
            <w:r>
              <w:rPr>
                <w:rFonts w:eastAsia="Times New Roman" w:cs="Times New Roman"/>
                <w:b/>
                <w:bCs/>
                <w:sz w:val="22"/>
                <w:szCs w:val="22"/>
              </w:rPr>
              <w:t>Total</w:t>
            </w:r>
          </w:p>
        </w:tc>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62</w:t>
            </w:r>
          </w:p>
        </w:tc>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100,0</w:t>
            </w:r>
          </w:p>
        </w:tc>
      </w:tr>
    </w:tbl>
    <w:p>
      <w:pPr>
        <w:pStyle w:val="Normal"/>
        <w:spacing w:lineRule="auto" w:line="240" w:before="60" w:after="240"/>
        <w:jc w:val="left"/>
        <w:rPr/>
      </w:pPr>
      <w:r>
        <w:rPr>
          <w:rFonts w:eastAsia="Times New Roman" w:cs="Times New Roman"/>
          <w:i/>
          <w:iCs/>
          <w:sz w:val="22"/>
          <w:szCs w:val="22"/>
        </w:rPr>
        <w:t>Source : Enquête de terrain auprès des élèves-professeurs d’école, ENFPE de Notsè (2026).</w:t>
      </w:r>
    </w:p>
    <w:p>
      <w:pPr>
        <w:pStyle w:val="Caption"/>
        <w:keepNext w:val="true"/>
        <w:spacing w:lineRule="auto" w:line="240" w:before="200" w:after="100"/>
        <w:jc w:val="center"/>
        <w:rPr/>
      </w:pPr>
      <w:r>
        <w:rPr>
          <w:rFonts w:eastAsia="Times New Roman" w:cs="Times New Roman"/>
          <w:b/>
          <w:bCs/>
          <w:sz w:val="22"/>
          <w:szCs w:val="22"/>
        </w:rPr>
        <w:t xml:space="preserve">Figure </w:t>
      </w:r>
      <w:r>
        <w:rPr>
          <w:rFonts w:cs="Times New Roman"/>
          <w:b/>
          <w:bCs/>
          <w:sz w:val="22"/>
          <w:szCs w:val="22"/>
        </w:rPr>
        <w:fldChar w:fldCharType="begin"/>
      </w:r>
      <w:r>
        <w:rPr>
          <w:sz w:val="22"/>
          <w:b/>
          <w:szCs w:val="22"/>
          <w:bCs/>
          <w:rFonts w:cs="Times New Roman"/>
        </w:rPr>
        <w:instrText xml:space="preserve"> SEQ Figure \* ARABIC </w:instrText>
      </w:r>
      <w:r>
        <w:rPr>
          <w:sz w:val="22"/>
          <w:b/>
          <w:szCs w:val="22"/>
          <w:bCs/>
          <w:rFonts w:cs="Times New Roman"/>
        </w:rPr>
        <w:fldChar w:fldCharType="separate"/>
      </w:r>
      <w:r>
        <w:rPr>
          <w:sz w:val="22"/>
          <w:b/>
          <w:szCs w:val="22"/>
          <w:bCs/>
          <w:rFonts w:cs="Times New Roman"/>
        </w:rPr>
        <w:t>4</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Profil dominant des techniques d’évaluation mobilisées par les EPE (n = 62)</w:t>
      </w:r>
    </w:p>
    <w:p>
      <w:pPr>
        <w:pStyle w:val="Normal"/>
        <w:keepNext w:val="true"/>
        <w:spacing w:lineRule="auto" w:line="240" w:before="0" w:after="0"/>
        <w:jc w:val="center"/>
        <w:rPr/>
      </w:pPr>
      <w:r>
        <w:rPr/>
        <w:drawing>
          <wp:inline distT="0" distB="0" distL="0" distR="0">
            <wp:extent cx="5400675" cy="187642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7"/>
                    <a:stretch>
                      <a:fillRect/>
                    </a:stretch>
                  </pic:blipFill>
                  <pic:spPr bwMode="auto">
                    <a:xfrm>
                      <a:off x="0" y="0"/>
                      <a:ext cx="5400675" cy="1876425"/>
                    </a:xfrm>
                    <a:prstGeom prst="rect">
                      <a:avLst/>
                    </a:prstGeom>
                  </pic:spPr>
                </pic:pic>
              </a:graphicData>
            </a:graphic>
          </wp:inline>
        </w:drawing>
      </w:r>
    </w:p>
    <w:p>
      <w:pPr>
        <w:pStyle w:val="Normal"/>
        <w:spacing w:lineRule="auto" w:line="240" w:before="60" w:after="240"/>
        <w:jc w:val="left"/>
        <w:rPr/>
      </w:pPr>
      <w:r>
        <w:rPr>
          <w:rFonts w:eastAsia="Times New Roman" w:cs="Times New Roman"/>
          <w:i/>
          <w:iCs/>
          <w:sz w:val="22"/>
          <w:szCs w:val="22"/>
        </w:rPr>
        <w:t>Source : Enquête de terrain auprès des élèves-professeurs d’école, ENFPE de Notsè (2026).</w:t>
      </w:r>
    </w:p>
    <w:p>
      <w:pPr>
        <w:pStyle w:val="Normal"/>
        <w:spacing w:lineRule="auto" w:line="360" w:before="0" w:after="120"/>
        <w:ind w:firstLine="709"/>
        <w:jc w:val="both"/>
        <w:rPr/>
      </w:pPr>
      <w:r>
        <w:rPr>
          <w:rFonts w:eastAsia="Times New Roman" w:cs="Times New Roman"/>
        </w:rPr>
        <w:t>Pour affiner ce constat, chaque élève-professeur a été classé selon le profil dominant de ses réponses. Il en ressort que 45,2 % des répondants n’ont mobilisé, durant leurs stages, que des techniques écrites et/ou orales, sans recourir au travail de groupe, à l’étude de cas, au jeu de rôle ni à l’observation des comportements. Seuls 27,4 % ont associé à leurs évaluations une observation effective des comportements ; les 27,4 % restants ont eu recours à d’autres formes de mise en pratique, notamment les travaux de groupe, sans observation comportementale à proprement parler.</w:t>
      </w:r>
    </w:p>
    <w:p>
      <w:pPr>
        <w:pStyle w:val="Normal"/>
        <w:spacing w:lineRule="auto" w:line="360" w:before="0" w:after="120"/>
        <w:ind w:firstLine="709"/>
        <w:jc w:val="both"/>
        <w:rPr/>
      </w:pPr>
      <w:r>
        <w:rPr>
          <w:rFonts w:eastAsia="Times New Roman" w:cs="Times New Roman"/>
        </w:rPr>
        <w:t>Autrement dit, pour près d’un élève-professeur sur deux, l’évaluation en ECM s’est entièrement résumée, au cours du stage, à des épreuves de restitution cognitive de la notion de citoyenneté, ce qui contredit directement l’exigence, rappelée dans l’énoncé du problème, d’une évaluation fondée sur des comportements observables plutôt que sur des savoirs récités.</w:t>
      </w:r>
    </w:p>
    <w:p>
      <w:pPr>
        <w:pStyle w:val="Heading3"/>
        <w:rPr/>
      </w:pPr>
      <w:bookmarkStart w:id="75" w:name="__RefHeading___Toc49596_3411847120"/>
      <w:bookmarkEnd w:id="75"/>
      <w:r>
        <w:rPr>
          <w:rFonts w:eastAsia="Times New Roman" w:cs="Times New Roman" w:ascii="Times New Roman" w:hAnsi="Times New Roman"/>
        </w:rPr>
        <w:t>4.1.3. Pertinence perçue des techniques au regard des compétences citoyennes visées (OO2)</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9</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Fréquence d’utilisation des techniques d’évaluation (n = 61)</w:t>
      </w:r>
    </w:p>
    <w:tbl>
      <w:tblPr>
        <w:tblW w:w="9072" w:type="dxa"/>
        <w:jc w:val="center"/>
        <w:tblInd w:w="0" w:type="dxa"/>
        <w:tblLayout w:type="fixed"/>
        <w:tblCellMar>
          <w:top w:w="40" w:type="dxa"/>
          <w:left w:w="60" w:type="dxa"/>
          <w:bottom w:w="40" w:type="dxa"/>
          <w:right w:w="60" w:type="dxa"/>
        </w:tblCellMar>
      </w:tblPr>
      <w:tblGrid>
        <w:gridCol w:w="4536"/>
        <w:gridCol w:w="2268"/>
        <w:gridCol w:w="2268"/>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Fréquence d’utilisation</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Effectif</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Pourcentage (%)</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Souvent</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35</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57,4</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Très souvent</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24</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39,3</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Rarement</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3,3</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left"/>
              <w:rPr/>
            </w:pPr>
            <w:r>
              <w:rPr>
                <w:rFonts w:eastAsia="Times New Roman" w:cs="Times New Roman"/>
                <w:b/>
                <w:bCs/>
                <w:sz w:val="22"/>
                <w:szCs w:val="22"/>
              </w:rPr>
              <w:t>Total</w:t>
            </w:r>
          </w:p>
        </w:tc>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61</w:t>
            </w:r>
          </w:p>
        </w:tc>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100,0</w:t>
            </w:r>
          </w:p>
        </w:tc>
      </w:tr>
    </w:tbl>
    <w:p>
      <w:pPr>
        <w:pStyle w:val="Normal"/>
        <w:spacing w:lineRule="auto" w:line="240" w:before="60" w:after="0"/>
        <w:jc w:val="left"/>
        <w:rPr/>
      </w:pPr>
      <w:r>
        <w:rPr>
          <w:rFonts w:eastAsia="Times New Roman" w:cs="Times New Roman"/>
          <w:sz w:val="20"/>
          <w:szCs w:val="20"/>
        </w:rPr>
        <w:t>Note. Un répondant n’a pas renseigné cet item.</w:t>
      </w:r>
    </w:p>
    <w:p>
      <w:pPr>
        <w:pStyle w:val="Normal"/>
        <w:spacing w:lineRule="auto" w:line="240" w:before="60" w:after="240"/>
        <w:jc w:val="left"/>
        <w:rPr/>
      </w:pPr>
      <w:r>
        <w:rPr>
          <w:rFonts w:eastAsia="Times New Roman" w:cs="Times New Roman"/>
          <w:i/>
          <w:iCs/>
          <w:sz w:val="22"/>
          <w:szCs w:val="22"/>
        </w:rPr>
        <w:t>Source : Enquête de terrain auprès des élèves-professeurs d’école, ENFPE de Notsè (2026).</w:t>
      </w:r>
    </w:p>
    <w:p>
      <w:pPr>
        <w:pStyle w:val="Caption"/>
        <w:keepNext w:val="true"/>
        <w:spacing w:lineRule="auto" w:line="240" w:before="200" w:after="100"/>
        <w:jc w:val="center"/>
        <w:rPr/>
      </w:pPr>
      <w:r>
        <w:rPr>
          <w:rFonts w:eastAsia="Times New Roman" w:cs="Times New Roman"/>
          <w:b/>
          <w:bCs/>
          <w:sz w:val="22"/>
          <w:szCs w:val="22"/>
        </w:rPr>
        <w:t xml:space="preserve">Figure </w:t>
      </w:r>
      <w:r>
        <w:rPr>
          <w:rFonts w:cs="Times New Roman"/>
          <w:b/>
          <w:bCs/>
          <w:sz w:val="22"/>
          <w:szCs w:val="22"/>
        </w:rPr>
        <w:fldChar w:fldCharType="begin"/>
      </w:r>
      <w:r>
        <w:rPr>
          <w:sz w:val="22"/>
          <w:b/>
          <w:szCs w:val="22"/>
          <w:bCs/>
          <w:rFonts w:cs="Times New Roman"/>
        </w:rPr>
        <w:instrText xml:space="preserve"> SEQ Figure \* ARABIC </w:instrText>
      </w:r>
      <w:r>
        <w:rPr>
          <w:sz w:val="22"/>
          <w:b/>
          <w:szCs w:val="22"/>
          <w:bCs/>
          <w:rFonts w:cs="Times New Roman"/>
        </w:rPr>
        <w:fldChar w:fldCharType="separate"/>
      </w:r>
      <w:r>
        <w:rPr>
          <w:sz w:val="22"/>
          <w:b/>
          <w:szCs w:val="22"/>
          <w:bCs/>
          <w:rFonts w:cs="Times New Roman"/>
        </w:rPr>
        <w:t>5</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Fréquence d’utilisation des techniques d’évaluation (n = 61)</w:t>
      </w:r>
    </w:p>
    <w:p>
      <w:pPr>
        <w:pStyle w:val="Normal"/>
        <w:keepNext w:val="true"/>
        <w:spacing w:lineRule="auto" w:line="240" w:before="0" w:after="0"/>
        <w:jc w:val="center"/>
        <w:rPr/>
      </w:pPr>
      <w:r>
        <w:rPr/>
        <w:drawing>
          <wp:inline distT="0" distB="0" distL="0" distR="0">
            <wp:extent cx="5400675" cy="187642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8"/>
                    <a:stretch>
                      <a:fillRect/>
                    </a:stretch>
                  </pic:blipFill>
                  <pic:spPr bwMode="auto">
                    <a:xfrm>
                      <a:off x="0" y="0"/>
                      <a:ext cx="5400675" cy="1876425"/>
                    </a:xfrm>
                    <a:prstGeom prst="rect">
                      <a:avLst/>
                    </a:prstGeom>
                  </pic:spPr>
                </pic:pic>
              </a:graphicData>
            </a:graphic>
          </wp:inline>
        </w:drawing>
      </w:r>
    </w:p>
    <w:p>
      <w:pPr>
        <w:pStyle w:val="Normal"/>
        <w:spacing w:lineRule="auto" w:line="240" w:before="60" w:after="240"/>
        <w:jc w:val="left"/>
        <w:rPr/>
      </w:pPr>
      <w:r>
        <w:rPr>
          <w:rFonts w:eastAsia="Times New Roman" w:cs="Times New Roman"/>
          <w:i/>
          <w:iCs/>
          <w:sz w:val="22"/>
          <w:szCs w:val="22"/>
        </w:rPr>
        <w:t>Source : Enquête de terrain auprès des élèves-professeurs d’école, ENFPE de Notsè (2026).</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10</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Capacité perçue des techniques à évaluer les compétences civiques et morales (n = 62)</w:t>
      </w:r>
    </w:p>
    <w:tbl>
      <w:tblPr>
        <w:tblW w:w="9072" w:type="dxa"/>
        <w:jc w:val="center"/>
        <w:tblInd w:w="0" w:type="dxa"/>
        <w:tblLayout w:type="fixed"/>
        <w:tblCellMar>
          <w:top w:w="40" w:type="dxa"/>
          <w:left w:w="60" w:type="dxa"/>
          <w:bottom w:w="40" w:type="dxa"/>
          <w:right w:w="60" w:type="dxa"/>
        </w:tblCellMar>
      </w:tblPr>
      <w:tblGrid>
        <w:gridCol w:w="4536"/>
        <w:gridCol w:w="2268"/>
        <w:gridCol w:w="2268"/>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Niveau d’accord</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Effectif</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Pourcentage (%)</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Tout à fait</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51</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82,3</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Partiellement</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11</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17,7</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left"/>
              <w:rPr/>
            </w:pPr>
            <w:r>
              <w:rPr>
                <w:rFonts w:eastAsia="Times New Roman" w:cs="Times New Roman"/>
                <w:b/>
                <w:bCs/>
                <w:sz w:val="22"/>
                <w:szCs w:val="22"/>
              </w:rPr>
              <w:t>Total</w:t>
            </w:r>
          </w:p>
        </w:tc>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62</w:t>
            </w:r>
          </w:p>
        </w:tc>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100,0</w:t>
            </w:r>
          </w:p>
        </w:tc>
      </w:tr>
    </w:tbl>
    <w:p>
      <w:pPr>
        <w:pStyle w:val="Normal"/>
        <w:spacing w:lineRule="auto" w:line="240" w:before="60" w:after="240"/>
        <w:jc w:val="left"/>
        <w:rPr/>
      </w:pPr>
      <w:r>
        <w:rPr>
          <w:rFonts w:eastAsia="Times New Roman" w:cs="Times New Roman"/>
          <w:i/>
          <w:iCs/>
          <w:sz w:val="22"/>
          <w:szCs w:val="22"/>
        </w:rPr>
        <w:t>Source : Enquête de terrain auprès des élèves-professeurs d’école, ENFPE de Notsè (2026).</w:t>
      </w:r>
    </w:p>
    <w:p>
      <w:pPr>
        <w:pStyle w:val="Caption"/>
        <w:keepNext w:val="true"/>
        <w:spacing w:lineRule="auto" w:line="240" w:before="200" w:after="100"/>
        <w:jc w:val="center"/>
        <w:rPr/>
      </w:pPr>
      <w:r>
        <w:rPr>
          <w:rFonts w:eastAsia="Times New Roman" w:cs="Times New Roman"/>
          <w:b/>
          <w:bCs/>
          <w:sz w:val="22"/>
          <w:szCs w:val="22"/>
        </w:rPr>
        <w:t xml:space="preserve">Figure </w:t>
      </w:r>
      <w:r>
        <w:rPr>
          <w:rFonts w:cs="Times New Roman"/>
          <w:b/>
          <w:bCs/>
          <w:sz w:val="22"/>
          <w:szCs w:val="22"/>
        </w:rPr>
        <w:fldChar w:fldCharType="begin"/>
      </w:r>
      <w:r>
        <w:rPr>
          <w:sz w:val="22"/>
          <w:b/>
          <w:szCs w:val="22"/>
          <w:bCs/>
          <w:rFonts w:cs="Times New Roman"/>
        </w:rPr>
        <w:instrText xml:space="preserve"> SEQ Figure \* ARABIC </w:instrText>
      </w:r>
      <w:r>
        <w:rPr>
          <w:sz w:val="22"/>
          <w:b/>
          <w:szCs w:val="22"/>
          <w:bCs/>
          <w:rFonts w:cs="Times New Roman"/>
        </w:rPr>
        <w:fldChar w:fldCharType="separate"/>
      </w:r>
      <w:r>
        <w:rPr>
          <w:sz w:val="22"/>
          <w:b/>
          <w:szCs w:val="22"/>
          <w:bCs/>
          <w:rFonts w:cs="Times New Roman"/>
        </w:rPr>
        <w:t>6</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 Ces techniques permettent-elles d’évaluer les compétences civiques et morales ? » (n = 62)</w:t>
      </w:r>
    </w:p>
    <w:p>
      <w:pPr>
        <w:pStyle w:val="Normal"/>
        <w:keepNext w:val="true"/>
        <w:spacing w:lineRule="auto" w:line="240" w:before="0" w:after="0"/>
        <w:jc w:val="center"/>
        <w:rPr/>
      </w:pPr>
      <w:r>
        <w:rPr/>
        <w:drawing>
          <wp:inline distT="0" distB="0" distL="0" distR="0">
            <wp:extent cx="5400675" cy="15049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9"/>
                    <a:stretch>
                      <a:fillRect/>
                    </a:stretch>
                  </pic:blipFill>
                  <pic:spPr bwMode="auto">
                    <a:xfrm>
                      <a:off x="0" y="0"/>
                      <a:ext cx="5400675" cy="1504950"/>
                    </a:xfrm>
                    <a:prstGeom prst="rect">
                      <a:avLst/>
                    </a:prstGeom>
                  </pic:spPr>
                </pic:pic>
              </a:graphicData>
            </a:graphic>
          </wp:inline>
        </w:drawing>
      </w:r>
    </w:p>
    <w:p>
      <w:pPr>
        <w:pStyle w:val="Normal"/>
        <w:spacing w:lineRule="auto" w:line="240" w:before="60" w:after="240"/>
        <w:jc w:val="left"/>
        <w:rPr/>
      </w:pPr>
      <w:r>
        <w:rPr>
          <w:rFonts w:eastAsia="Times New Roman" w:cs="Times New Roman"/>
          <w:i/>
          <w:iCs/>
          <w:sz w:val="22"/>
          <w:szCs w:val="22"/>
        </w:rPr>
        <w:t>Source : Enquête de terrain auprès des élèves-professeurs d’école, ENFPE de Notsè (2026).</w:t>
      </w:r>
    </w:p>
    <w:p>
      <w:pPr>
        <w:pStyle w:val="Normal"/>
        <w:spacing w:lineRule="auto" w:line="360" w:before="0" w:after="120"/>
        <w:ind w:firstLine="709"/>
        <w:jc w:val="both"/>
        <w:rPr/>
      </w:pPr>
      <w:r>
        <w:rPr>
          <w:rFonts w:eastAsia="Times New Roman" w:cs="Times New Roman"/>
        </w:rPr>
        <w:t>Les techniques d’évaluation sont utilisées avec une grande fréquence (57,4 % « souvent » et 39,3 % « très souvent »), et une large majorité des élèves-professeurs (82,3 %) estime qu’elles permettent « tout à fait » d’évaluer les compétences civiques et morales ; les 17,7 % restants ne les jugent que « partiellement » adaptées à cette fin.</w:t>
      </w:r>
    </w:p>
    <w:p>
      <w:pPr>
        <w:pStyle w:val="Normal"/>
        <w:spacing w:lineRule="auto" w:line="360" w:before="0" w:after="120"/>
        <w:ind w:firstLine="709"/>
        <w:jc w:val="both"/>
        <w:rPr/>
      </w:pPr>
      <w:r>
        <w:rPr>
          <w:rFonts w:eastAsia="Times New Roman" w:cs="Times New Roman"/>
        </w:rPr>
        <w:t>Pris isolément, cet indicateur pourrait laisser penser que la pertinence des techniques d’évaluation ne pose guère problème. Le croisement de cette perception avec le profil dominant des techniques mobilisées (tableau 8) en nuance cependant sensiblement la portée (tableau 11).</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11</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Capacité perçue à évaluer les compétences civiques selon le profil dominant des techniques (% en ligne, n = 62)</w:t>
      </w:r>
    </w:p>
    <w:tbl>
      <w:tblPr>
        <w:tblW w:w="9072" w:type="dxa"/>
        <w:jc w:val="center"/>
        <w:tblInd w:w="0" w:type="dxa"/>
        <w:tblLayout w:type="fixed"/>
        <w:tblCellMar>
          <w:top w:w="40" w:type="dxa"/>
          <w:left w:w="60" w:type="dxa"/>
          <w:bottom w:w="40" w:type="dxa"/>
          <w:right w:w="60" w:type="dxa"/>
        </w:tblCellMar>
      </w:tblPr>
      <w:tblGrid>
        <w:gridCol w:w="4536"/>
        <w:gridCol w:w="2268"/>
        <w:gridCol w:w="2268"/>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Profil dominant des techniques utilisées</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Partiellement</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Tout à fait</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Combiné avec l’observation des comportements</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11,8</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88,2</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Combiné avec des travaux pratiques (sans observation)</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5,9</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94,1</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Exclusivement écrit et/ou oral (cognitif)</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28,6</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71,4</w:t>
            </w:r>
          </w:p>
        </w:tc>
      </w:tr>
    </w:tbl>
    <w:p>
      <w:pPr>
        <w:pStyle w:val="Normal"/>
        <w:spacing w:lineRule="auto" w:line="240" w:before="60" w:after="0"/>
        <w:jc w:val="left"/>
        <w:rPr/>
      </w:pPr>
      <w:r>
        <w:rPr>
          <w:rFonts w:eastAsia="Times New Roman" w:cs="Times New Roman"/>
          <w:sz w:val="20"/>
          <w:szCs w:val="20"/>
        </w:rPr>
        <w:t>Note. χ²(2, N = 62) = 4,30 ; p = 0,116.</w:t>
      </w:r>
    </w:p>
    <w:p>
      <w:pPr>
        <w:pStyle w:val="Normal"/>
        <w:spacing w:lineRule="auto" w:line="240" w:before="60" w:after="240"/>
        <w:jc w:val="left"/>
        <w:rPr/>
      </w:pPr>
      <w:r>
        <w:rPr>
          <w:rFonts w:eastAsia="Times New Roman" w:cs="Times New Roman"/>
          <w:i/>
          <w:iCs/>
          <w:sz w:val="22"/>
          <w:szCs w:val="22"/>
        </w:rPr>
        <w:t>Source : Enquête de terrain auprès des élèves-professeurs d’école, ENFPE de Notsè (2026).</w:t>
      </w:r>
    </w:p>
    <w:p>
      <w:pPr>
        <w:pStyle w:val="Normal"/>
        <w:spacing w:lineRule="auto" w:line="360" w:before="0" w:after="120"/>
        <w:ind w:firstLine="709"/>
        <w:jc w:val="both"/>
        <w:rPr/>
      </w:pPr>
      <w:r>
        <w:rPr>
          <w:rFonts w:eastAsia="Times New Roman" w:cs="Times New Roman"/>
        </w:rPr>
        <w:t>Ce croisement révèle un gradient cohérent : parmi les élèves-professeurs n’ayant mobilisé que des techniques écrites et/ou orales, 71,4 % seulement estiment que celles-ci permettent « tout à fait » d’évaluer les compétences civiques, contre 88,2 % chez ceux qui ont associé l’observation des comportements et 94,1 % chez ceux qui ont eu recours à d’autres formes de mise en pratique. Ce résultat converge avec l’hypothèse H5, selon laquelle les techniques actives et formatives favoriseraient une meilleure adhésion aux valeurs citoyennes observables.</w:t>
      </w:r>
    </w:p>
    <w:p>
      <w:pPr>
        <w:pStyle w:val="Heading3"/>
        <w:rPr/>
      </w:pPr>
      <w:bookmarkStart w:id="76" w:name="__RefHeading___Toc49598_3411847120"/>
      <w:bookmarkEnd w:id="76"/>
      <w:r>
        <w:rPr>
          <w:rFonts w:eastAsia="Times New Roman" w:cs="Times New Roman" w:ascii="Times New Roman" w:hAnsi="Times New Roman"/>
        </w:rPr>
        <w:t>4.1.4. Efficacité perçue des techniques d’évaluation (OO3)</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12</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Contribution perçue des techniques à l’apprentissage de la leçon (n = 62)</w:t>
      </w:r>
    </w:p>
    <w:tbl>
      <w:tblPr>
        <w:tblW w:w="9072" w:type="dxa"/>
        <w:jc w:val="center"/>
        <w:tblInd w:w="0" w:type="dxa"/>
        <w:tblLayout w:type="fixed"/>
        <w:tblCellMar>
          <w:top w:w="40" w:type="dxa"/>
          <w:left w:w="60" w:type="dxa"/>
          <w:bottom w:w="40" w:type="dxa"/>
          <w:right w:w="60" w:type="dxa"/>
        </w:tblCellMar>
      </w:tblPr>
      <w:tblGrid>
        <w:gridCol w:w="4536"/>
        <w:gridCol w:w="2268"/>
        <w:gridCol w:w="2268"/>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Favorise l’apprentissage</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Effectif</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Pourcentage (%)</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Oui, tout à fait</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51</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82,3</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Partiellement</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11</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17,7</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left"/>
              <w:rPr/>
            </w:pPr>
            <w:r>
              <w:rPr>
                <w:rFonts w:eastAsia="Times New Roman" w:cs="Times New Roman"/>
                <w:b/>
                <w:bCs/>
                <w:sz w:val="22"/>
                <w:szCs w:val="22"/>
              </w:rPr>
              <w:t>Total</w:t>
            </w:r>
          </w:p>
        </w:tc>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62</w:t>
            </w:r>
          </w:p>
        </w:tc>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100,0</w:t>
            </w:r>
          </w:p>
        </w:tc>
      </w:tr>
    </w:tbl>
    <w:p>
      <w:pPr>
        <w:pStyle w:val="Normal"/>
        <w:spacing w:lineRule="auto" w:line="240" w:before="60" w:after="240"/>
        <w:jc w:val="left"/>
        <w:rPr/>
      </w:pPr>
      <w:r>
        <w:rPr>
          <w:rFonts w:eastAsia="Times New Roman" w:cs="Times New Roman"/>
          <w:i/>
          <w:iCs/>
          <w:sz w:val="22"/>
          <w:szCs w:val="22"/>
        </w:rPr>
        <w:t>Source : Enquête de terrain auprès des élèves-professeurs d’école, ENFPE de Notsè (2026).</w:t>
      </w:r>
    </w:p>
    <w:p>
      <w:pPr>
        <w:pStyle w:val="Caption"/>
        <w:keepNext w:val="true"/>
        <w:spacing w:lineRule="auto" w:line="240" w:before="200" w:after="100"/>
        <w:jc w:val="center"/>
        <w:rPr/>
      </w:pPr>
      <w:r>
        <w:rPr>
          <w:rFonts w:eastAsia="Times New Roman" w:cs="Times New Roman"/>
          <w:b/>
          <w:bCs/>
          <w:sz w:val="22"/>
          <w:szCs w:val="22"/>
        </w:rPr>
        <w:t xml:space="preserve">Figure </w:t>
      </w:r>
      <w:r>
        <w:rPr>
          <w:rFonts w:cs="Times New Roman"/>
          <w:b/>
          <w:bCs/>
          <w:sz w:val="22"/>
          <w:szCs w:val="22"/>
        </w:rPr>
        <w:fldChar w:fldCharType="begin"/>
      </w:r>
      <w:r>
        <w:rPr>
          <w:sz w:val="22"/>
          <w:b/>
          <w:szCs w:val="22"/>
          <w:bCs/>
          <w:rFonts w:cs="Times New Roman"/>
        </w:rPr>
        <w:instrText xml:space="preserve"> SEQ Figure \* ARABIC </w:instrText>
      </w:r>
      <w:r>
        <w:rPr>
          <w:sz w:val="22"/>
          <w:b/>
          <w:szCs w:val="22"/>
          <w:bCs/>
          <w:rFonts w:cs="Times New Roman"/>
        </w:rPr>
        <w:fldChar w:fldCharType="separate"/>
      </w:r>
      <w:r>
        <w:rPr>
          <w:sz w:val="22"/>
          <w:b/>
          <w:szCs w:val="22"/>
          <w:bCs/>
          <w:rFonts w:cs="Times New Roman"/>
        </w:rPr>
        <w:t>7</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Les techniques utilisées favorisent-elles l’apprentissage de la leçon ? (n = 62)</w:t>
      </w:r>
    </w:p>
    <w:p>
      <w:pPr>
        <w:pStyle w:val="Normal"/>
        <w:keepNext w:val="true"/>
        <w:spacing w:lineRule="auto" w:line="240" w:before="0" w:after="0"/>
        <w:jc w:val="center"/>
        <w:rPr/>
      </w:pPr>
      <w:r>
        <w:rPr/>
        <w:drawing>
          <wp:inline distT="0" distB="0" distL="0" distR="0">
            <wp:extent cx="5400675" cy="150495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0"/>
                    <a:stretch>
                      <a:fillRect/>
                    </a:stretch>
                  </pic:blipFill>
                  <pic:spPr bwMode="auto">
                    <a:xfrm>
                      <a:off x="0" y="0"/>
                      <a:ext cx="5400675" cy="1504950"/>
                    </a:xfrm>
                    <a:prstGeom prst="rect">
                      <a:avLst/>
                    </a:prstGeom>
                  </pic:spPr>
                </pic:pic>
              </a:graphicData>
            </a:graphic>
          </wp:inline>
        </w:drawing>
      </w:r>
    </w:p>
    <w:p>
      <w:pPr>
        <w:pStyle w:val="Normal"/>
        <w:spacing w:lineRule="auto" w:line="240" w:before="60" w:after="240"/>
        <w:jc w:val="left"/>
        <w:rPr/>
      </w:pPr>
      <w:r>
        <w:rPr>
          <w:rFonts w:eastAsia="Times New Roman" w:cs="Times New Roman"/>
          <w:i/>
          <w:iCs/>
          <w:sz w:val="22"/>
          <w:szCs w:val="22"/>
        </w:rPr>
        <w:t>Source : Enquête de terrain auprès des élèves-professeurs d’école, ENFPE de Notsè (2026).</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13</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Influence perçue de l’évaluation sur le comportement civique des apprenants (n = 62)</w:t>
      </w:r>
    </w:p>
    <w:tbl>
      <w:tblPr>
        <w:tblW w:w="9072" w:type="dxa"/>
        <w:jc w:val="center"/>
        <w:tblInd w:w="0" w:type="dxa"/>
        <w:tblLayout w:type="fixed"/>
        <w:tblCellMar>
          <w:top w:w="40" w:type="dxa"/>
          <w:left w:w="60" w:type="dxa"/>
          <w:bottom w:w="40" w:type="dxa"/>
          <w:right w:w="60" w:type="dxa"/>
        </w:tblCellMar>
      </w:tblPr>
      <w:tblGrid>
        <w:gridCol w:w="4536"/>
        <w:gridCol w:w="2268"/>
        <w:gridCol w:w="2268"/>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Influence sur le comportement civique</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Effectif</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Pourcentage (%)</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Positive</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56</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90,3</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Aucun effet</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6</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9,7</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left"/>
              <w:rPr/>
            </w:pPr>
            <w:r>
              <w:rPr>
                <w:rFonts w:eastAsia="Times New Roman" w:cs="Times New Roman"/>
                <w:b/>
                <w:bCs/>
                <w:sz w:val="22"/>
                <w:szCs w:val="22"/>
              </w:rPr>
              <w:t>Total</w:t>
            </w:r>
          </w:p>
        </w:tc>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62</w:t>
            </w:r>
          </w:p>
        </w:tc>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100,0</w:t>
            </w:r>
          </w:p>
        </w:tc>
      </w:tr>
    </w:tbl>
    <w:p>
      <w:pPr>
        <w:pStyle w:val="Normal"/>
        <w:spacing w:lineRule="auto" w:line="240" w:before="60" w:after="240"/>
        <w:jc w:val="left"/>
        <w:rPr/>
      </w:pPr>
      <w:r>
        <w:rPr>
          <w:rFonts w:eastAsia="Times New Roman" w:cs="Times New Roman"/>
          <w:i/>
          <w:iCs/>
          <w:sz w:val="22"/>
          <w:szCs w:val="22"/>
        </w:rPr>
        <w:t>Source : Enquête de terrain auprès des élèves-professeurs d’école, ENFPE de Notsè (2026).</w:t>
      </w:r>
    </w:p>
    <w:p>
      <w:pPr>
        <w:pStyle w:val="Caption"/>
        <w:keepNext w:val="true"/>
        <w:spacing w:lineRule="auto" w:line="240" w:before="200" w:after="100"/>
        <w:jc w:val="center"/>
        <w:rPr/>
      </w:pPr>
      <w:r>
        <w:rPr>
          <w:rFonts w:eastAsia="Times New Roman" w:cs="Times New Roman"/>
          <w:b/>
          <w:bCs/>
          <w:sz w:val="22"/>
          <w:szCs w:val="22"/>
        </w:rPr>
        <w:t xml:space="preserve">Figure </w:t>
      </w:r>
      <w:r>
        <w:rPr>
          <w:rFonts w:cs="Times New Roman"/>
          <w:b/>
          <w:bCs/>
          <w:sz w:val="22"/>
          <w:szCs w:val="22"/>
        </w:rPr>
        <w:fldChar w:fldCharType="begin"/>
      </w:r>
      <w:r>
        <w:rPr>
          <w:sz w:val="22"/>
          <w:b/>
          <w:szCs w:val="22"/>
          <w:bCs/>
          <w:rFonts w:cs="Times New Roman"/>
        </w:rPr>
        <w:instrText xml:space="preserve"> SEQ Figure \* ARABIC </w:instrText>
      </w:r>
      <w:r>
        <w:rPr>
          <w:sz w:val="22"/>
          <w:b/>
          <w:szCs w:val="22"/>
          <w:bCs/>
          <w:rFonts w:cs="Times New Roman"/>
        </w:rPr>
        <w:fldChar w:fldCharType="separate"/>
      </w:r>
      <w:r>
        <w:rPr>
          <w:sz w:val="22"/>
          <w:b/>
          <w:szCs w:val="22"/>
          <w:bCs/>
          <w:rFonts w:cs="Times New Roman"/>
        </w:rPr>
        <w:t>8</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L’évaluation influence-t-elle le comportement civique des apprenants ? (n = 62)</w:t>
      </w:r>
    </w:p>
    <w:p>
      <w:pPr>
        <w:pStyle w:val="Normal"/>
        <w:keepNext w:val="true"/>
        <w:spacing w:lineRule="auto" w:line="240" w:before="0" w:after="0"/>
        <w:jc w:val="center"/>
        <w:rPr/>
      </w:pPr>
      <w:r>
        <w:rPr/>
        <w:drawing>
          <wp:inline distT="0" distB="0" distL="0" distR="0">
            <wp:extent cx="5400675" cy="150495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1"/>
                    <a:stretch>
                      <a:fillRect/>
                    </a:stretch>
                  </pic:blipFill>
                  <pic:spPr bwMode="auto">
                    <a:xfrm>
                      <a:off x="0" y="0"/>
                      <a:ext cx="5400675" cy="1504950"/>
                    </a:xfrm>
                    <a:prstGeom prst="rect">
                      <a:avLst/>
                    </a:prstGeom>
                  </pic:spPr>
                </pic:pic>
              </a:graphicData>
            </a:graphic>
          </wp:inline>
        </w:drawing>
      </w:r>
    </w:p>
    <w:p>
      <w:pPr>
        <w:pStyle w:val="Normal"/>
        <w:spacing w:lineRule="auto" w:line="240" w:before="60" w:after="240"/>
        <w:jc w:val="left"/>
        <w:rPr/>
      </w:pPr>
      <w:r>
        <w:rPr>
          <w:rFonts w:eastAsia="Times New Roman" w:cs="Times New Roman"/>
          <w:i/>
          <w:iCs/>
          <w:sz w:val="22"/>
          <w:szCs w:val="22"/>
        </w:rPr>
        <w:t>Source : Enquête de terrain auprès des élèves-professeurs d’école, ENFPE de Notsè (2026).</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14</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Satisfaction des EPE à l’égard des techniques d’évaluation actuelles (n = 61)</w:t>
      </w:r>
    </w:p>
    <w:tbl>
      <w:tblPr>
        <w:tblW w:w="9072" w:type="dxa"/>
        <w:jc w:val="center"/>
        <w:tblInd w:w="0" w:type="dxa"/>
        <w:tblLayout w:type="fixed"/>
        <w:tblCellMar>
          <w:top w:w="40" w:type="dxa"/>
          <w:left w:w="60" w:type="dxa"/>
          <w:bottom w:w="40" w:type="dxa"/>
          <w:right w:w="60" w:type="dxa"/>
        </w:tblCellMar>
      </w:tblPr>
      <w:tblGrid>
        <w:gridCol w:w="4536"/>
        <w:gridCol w:w="2268"/>
        <w:gridCol w:w="2268"/>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Niveau de satisfaction</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Effectif</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Pourcentage (%)</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Satisfait(e)</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35</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57,4</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Très satisfait(e)</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19</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31,1</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Peu satisfait(e)</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11,5</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left"/>
              <w:rPr/>
            </w:pPr>
            <w:r>
              <w:rPr>
                <w:rFonts w:eastAsia="Times New Roman" w:cs="Times New Roman"/>
                <w:b/>
                <w:bCs/>
                <w:sz w:val="22"/>
                <w:szCs w:val="22"/>
              </w:rPr>
              <w:t>Total</w:t>
            </w:r>
          </w:p>
        </w:tc>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61</w:t>
            </w:r>
          </w:p>
        </w:tc>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100,0</w:t>
            </w:r>
          </w:p>
        </w:tc>
      </w:tr>
    </w:tbl>
    <w:p>
      <w:pPr>
        <w:pStyle w:val="Normal"/>
        <w:spacing w:lineRule="auto" w:line="240" w:before="60" w:after="0"/>
        <w:jc w:val="left"/>
        <w:rPr/>
      </w:pPr>
      <w:r>
        <w:rPr>
          <w:rFonts w:eastAsia="Times New Roman" w:cs="Times New Roman"/>
          <w:sz w:val="20"/>
          <w:szCs w:val="20"/>
        </w:rPr>
        <w:t>Note. Un répondant n’a pas renseigné cet item.</w:t>
      </w:r>
    </w:p>
    <w:p>
      <w:pPr>
        <w:pStyle w:val="Normal"/>
        <w:spacing w:lineRule="auto" w:line="240" w:before="60" w:after="240"/>
        <w:jc w:val="left"/>
        <w:rPr/>
      </w:pPr>
      <w:r>
        <w:rPr>
          <w:rFonts w:eastAsia="Times New Roman" w:cs="Times New Roman"/>
          <w:i/>
          <w:iCs/>
          <w:sz w:val="22"/>
          <w:szCs w:val="22"/>
        </w:rPr>
        <w:t>Source : Enquête de terrain auprès des élèves-professeurs d’école, ENFPE de Notsè (2026).</w:t>
      </w:r>
    </w:p>
    <w:p>
      <w:pPr>
        <w:pStyle w:val="Caption"/>
        <w:keepNext w:val="true"/>
        <w:spacing w:lineRule="auto" w:line="240" w:before="200" w:after="100"/>
        <w:jc w:val="center"/>
        <w:rPr/>
      </w:pPr>
      <w:r>
        <w:rPr>
          <w:rFonts w:eastAsia="Times New Roman" w:cs="Times New Roman"/>
          <w:b/>
          <w:bCs/>
          <w:sz w:val="22"/>
          <w:szCs w:val="22"/>
        </w:rPr>
        <w:t xml:space="preserve">Figure </w:t>
      </w:r>
      <w:r>
        <w:rPr>
          <w:rFonts w:cs="Times New Roman"/>
          <w:b/>
          <w:bCs/>
          <w:sz w:val="22"/>
          <w:szCs w:val="22"/>
        </w:rPr>
        <w:fldChar w:fldCharType="begin"/>
      </w:r>
      <w:r>
        <w:rPr>
          <w:sz w:val="22"/>
          <w:b/>
          <w:szCs w:val="22"/>
          <w:bCs/>
          <w:rFonts w:cs="Times New Roman"/>
        </w:rPr>
        <w:instrText xml:space="preserve"> SEQ Figure \* ARABIC </w:instrText>
      </w:r>
      <w:r>
        <w:rPr>
          <w:sz w:val="22"/>
          <w:b/>
          <w:szCs w:val="22"/>
          <w:bCs/>
          <w:rFonts w:cs="Times New Roman"/>
        </w:rPr>
        <w:fldChar w:fldCharType="separate"/>
      </w:r>
      <w:r>
        <w:rPr>
          <w:sz w:val="22"/>
          <w:b/>
          <w:szCs w:val="22"/>
          <w:bCs/>
          <w:rFonts w:cs="Times New Roman"/>
        </w:rPr>
        <w:t>9</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Satisfaction à l’égard des techniques d’évaluation actuelles (n = 61)</w:t>
      </w:r>
    </w:p>
    <w:p>
      <w:pPr>
        <w:pStyle w:val="Normal"/>
        <w:keepNext w:val="true"/>
        <w:spacing w:lineRule="auto" w:line="240" w:before="0" w:after="0"/>
        <w:jc w:val="center"/>
        <w:rPr/>
      </w:pPr>
      <w:r>
        <w:rPr/>
        <w:drawing>
          <wp:inline distT="0" distB="0" distL="0" distR="0">
            <wp:extent cx="5400675" cy="187642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2"/>
                    <a:stretch>
                      <a:fillRect/>
                    </a:stretch>
                  </pic:blipFill>
                  <pic:spPr bwMode="auto">
                    <a:xfrm>
                      <a:off x="0" y="0"/>
                      <a:ext cx="5400675" cy="1876425"/>
                    </a:xfrm>
                    <a:prstGeom prst="rect">
                      <a:avLst/>
                    </a:prstGeom>
                  </pic:spPr>
                </pic:pic>
              </a:graphicData>
            </a:graphic>
          </wp:inline>
        </w:drawing>
      </w:r>
    </w:p>
    <w:p>
      <w:pPr>
        <w:pStyle w:val="Normal"/>
        <w:spacing w:lineRule="auto" w:line="240" w:before="60" w:after="240"/>
        <w:jc w:val="left"/>
        <w:rPr/>
      </w:pPr>
      <w:r>
        <w:rPr>
          <w:rFonts w:eastAsia="Times New Roman" w:cs="Times New Roman"/>
          <w:i/>
          <w:iCs/>
          <w:sz w:val="22"/>
          <w:szCs w:val="22"/>
        </w:rPr>
        <w:t>Source : Enquête de terrain auprès des élèves-professeurs d’école, ENFPE de Notsè (2026).</w:t>
      </w:r>
    </w:p>
    <w:p>
      <w:pPr>
        <w:pStyle w:val="Normal"/>
        <w:spacing w:lineRule="auto" w:line="360" w:before="0" w:after="120"/>
        <w:ind w:firstLine="709"/>
        <w:jc w:val="both"/>
        <w:rPr/>
      </w:pPr>
      <w:r>
        <w:rPr>
          <w:rFonts w:eastAsia="Times New Roman" w:cs="Times New Roman"/>
        </w:rPr>
        <w:t>L’efficacité perçue des techniques actuelles s’avère globalement positive : 82,3 % des élèves-professeurs estiment qu’elles favorisent « tout à fait » l’apprentissage de la leçon (17,7 % « partiellement ») et 90,3 % considèrent que l’évaluation influence positivement le comportement civique des apprenants. La satisfaction à l’égard des techniques actuelles est également majoritaire : 88,5 % des répondants se déclarent satisfaits ou très satisfaits.</w:t>
      </w:r>
    </w:p>
    <w:p>
      <w:pPr>
        <w:pStyle w:val="Normal"/>
        <w:spacing w:lineRule="auto" w:line="360" w:before="0" w:after="120"/>
        <w:ind w:firstLine="709"/>
        <w:jc w:val="both"/>
        <w:rPr/>
      </w:pPr>
      <w:r>
        <w:rPr>
          <w:rFonts w:eastAsia="Times New Roman" w:cs="Times New Roman"/>
        </w:rPr>
        <w:t>Ces résultats, en apparence très favorables, doivent néanmoins être lus avec prudence. Ils traduisent moins une appréciation objective de l’adéquation des techniques à la mesure de la citoyenneté qu’un jugement porté sur des pratiques familières : près de la moitié des élèves-professeurs n’a connu, au cours de ses stages, aucune alternative aux épreuves écrites. Un biais de familiarité doit donc être gardé à l’esprit.</w:t>
      </w:r>
    </w:p>
    <w:p>
      <w:pPr>
        <w:pStyle w:val="Heading3"/>
        <w:rPr/>
      </w:pPr>
      <w:bookmarkStart w:id="77" w:name="__RefHeading___Toc49600_3411847120"/>
      <w:bookmarkEnd w:id="77"/>
      <w:r>
        <w:rPr>
          <w:rFonts w:eastAsia="Times New Roman" w:cs="Times New Roman" w:ascii="Times New Roman" w:hAnsi="Times New Roman"/>
        </w:rPr>
        <w:t>4.1.5. Contraintes et difficultés rencontrées (OO4)</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15</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Difficultés rencontrées par les EPE dans l’évaluation en éducation sociale 1 (n = 62)</w:t>
      </w:r>
    </w:p>
    <w:tbl>
      <w:tblPr>
        <w:tblW w:w="9072" w:type="dxa"/>
        <w:jc w:val="center"/>
        <w:tblInd w:w="0" w:type="dxa"/>
        <w:tblLayout w:type="fixed"/>
        <w:tblCellMar>
          <w:top w:w="40" w:type="dxa"/>
          <w:left w:w="60" w:type="dxa"/>
          <w:bottom w:w="40" w:type="dxa"/>
          <w:right w:w="60" w:type="dxa"/>
        </w:tblCellMar>
      </w:tblPr>
      <w:tblGrid>
        <w:gridCol w:w="4536"/>
        <w:gridCol w:w="2268"/>
        <w:gridCol w:w="2268"/>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Difficultés rencontrées</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Effectif</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Pourcentage (%)</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Oui</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54</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87,1</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Non</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8</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12,9</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left"/>
              <w:rPr/>
            </w:pPr>
            <w:r>
              <w:rPr>
                <w:rFonts w:eastAsia="Times New Roman" w:cs="Times New Roman"/>
                <w:b/>
                <w:bCs/>
                <w:sz w:val="22"/>
                <w:szCs w:val="22"/>
              </w:rPr>
              <w:t>Total</w:t>
            </w:r>
          </w:p>
        </w:tc>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62</w:t>
            </w:r>
          </w:p>
        </w:tc>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100,0</w:t>
            </w:r>
          </w:p>
        </w:tc>
      </w:tr>
    </w:tbl>
    <w:p>
      <w:pPr>
        <w:pStyle w:val="Normal"/>
        <w:spacing w:lineRule="auto" w:line="240" w:before="60" w:after="240"/>
        <w:jc w:val="left"/>
        <w:rPr/>
      </w:pPr>
      <w:r>
        <w:rPr>
          <w:rFonts w:eastAsia="Times New Roman" w:cs="Times New Roman"/>
          <w:i/>
          <w:iCs/>
          <w:sz w:val="22"/>
          <w:szCs w:val="22"/>
        </w:rPr>
        <w:t>Source : Enquête de terrain auprès des élèves-professeurs d’école, ENFPE de Notsè (2026).</w:t>
      </w:r>
    </w:p>
    <w:p>
      <w:pPr>
        <w:pStyle w:val="Caption"/>
        <w:keepNext w:val="true"/>
        <w:spacing w:lineRule="auto" w:line="240" w:before="200" w:after="100"/>
        <w:jc w:val="center"/>
        <w:rPr/>
      </w:pPr>
      <w:r>
        <w:rPr>
          <w:rFonts w:eastAsia="Times New Roman" w:cs="Times New Roman"/>
          <w:b/>
          <w:bCs/>
          <w:sz w:val="22"/>
          <w:szCs w:val="22"/>
        </w:rPr>
        <w:t xml:space="preserve">Figure </w:t>
      </w:r>
      <w:r>
        <w:rPr>
          <w:rFonts w:cs="Times New Roman"/>
          <w:b/>
          <w:bCs/>
          <w:sz w:val="22"/>
          <w:szCs w:val="22"/>
        </w:rPr>
        <w:fldChar w:fldCharType="begin"/>
      </w:r>
      <w:r>
        <w:rPr>
          <w:sz w:val="22"/>
          <w:b/>
          <w:szCs w:val="22"/>
          <w:bCs/>
          <w:rFonts w:cs="Times New Roman"/>
        </w:rPr>
        <w:instrText xml:space="preserve"> SEQ Figure \* ARABIC </w:instrText>
      </w:r>
      <w:r>
        <w:rPr>
          <w:sz w:val="22"/>
          <w:b/>
          <w:szCs w:val="22"/>
          <w:bCs/>
          <w:rFonts w:cs="Times New Roman"/>
        </w:rPr>
        <w:fldChar w:fldCharType="separate"/>
      </w:r>
      <w:r>
        <w:rPr>
          <w:sz w:val="22"/>
          <w:b/>
          <w:szCs w:val="22"/>
          <w:bCs/>
          <w:rFonts w:cs="Times New Roman"/>
        </w:rPr>
        <w:t>10</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Difficultés rencontrées dans l’évaluation en éducation sociale 1 (n = 62)</w:t>
      </w:r>
    </w:p>
    <w:p>
      <w:pPr>
        <w:pStyle w:val="Normal"/>
        <w:keepNext w:val="true"/>
        <w:spacing w:lineRule="auto" w:line="240" w:before="0" w:after="0"/>
        <w:jc w:val="center"/>
        <w:rPr/>
      </w:pPr>
      <w:r>
        <w:rPr/>
        <w:drawing>
          <wp:inline distT="0" distB="0" distL="0" distR="0">
            <wp:extent cx="5400675" cy="150495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3"/>
                    <a:stretch>
                      <a:fillRect/>
                    </a:stretch>
                  </pic:blipFill>
                  <pic:spPr bwMode="auto">
                    <a:xfrm>
                      <a:off x="0" y="0"/>
                      <a:ext cx="5400675" cy="1504950"/>
                    </a:xfrm>
                    <a:prstGeom prst="rect">
                      <a:avLst/>
                    </a:prstGeom>
                  </pic:spPr>
                </pic:pic>
              </a:graphicData>
            </a:graphic>
          </wp:inline>
        </w:drawing>
      </w:r>
    </w:p>
    <w:p>
      <w:pPr>
        <w:pStyle w:val="Normal"/>
        <w:spacing w:lineRule="auto" w:line="240" w:before="60" w:after="240"/>
        <w:jc w:val="left"/>
        <w:rPr/>
      </w:pPr>
      <w:r>
        <w:rPr>
          <w:rFonts w:eastAsia="Times New Roman" w:cs="Times New Roman"/>
          <w:i/>
          <w:iCs/>
          <w:sz w:val="22"/>
          <w:szCs w:val="22"/>
        </w:rPr>
        <w:t>Source : Enquête de terrain auprès des élèves-professeurs d’école, ENFPE de Notsè (2026).</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16</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Nature des difficultés rencontrées par les EPE (réponses multiples, n = 54)</w:t>
      </w:r>
    </w:p>
    <w:tbl>
      <w:tblPr>
        <w:tblW w:w="9072" w:type="dxa"/>
        <w:jc w:val="center"/>
        <w:tblInd w:w="0" w:type="dxa"/>
        <w:tblLayout w:type="fixed"/>
        <w:tblCellMar>
          <w:top w:w="40" w:type="dxa"/>
          <w:left w:w="60" w:type="dxa"/>
          <w:bottom w:w="40" w:type="dxa"/>
          <w:right w:w="60" w:type="dxa"/>
        </w:tblCellMar>
      </w:tblPr>
      <w:tblGrid>
        <w:gridCol w:w="4536"/>
        <w:gridCol w:w="2268"/>
        <w:gridCol w:w="2268"/>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Nature de la difficulté</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Effectif (citations)</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 des répondants</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Insuffisance de temps</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36</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66,7</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Manque d’outils adaptés</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31</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57,4</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Effectifs élevés</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23</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42,6</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Autres</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8</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14,8</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Manque de formation</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5</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9,3</w:t>
            </w:r>
          </w:p>
        </w:tc>
      </w:tr>
    </w:tbl>
    <w:p>
      <w:pPr>
        <w:pStyle w:val="Normal"/>
        <w:spacing w:lineRule="auto" w:line="240" w:before="60" w:after="0"/>
        <w:jc w:val="left"/>
        <w:rPr/>
      </w:pPr>
      <w:r>
        <w:rPr>
          <w:rFonts w:eastAsia="Times New Roman" w:cs="Times New Roman"/>
          <w:sz w:val="20"/>
          <w:szCs w:val="20"/>
        </w:rPr>
        <w:t>Note. Question posée aux seuls EPE ayant déclaré des difficultés ; réponses multiples.</w:t>
      </w:r>
    </w:p>
    <w:p>
      <w:pPr>
        <w:pStyle w:val="Normal"/>
        <w:spacing w:lineRule="auto" w:line="240" w:before="60" w:after="240"/>
        <w:jc w:val="left"/>
        <w:rPr/>
      </w:pPr>
      <w:r>
        <w:rPr>
          <w:rFonts w:eastAsia="Times New Roman" w:cs="Times New Roman"/>
          <w:i/>
          <w:iCs/>
          <w:sz w:val="22"/>
          <w:szCs w:val="22"/>
        </w:rPr>
        <w:t>Source : Enquête de terrain auprès des élèves-professeurs d’école, ENFPE de Notsè (2026).</w:t>
      </w:r>
    </w:p>
    <w:p>
      <w:pPr>
        <w:pStyle w:val="Caption"/>
        <w:keepNext w:val="true"/>
        <w:spacing w:lineRule="auto" w:line="240" w:before="200" w:after="100"/>
        <w:jc w:val="center"/>
        <w:rPr/>
      </w:pPr>
      <w:r>
        <w:rPr>
          <w:rFonts w:eastAsia="Times New Roman" w:cs="Times New Roman"/>
          <w:b/>
          <w:bCs/>
          <w:sz w:val="22"/>
          <w:szCs w:val="22"/>
        </w:rPr>
        <w:t xml:space="preserve">Figure </w:t>
      </w:r>
      <w:r>
        <w:rPr>
          <w:rFonts w:cs="Times New Roman"/>
          <w:b/>
          <w:bCs/>
          <w:sz w:val="22"/>
          <w:szCs w:val="22"/>
        </w:rPr>
        <w:fldChar w:fldCharType="begin"/>
      </w:r>
      <w:r>
        <w:rPr>
          <w:sz w:val="22"/>
          <w:b/>
          <w:szCs w:val="22"/>
          <w:bCs/>
          <w:rFonts w:cs="Times New Roman"/>
        </w:rPr>
        <w:instrText xml:space="preserve"> SEQ Figure \* ARABIC </w:instrText>
      </w:r>
      <w:r>
        <w:rPr>
          <w:sz w:val="22"/>
          <w:b/>
          <w:szCs w:val="22"/>
          <w:bCs/>
          <w:rFonts w:cs="Times New Roman"/>
        </w:rPr>
        <w:fldChar w:fldCharType="separate"/>
      </w:r>
      <w:r>
        <w:rPr>
          <w:sz w:val="22"/>
          <w:b/>
          <w:szCs w:val="22"/>
          <w:bCs/>
          <w:rFonts w:cs="Times New Roman"/>
        </w:rPr>
        <w:t>11</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Nature des difficultés rencontrées dans l’évaluation en éducation sociale 1 (réponses multiples, n = 54)</w:t>
      </w:r>
    </w:p>
    <w:p>
      <w:pPr>
        <w:pStyle w:val="Normal"/>
        <w:keepNext w:val="true"/>
        <w:spacing w:lineRule="auto" w:line="240" w:before="0" w:after="0"/>
        <w:jc w:val="center"/>
        <w:rPr/>
      </w:pPr>
      <w:r>
        <w:rPr/>
        <w:drawing>
          <wp:inline distT="0" distB="0" distL="0" distR="0">
            <wp:extent cx="5400675" cy="260985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4"/>
                    <a:stretch>
                      <a:fillRect/>
                    </a:stretch>
                  </pic:blipFill>
                  <pic:spPr bwMode="auto">
                    <a:xfrm>
                      <a:off x="0" y="0"/>
                      <a:ext cx="5400675" cy="2609850"/>
                    </a:xfrm>
                    <a:prstGeom prst="rect">
                      <a:avLst/>
                    </a:prstGeom>
                  </pic:spPr>
                </pic:pic>
              </a:graphicData>
            </a:graphic>
          </wp:inline>
        </w:drawing>
      </w:r>
    </w:p>
    <w:p>
      <w:pPr>
        <w:pStyle w:val="Normal"/>
        <w:spacing w:lineRule="auto" w:line="240" w:before="60" w:after="240"/>
        <w:jc w:val="left"/>
        <w:rPr/>
      </w:pPr>
      <w:r>
        <w:rPr>
          <w:rFonts w:eastAsia="Times New Roman" w:cs="Times New Roman"/>
          <w:i/>
          <w:iCs/>
          <w:sz w:val="22"/>
          <w:szCs w:val="22"/>
        </w:rPr>
        <w:t>Source : Enquête de terrain auprès des élèves-professeurs d’école, ENFPE de Notsè (2026).</w:t>
      </w:r>
    </w:p>
    <w:p>
      <w:pPr>
        <w:pStyle w:val="Normal"/>
        <w:spacing w:lineRule="auto" w:line="360" w:before="0" w:after="120"/>
        <w:ind w:firstLine="709"/>
        <w:jc w:val="both"/>
        <w:rPr/>
      </w:pPr>
      <w:r>
        <w:rPr>
          <w:rFonts w:eastAsia="Times New Roman" w:cs="Times New Roman"/>
        </w:rPr>
        <w:t>Une très large majorité des élèves-professeurs (87,1 %) déclare avoir rencontré des difficultés dans l’évaluation en éducation sociale 1 au cours de ses stages. Parmi ces 54 répondants, l’insuffisance de temps arrive en tête (66,7 %), suivie du manque d’outils adaptés (57,4 %) et des effectifs élevés (42,6 %). Ce triptyque — temps, outils, effectifs — dessine un ensemble de contraintes structurelles qui éclaire directement la place minoritaire des techniques les plus exigeantes en temps et en individualisation, telles que l’observation des comportements ou l’étude de cas, au profit de techniques écrites, standardisées et aisément applicables à de grands groupes. Le croisement avec la satisfaction déclarée conforte cette lecture (tableau 17).</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17</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Satisfaction à l’égard des techniques selon les difficultés rencontrées (% en ligne, n = 61)</w:t>
      </w:r>
    </w:p>
    <w:tbl>
      <w:tblPr>
        <w:tblW w:w="9074" w:type="dxa"/>
        <w:jc w:val="center"/>
        <w:tblInd w:w="0" w:type="dxa"/>
        <w:tblLayout w:type="fixed"/>
        <w:tblCellMar>
          <w:top w:w="40" w:type="dxa"/>
          <w:left w:w="60" w:type="dxa"/>
          <w:bottom w:w="40" w:type="dxa"/>
          <w:right w:w="60" w:type="dxa"/>
        </w:tblCellMar>
      </w:tblPr>
      <w:tblGrid>
        <w:gridCol w:w="3118"/>
        <w:gridCol w:w="1986"/>
        <w:gridCol w:w="1984"/>
        <w:gridCol w:w="1985"/>
      </w:tblGrid>
      <w:tr>
        <w:trPr>
          <w:tblHeader w:val="true"/>
          <w:cantSplit w:val="true"/>
        </w:trPr>
        <w:tc>
          <w:tcPr>
            <w:tcW w:w="311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Difficultés rencontrées</w:t>
            </w:r>
          </w:p>
        </w:tc>
        <w:tc>
          <w:tcPr>
            <w:tcW w:w="198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Peu satisfait(e)</w:t>
            </w:r>
          </w:p>
        </w:tc>
        <w:tc>
          <w:tcPr>
            <w:tcW w:w="198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Satisfait(e)</w:t>
            </w:r>
          </w:p>
        </w:tc>
        <w:tc>
          <w:tcPr>
            <w:tcW w:w="198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Très satisfait(e)</w:t>
            </w:r>
          </w:p>
        </w:tc>
      </w:tr>
      <w:tr>
        <w:trPr>
          <w:cantSplit w:val="true"/>
        </w:trPr>
        <w:tc>
          <w:tcPr>
            <w:tcW w:w="31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Non</w:t>
            </w:r>
          </w:p>
        </w:tc>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0,0</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71,4</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28,6</w:t>
            </w:r>
          </w:p>
        </w:tc>
      </w:tr>
      <w:tr>
        <w:trPr>
          <w:cantSplit w:val="true"/>
        </w:trPr>
        <w:tc>
          <w:tcPr>
            <w:tcW w:w="31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Oui</w:t>
            </w:r>
          </w:p>
        </w:tc>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13,0</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55,6</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31,5</w:t>
            </w:r>
          </w:p>
        </w:tc>
      </w:tr>
    </w:tbl>
    <w:p>
      <w:pPr>
        <w:pStyle w:val="Normal"/>
        <w:spacing w:lineRule="auto" w:line="240" w:before="60" w:after="240"/>
        <w:jc w:val="left"/>
        <w:rPr/>
      </w:pPr>
      <w:r>
        <w:rPr>
          <w:rFonts w:eastAsia="Times New Roman" w:cs="Times New Roman"/>
          <w:i/>
          <w:iCs/>
          <w:sz w:val="22"/>
          <w:szCs w:val="22"/>
        </w:rPr>
        <w:t>Source : Enquête de terrain auprès des élèves-professeurs d’école, ENFPE de Notsè (2026).</w:t>
      </w:r>
    </w:p>
    <w:p>
      <w:pPr>
        <w:pStyle w:val="Normal"/>
        <w:spacing w:lineRule="auto" w:line="360" w:before="0" w:after="120"/>
        <w:ind w:firstLine="709"/>
        <w:jc w:val="both"/>
        <w:rPr/>
      </w:pPr>
      <w:r>
        <w:rPr>
          <w:rFonts w:eastAsia="Times New Roman" w:cs="Times New Roman"/>
        </w:rPr>
        <w:t>Les élèves-professeurs n’ayant rencontré aucune difficulté ne font état d’aucune insatisfaction (0,0 % de « peu satisfait(e) »), contre 13,0 % chez ceux qui en ont rencontré. Bien que modeste, cet écart va dans un sens cohérent : les contraintes matérielles et organisationnelles, plutôt que la nature même des techniques, apparaissent comme le principal facteur d’érosion de la satisfaction, ce qui rejoint l’hypothèse H3 relative aux limites des dispositifs d’évaluation.</w:t>
      </w:r>
    </w:p>
    <w:p>
      <w:pPr>
        <w:pStyle w:val="Heading3"/>
        <w:rPr/>
      </w:pPr>
      <w:bookmarkStart w:id="78" w:name="__RefHeading___Toc49602_3411847120"/>
      <w:bookmarkEnd w:id="78"/>
      <w:r>
        <w:rPr>
          <w:rFonts w:eastAsia="Times New Roman" w:cs="Times New Roman" w:ascii="Times New Roman" w:hAnsi="Times New Roman"/>
        </w:rPr>
        <w:t>4.1.6. Pistes d’amélioration suggérées par les EPE (OO5)</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18</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Thèmes des suggestions d’amélioration formulées par les EPE (analyse de contenu, n = 62)</w:t>
      </w:r>
    </w:p>
    <w:tbl>
      <w:tblPr>
        <w:tblW w:w="9072" w:type="dxa"/>
        <w:jc w:val="center"/>
        <w:tblInd w:w="0" w:type="dxa"/>
        <w:tblLayout w:type="fixed"/>
        <w:tblCellMar>
          <w:top w:w="40" w:type="dxa"/>
          <w:left w:w="60" w:type="dxa"/>
          <w:bottom w:w="40" w:type="dxa"/>
          <w:right w:w="60" w:type="dxa"/>
        </w:tblCellMar>
      </w:tblPr>
      <w:tblGrid>
        <w:gridCol w:w="4536"/>
        <w:gridCol w:w="2268"/>
        <w:gridCol w:w="2268"/>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Thème de la suggestion</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Effectif (citations)</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 des répondants</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Gestion du temps et des effectifs de classe</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15</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24,2</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Évaluation en situation réelle (pratique, observation du comportement)</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14</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22,6</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Autres</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13</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21,0</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Disponibilité du matériel, des documents et des outils</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12</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19,4</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Participation active des élèves</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5</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8,1</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Diversification et combinaison des techniques (oral, écrit, jeux de rôle, débats, études de cas)</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5</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8,1</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Renforcement de la formation et de l’accompagnement pédagogique</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4</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6,5</w:t>
            </w:r>
          </w:p>
        </w:tc>
      </w:tr>
    </w:tbl>
    <w:p>
      <w:pPr>
        <w:pStyle w:val="Normal"/>
        <w:spacing w:lineRule="auto" w:line="240" w:before="60" w:after="240"/>
        <w:jc w:val="left"/>
        <w:rPr/>
      </w:pPr>
      <w:r>
        <w:rPr>
          <w:rFonts w:eastAsia="Times New Roman" w:cs="Times New Roman"/>
          <w:i/>
          <w:iCs/>
          <w:sz w:val="22"/>
          <w:szCs w:val="22"/>
        </w:rPr>
        <w:t>Source : Enquête de terrain auprès des élèves-professeurs d’école, ENFPE de Notsè (2026).</w:t>
      </w:r>
    </w:p>
    <w:p>
      <w:pPr>
        <w:pStyle w:val="Caption"/>
        <w:keepNext w:val="true"/>
        <w:spacing w:lineRule="auto" w:line="240" w:before="200" w:after="100"/>
        <w:jc w:val="center"/>
        <w:rPr/>
      </w:pPr>
      <w:r>
        <w:rPr>
          <w:rFonts w:eastAsia="Times New Roman" w:cs="Times New Roman"/>
          <w:b/>
          <w:bCs/>
          <w:sz w:val="22"/>
          <w:szCs w:val="22"/>
        </w:rPr>
        <w:t xml:space="preserve">Figure </w:t>
      </w:r>
      <w:r>
        <w:rPr>
          <w:rFonts w:cs="Times New Roman"/>
          <w:b/>
          <w:bCs/>
          <w:sz w:val="22"/>
          <w:szCs w:val="22"/>
        </w:rPr>
        <w:fldChar w:fldCharType="begin"/>
      </w:r>
      <w:r>
        <w:rPr>
          <w:sz w:val="22"/>
          <w:b/>
          <w:szCs w:val="22"/>
          <w:bCs/>
          <w:rFonts w:cs="Times New Roman"/>
        </w:rPr>
        <w:instrText xml:space="preserve"> SEQ Figure \* ARABIC </w:instrText>
      </w:r>
      <w:r>
        <w:rPr>
          <w:sz w:val="22"/>
          <w:b/>
          <w:szCs w:val="22"/>
          <w:bCs/>
          <w:rFonts w:cs="Times New Roman"/>
        </w:rPr>
        <w:fldChar w:fldCharType="separate"/>
      </w:r>
      <w:r>
        <w:rPr>
          <w:sz w:val="22"/>
          <w:b/>
          <w:szCs w:val="22"/>
          <w:bCs/>
          <w:rFonts w:cs="Times New Roman"/>
        </w:rPr>
        <w:t>12</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Thèmes des suggestions d’amélioration formulées par les EPE (analyse de contenu, n = 62)</w:t>
      </w:r>
    </w:p>
    <w:p>
      <w:pPr>
        <w:pStyle w:val="Normal"/>
        <w:keepNext w:val="true"/>
        <w:spacing w:lineRule="auto" w:line="240" w:before="0" w:after="0"/>
        <w:jc w:val="center"/>
        <w:rPr/>
      </w:pPr>
      <w:r>
        <w:rPr/>
        <w:drawing>
          <wp:inline distT="0" distB="0" distL="0" distR="0">
            <wp:extent cx="5400675" cy="333375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5"/>
                    <a:stretch>
                      <a:fillRect/>
                    </a:stretch>
                  </pic:blipFill>
                  <pic:spPr bwMode="auto">
                    <a:xfrm>
                      <a:off x="0" y="0"/>
                      <a:ext cx="5400675" cy="3333750"/>
                    </a:xfrm>
                    <a:prstGeom prst="rect">
                      <a:avLst/>
                    </a:prstGeom>
                  </pic:spPr>
                </pic:pic>
              </a:graphicData>
            </a:graphic>
          </wp:inline>
        </w:drawing>
      </w:r>
    </w:p>
    <w:p>
      <w:pPr>
        <w:pStyle w:val="Normal"/>
        <w:spacing w:lineRule="auto" w:line="240" w:before="60" w:after="240"/>
        <w:jc w:val="left"/>
        <w:rPr/>
      </w:pPr>
      <w:r>
        <w:rPr>
          <w:rFonts w:eastAsia="Times New Roman" w:cs="Times New Roman"/>
          <w:i/>
          <w:iCs/>
          <w:sz w:val="22"/>
          <w:szCs w:val="22"/>
        </w:rPr>
        <w:t>Source : Enquête de terrain auprès des élèves-professeurs d’école, ENFPE de Notsè (2026).</w:t>
      </w:r>
    </w:p>
    <w:p>
      <w:pPr>
        <w:pStyle w:val="Normal"/>
        <w:spacing w:lineRule="auto" w:line="360" w:before="0" w:after="120"/>
        <w:ind w:firstLine="709"/>
        <w:jc w:val="both"/>
        <w:rPr/>
      </w:pPr>
      <w:r>
        <w:rPr>
          <w:rFonts w:eastAsia="Times New Roman" w:cs="Times New Roman"/>
        </w:rPr>
        <w:t>L’analyse de contenu des suggestions ouvertes fait ressortir trois leviers principaux, cohérents avec les difficultés rapportées : la gestion du temps et des effectifs (24,2 %), le renforcement de l’évaluation en situation réelle, par la pratique et l’observation des comportements (22,6 %), et la disponibilité du matériel, des documents et des outils d’évaluation (19,4 %). Plusieurs suggestions rejoignent très directement la problématique de cette recherche, à l’image de ces témoignages : « Je propose de rendre l’évaluation de l’Éducation sociale 1 plus pratique, en observant les comportements des élèves dans les situations réelles et en utilisant davantage d’activités de groupe » (répondant n° 60) ; « L’évaluation en ECM doit se faire en situation afin de voir si l’enfant met véritablement en pratique ce qu’il apprend » (répondant n° 56). Émanant des premiers concernés, ces propositions confirment que le déficit d’évaluation comportementale mis en évidence n’est pas une simple construction théorique, mais une insuffisance perçue par les élèves-professeurs eux-mêmes.</w:t>
      </w:r>
    </w:p>
    <w:p>
      <w:pPr>
        <w:pStyle w:val="Heading2"/>
        <w:rPr/>
      </w:pPr>
      <w:bookmarkStart w:id="79" w:name="__RefHeading___Toc49464_3411847120"/>
      <w:bookmarkEnd w:id="79"/>
      <w:r>
        <w:rPr>
          <w:rFonts w:eastAsia="Times New Roman" w:cs="Times New Roman" w:ascii="Times New Roman" w:hAnsi="Times New Roman"/>
        </w:rPr>
        <w:t>4.2. Résultats de l’enquête auprès des formateurs d’ECM</w:t>
      </w:r>
    </w:p>
    <w:p>
      <w:pPr>
        <w:pStyle w:val="Normal"/>
        <w:spacing w:lineRule="auto" w:line="360" w:before="0" w:after="120"/>
        <w:ind w:firstLine="709"/>
        <w:jc w:val="both"/>
        <w:rPr/>
      </w:pPr>
      <w:r>
        <w:rPr>
          <w:rFonts w:eastAsia="Times New Roman" w:cs="Times New Roman"/>
        </w:rPr>
        <w:t>L’enquête conduite auprès des formateurs en sciences humaines de l’ENFPE de Notsè n’a recueilli que quatre réponses, émanant de formateurs comptant tous plus de dix ans d’ancienneté dans l’enseignement ou la formation. Un effectif aussi restreint n’autorise ni test statistique ni généralisation ; la remarquable convergence des réponses sur l’essentiel des items confère néanmoins à ces résultats une valeur indicative qu’il paraît utile de rapporter, en écho à ceux obtenus auprès des élèves-professeurs.</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19</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Techniques d’évaluation utilisées par les formateurs en ECM (réponses multiples, n = 4)</w:t>
      </w:r>
    </w:p>
    <w:tbl>
      <w:tblPr>
        <w:tblW w:w="9072" w:type="dxa"/>
        <w:jc w:val="center"/>
        <w:tblInd w:w="0" w:type="dxa"/>
        <w:tblLayout w:type="fixed"/>
        <w:tblCellMar>
          <w:top w:w="40" w:type="dxa"/>
          <w:left w:w="60" w:type="dxa"/>
          <w:bottom w:w="40" w:type="dxa"/>
          <w:right w:w="60" w:type="dxa"/>
        </w:tblCellMar>
      </w:tblPr>
      <w:tblGrid>
        <w:gridCol w:w="4536"/>
        <w:gridCol w:w="2268"/>
        <w:gridCol w:w="2268"/>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Technique d’évaluation</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Effectif (citations)</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 des répondants</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Questions écrites</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4</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100,0</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Travaux de groupe</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4</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100,0</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Questions orales</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75,0</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Études de cas</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50,0</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Jeux de rôle</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50,0</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Observation des comportements</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50,0</w:t>
            </w:r>
          </w:p>
        </w:tc>
      </w:tr>
    </w:tbl>
    <w:p>
      <w:pPr>
        <w:pStyle w:val="Normal"/>
        <w:spacing w:lineRule="auto" w:line="240" w:before="60" w:after="240"/>
        <w:jc w:val="left"/>
        <w:rPr/>
      </w:pPr>
      <w:r>
        <w:rPr>
          <w:rFonts w:eastAsia="Times New Roman" w:cs="Times New Roman"/>
          <w:i/>
          <w:iCs/>
          <w:sz w:val="22"/>
          <w:szCs w:val="22"/>
        </w:rPr>
        <w:t>Source : Enquête de terrain auprès des formateurs en sciences humaines, ENFPE de Notsè (2026).</w:t>
      </w:r>
    </w:p>
    <w:p>
      <w:pPr>
        <w:pStyle w:val="Caption"/>
        <w:keepNext w:val="true"/>
        <w:spacing w:lineRule="auto" w:line="240" w:before="200" w:after="100"/>
        <w:jc w:val="center"/>
        <w:rPr/>
      </w:pPr>
      <w:r>
        <w:rPr>
          <w:rFonts w:eastAsia="Times New Roman" w:cs="Times New Roman"/>
          <w:b/>
          <w:bCs/>
          <w:sz w:val="22"/>
          <w:szCs w:val="22"/>
        </w:rPr>
        <w:t xml:space="preserve">Figure </w:t>
      </w:r>
      <w:r>
        <w:rPr>
          <w:rFonts w:cs="Times New Roman"/>
          <w:b/>
          <w:bCs/>
          <w:sz w:val="22"/>
          <w:szCs w:val="22"/>
        </w:rPr>
        <w:fldChar w:fldCharType="begin"/>
      </w:r>
      <w:r>
        <w:rPr>
          <w:sz w:val="22"/>
          <w:b/>
          <w:szCs w:val="22"/>
          <w:bCs/>
          <w:rFonts w:cs="Times New Roman"/>
        </w:rPr>
        <w:instrText xml:space="preserve"> SEQ Figure \* ARABIC </w:instrText>
      </w:r>
      <w:r>
        <w:rPr>
          <w:sz w:val="22"/>
          <w:b/>
          <w:szCs w:val="22"/>
          <w:bCs/>
          <w:rFonts w:cs="Times New Roman"/>
        </w:rPr>
        <w:fldChar w:fldCharType="separate"/>
      </w:r>
      <w:r>
        <w:rPr>
          <w:sz w:val="22"/>
          <w:b/>
          <w:szCs w:val="22"/>
          <w:bCs/>
          <w:rFonts w:cs="Times New Roman"/>
        </w:rPr>
        <w:t>13</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Techniques d’évaluation utilisées par les formateurs en ECM (réponses multiples, n = 4)</w:t>
      </w:r>
    </w:p>
    <w:p>
      <w:pPr>
        <w:pStyle w:val="Normal"/>
        <w:keepNext w:val="true"/>
        <w:spacing w:lineRule="auto" w:line="240" w:before="0" w:after="0"/>
        <w:jc w:val="center"/>
        <w:rPr/>
      </w:pPr>
      <w:r>
        <w:rPr/>
        <w:drawing>
          <wp:inline distT="0" distB="0" distL="0" distR="0">
            <wp:extent cx="5400675" cy="297180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6"/>
                    <a:stretch>
                      <a:fillRect/>
                    </a:stretch>
                  </pic:blipFill>
                  <pic:spPr bwMode="auto">
                    <a:xfrm>
                      <a:off x="0" y="0"/>
                      <a:ext cx="5400675" cy="2971800"/>
                    </a:xfrm>
                    <a:prstGeom prst="rect">
                      <a:avLst/>
                    </a:prstGeom>
                  </pic:spPr>
                </pic:pic>
              </a:graphicData>
            </a:graphic>
          </wp:inline>
        </w:drawing>
      </w:r>
    </w:p>
    <w:p>
      <w:pPr>
        <w:pStyle w:val="Normal"/>
        <w:spacing w:lineRule="auto" w:line="240" w:before="60" w:after="240"/>
        <w:jc w:val="left"/>
        <w:rPr/>
      </w:pPr>
      <w:r>
        <w:rPr>
          <w:rFonts w:eastAsia="Times New Roman" w:cs="Times New Roman"/>
          <w:i/>
          <w:iCs/>
          <w:sz w:val="22"/>
          <w:szCs w:val="22"/>
        </w:rPr>
        <w:t>Source : Enquête de terrain auprès des formateurs en sciences humaines, ENFPE de Notsè (2026).</w:t>
      </w:r>
    </w:p>
    <w:p>
      <w:pPr>
        <w:pStyle w:val="Normal"/>
        <w:spacing w:lineRule="auto" w:line="360" w:before="0" w:after="120"/>
        <w:ind w:firstLine="709"/>
        <w:jc w:val="both"/>
        <w:rPr/>
      </w:pPr>
      <w:r>
        <w:rPr>
          <w:rFonts w:eastAsia="Times New Roman" w:cs="Times New Roman"/>
        </w:rPr>
        <w:t>Les quatre formateurs déclarent tous recourir aux questions écrites et aux travaux de groupe (100 %) ; trois utilisent les questions orales (75 %), et deux seulement (50 %) l’observation des comportements, au même titre que les études de cas et les jeux de rôle. Obtenu cette fois auprès des concepteurs mêmes de l’évaluation, ce résultat corrobore le constat établi chez les élèves-professeurs : l’observation comportementale reste une pratique minoritaire, mise en œuvre par la moitié seulement des formateurs.</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20</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Capacité perçue par les formateurs de leurs techniques à évaluer les compétences civiques et morales (n = 4)</w:t>
      </w:r>
    </w:p>
    <w:tbl>
      <w:tblPr>
        <w:tblW w:w="9072" w:type="dxa"/>
        <w:jc w:val="center"/>
        <w:tblInd w:w="0" w:type="dxa"/>
        <w:tblLayout w:type="fixed"/>
        <w:tblCellMar>
          <w:top w:w="40" w:type="dxa"/>
          <w:left w:w="60" w:type="dxa"/>
          <w:bottom w:w="40" w:type="dxa"/>
          <w:right w:w="60" w:type="dxa"/>
        </w:tblCellMar>
      </w:tblPr>
      <w:tblGrid>
        <w:gridCol w:w="4536"/>
        <w:gridCol w:w="2268"/>
        <w:gridCol w:w="2268"/>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Niveau d’accord</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Effectif</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Pourcentage (%)</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Partiellement</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75,0</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Tout à fait</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25,0</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left"/>
              <w:rPr/>
            </w:pPr>
            <w:r>
              <w:rPr>
                <w:rFonts w:eastAsia="Times New Roman" w:cs="Times New Roman"/>
                <w:b/>
                <w:bCs/>
                <w:sz w:val="22"/>
                <w:szCs w:val="22"/>
              </w:rPr>
              <w:t>Total</w:t>
            </w:r>
          </w:p>
        </w:tc>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4</w:t>
            </w:r>
          </w:p>
        </w:tc>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100,0</w:t>
            </w:r>
          </w:p>
        </w:tc>
      </w:tr>
    </w:tbl>
    <w:p>
      <w:pPr>
        <w:pStyle w:val="Normal"/>
        <w:spacing w:lineRule="auto" w:line="240" w:before="60" w:after="240"/>
        <w:jc w:val="left"/>
        <w:rPr/>
      </w:pPr>
      <w:r>
        <w:rPr>
          <w:rFonts w:eastAsia="Times New Roman" w:cs="Times New Roman"/>
          <w:i/>
          <w:iCs/>
          <w:sz w:val="22"/>
          <w:szCs w:val="22"/>
        </w:rPr>
        <w:t>Source : Enquête de terrain auprès des formateurs en sciences humaines, ENFPE de Notsè (2026).</w:t>
      </w:r>
    </w:p>
    <w:p>
      <w:pPr>
        <w:pStyle w:val="Normal"/>
        <w:spacing w:lineRule="auto" w:line="360" w:before="0" w:after="120"/>
        <w:ind w:firstLine="709"/>
        <w:jc w:val="both"/>
        <w:rPr/>
      </w:pPr>
      <w:r>
        <w:rPr>
          <w:rFonts w:eastAsia="Times New Roman" w:cs="Times New Roman"/>
        </w:rPr>
        <w:t>Interrogés sur la capacité de leurs propres techniques à évaluer les compétences civiques et morales, trois formateurs sur quatre (75 %) répondent qu’elles ne le permettent que « partiellement », un seul répondant « tout à fait ». Ce résultat contraste nettement avec celui obtenu auprès des élèves-professeurs (82,3 % de « tout à fait »), et cet écart est en soi instructif : en leur qualité de concepteurs experts de l’évaluation, les formateurs portent sur leurs propres pratiques un regard sensiblement plus critique que les élèves-professeurs qui en sont les destinataires. Loin d’affaiblir l’hypothèse H1, cet écart la renforce : ceux qui sont le mieux placés pour juger de la validité des techniques sont aussi les plus réservés quant à leur capacité à mesurer réellement les compétences citoyennes.</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21</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Difficulté perçue par les formateurs d’évaluer les comportements (n = 4)</w:t>
      </w:r>
    </w:p>
    <w:tbl>
      <w:tblPr>
        <w:tblW w:w="9072" w:type="dxa"/>
        <w:jc w:val="center"/>
        <w:tblInd w:w="0" w:type="dxa"/>
        <w:tblLayout w:type="fixed"/>
        <w:tblCellMar>
          <w:top w:w="40" w:type="dxa"/>
          <w:left w:w="60" w:type="dxa"/>
          <w:bottom w:w="40" w:type="dxa"/>
          <w:right w:w="60" w:type="dxa"/>
        </w:tblCellMar>
      </w:tblPr>
      <w:tblGrid>
        <w:gridCol w:w="4536"/>
        <w:gridCol w:w="2268"/>
        <w:gridCol w:w="2268"/>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Difficulté perçue</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Effectif</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Pourcentage (%)</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Difficile</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75,0</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Très difficile</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25,0</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left"/>
              <w:rPr/>
            </w:pPr>
            <w:r>
              <w:rPr>
                <w:rFonts w:eastAsia="Times New Roman" w:cs="Times New Roman"/>
                <w:b/>
                <w:bCs/>
                <w:sz w:val="22"/>
                <w:szCs w:val="22"/>
              </w:rPr>
              <w:t>Total</w:t>
            </w:r>
          </w:p>
        </w:tc>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4</w:t>
            </w:r>
          </w:p>
        </w:tc>
        <w:tc>
          <w:tcPr>
            <w:tcW w:w="226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100,0</w:t>
            </w:r>
          </w:p>
        </w:tc>
      </w:tr>
    </w:tbl>
    <w:p>
      <w:pPr>
        <w:pStyle w:val="Normal"/>
        <w:spacing w:lineRule="auto" w:line="240" w:before="60" w:after="240"/>
        <w:jc w:val="left"/>
        <w:rPr/>
      </w:pPr>
      <w:r>
        <w:rPr>
          <w:rFonts w:eastAsia="Times New Roman" w:cs="Times New Roman"/>
          <w:i/>
          <w:iCs/>
          <w:sz w:val="22"/>
          <w:szCs w:val="22"/>
        </w:rPr>
        <w:t>Source : Enquête de terrain auprès des formateurs en sciences humaines, ENFPE de Notsè (2026).</w:t>
      </w:r>
    </w:p>
    <w:p>
      <w:pPr>
        <w:pStyle w:val="Normal"/>
        <w:spacing w:lineRule="auto" w:line="360" w:before="0" w:after="120"/>
        <w:ind w:firstLine="709"/>
        <w:jc w:val="both"/>
        <w:rPr/>
      </w:pPr>
      <w:r>
        <w:rPr>
          <w:rFonts w:eastAsia="Times New Roman" w:cs="Times New Roman"/>
        </w:rPr>
        <w:t>Un item propre aux formateurs éclaire davantage ce résultat : interrogés sur la difficulté d’évaluer les comportements, les quatre formateurs la reconnaissent unanimement, trois la jugeant « difficile » et un « très difficile ». Quoique portant sur un effectif très restreint, cette unanimité désigne la racine du problème : ce n’est pas un manque de volonté des formateurs qui explique la faible place de l’observation comportementale, mais la difficulté intrinsèque de cette forme d’évaluation, que les contraintes de temps et d’effectifs, déjà relevées chez les élèves-professeurs, ne peuvent qu’aggraver.</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22</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Difficultés rencontrées par les formateurs dans l’évaluation en ECM (réponses multiples, n = 4)</w:t>
      </w:r>
    </w:p>
    <w:tbl>
      <w:tblPr>
        <w:tblW w:w="9072" w:type="dxa"/>
        <w:jc w:val="center"/>
        <w:tblInd w:w="0" w:type="dxa"/>
        <w:tblLayout w:type="fixed"/>
        <w:tblCellMar>
          <w:top w:w="40" w:type="dxa"/>
          <w:left w:w="60" w:type="dxa"/>
          <w:bottom w:w="40" w:type="dxa"/>
          <w:right w:w="60" w:type="dxa"/>
        </w:tblCellMar>
      </w:tblPr>
      <w:tblGrid>
        <w:gridCol w:w="4536"/>
        <w:gridCol w:w="2268"/>
        <w:gridCol w:w="2268"/>
      </w:tblGrid>
      <w:tr>
        <w:trPr>
          <w:tblHeader w:val="true"/>
          <w:cantSplit w:val="true"/>
        </w:trPr>
        <w:tc>
          <w:tcPr>
            <w:tcW w:w="45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Nature de la difficulté</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Effectif (citations)</w:t>
            </w:r>
          </w:p>
        </w:tc>
        <w:tc>
          <w:tcPr>
            <w:tcW w:w="226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 des répondants</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Manque d’outils adaptés</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4</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100,0</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Effectifs élevés</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75,0</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Manque de formation</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25,0</w:t>
            </w:r>
          </w:p>
        </w:tc>
      </w:tr>
      <w:tr>
        <w:trPr>
          <w:cantSplit w:val="true"/>
        </w:trPr>
        <w:tc>
          <w:tcPr>
            <w:tcW w:w="45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Autres</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25,0</w:t>
            </w:r>
          </w:p>
        </w:tc>
      </w:tr>
    </w:tbl>
    <w:p>
      <w:pPr>
        <w:pStyle w:val="Normal"/>
        <w:spacing w:lineRule="auto" w:line="240" w:before="60" w:after="240"/>
        <w:jc w:val="left"/>
        <w:rPr/>
      </w:pPr>
      <w:r>
        <w:rPr>
          <w:rFonts w:eastAsia="Times New Roman" w:cs="Times New Roman"/>
          <w:i/>
          <w:iCs/>
          <w:sz w:val="22"/>
          <w:szCs w:val="22"/>
        </w:rPr>
        <w:t>Source : Enquête de terrain auprès des formateurs en sciences humaines, ENFPE de Notsè (2026).</w:t>
      </w:r>
    </w:p>
    <w:p>
      <w:pPr>
        <w:pStyle w:val="Caption"/>
        <w:keepNext w:val="true"/>
        <w:spacing w:lineRule="auto" w:line="240" w:before="200" w:after="100"/>
        <w:jc w:val="center"/>
        <w:rPr/>
      </w:pPr>
      <w:r>
        <w:rPr>
          <w:rFonts w:eastAsia="Times New Roman" w:cs="Times New Roman"/>
          <w:b/>
          <w:bCs/>
          <w:sz w:val="22"/>
          <w:szCs w:val="22"/>
        </w:rPr>
        <w:t xml:space="preserve">Figure </w:t>
      </w:r>
      <w:r>
        <w:rPr>
          <w:rFonts w:cs="Times New Roman"/>
          <w:b/>
          <w:bCs/>
          <w:sz w:val="22"/>
          <w:szCs w:val="22"/>
        </w:rPr>
        <w:fldChar w:fldCharType="begin"/>
      </w:r>
      <w:r>
        <w:rPr>
          <w:sz w:val="22"/>
          <w:b/>
          <w:szCs w:val="22"/>
          <w:bCs/>
          <w:rFonts w:cs="Times New Roman"/>
        </w:rPr>
        <w:instrText xml:space="preserve"> SEQ Figure \* ARABIC </w:instrText>
      </w:r>
      <w:r>
        <w:rPr>
          <w:sz w:val="22"/>
          <w:b/>
          <w:szCs w:val="22"/>
          <w:bCs/>
          <w:rFonts w:cs="Times New Roman"/>
        </w:rPr>
        <w:fldChar w:fldCharType="separate"/>
      </w:r>
      <w:r>
        <w:rPr>
          <w:sz w:val="22"/>
          <w:b/>
          <w:szCs w:val="22"/>
          <w:bCs/>
          <w:rFonts w:cs="Times New Roman"/>
        </w:rPr>
        <w:t>14</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Difficultés rencontrées par les formateurs dans l’évaluation en ECM (réponses multiples, n = 4)</w:t>
      </w:r>
    </w:p>
    <w:p>
      <w:pPr>
        <w:pStyle w:val="Normal"/>
        <w:keepNext w:val="true"/>
        <w:spacing w:lineRule="auto" w:line="240" w:before="0" w:after="0"/>
        <w:jc w:val="center"/>
        <w:rPr/>
      </w:pPr>
      <w:r>
        <w:rPr/>
        <w:drawing>
          <wp:inline distT="0" distB="0" distL="0" distR="0">
            <wp:extent cx="5400675" cy="223837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7"/>
                    <a:stretch>
                      <a:fillRect/>
                    </a:stretch>
                  </pic:blipFill>
                  <pic:spPr bwMode="auto">
                    <a:xfrm>
                      <a:off x="0" y="0"/>
                      <a:ext cx="5400675" cy="2238375"/>
                    </a:xfrm>
                    <a:prstGeom prst="rect">
                      <a:avLst/>
                    </a:prstGeom>
                  </pic:spPr>
                </pic:pic>
              </a:graphicData>
            </a:graphic>
          </wp:inline>
        </w:drawing>
      </w:r>
    </w:p>
    <w:p>
      <w:pPr>
        <w:pStyle w:val="Normal"/>
        <w:spacing w:lineRule="auto" w:line="240" w:before="60" w:after="240"/>
        <w:jc w:val="left"/>
        <w:rPr/>
      </w:pPr>
      <w:r>
        <w:rPr>
          <w:rFonts w:eastAsia="Times New Roman" w:cs="Times New Roman"/>
          <w:i/>
          <w:iCs/>
          <w:sz w:val="22"/>
          <w:szCs w:val="22"/>
        </w:rPr>
        <w:t>Source : Enquête de terrain auprès des formateurs en sciences humaines, ENFPE de Notsè (2026).</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23</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Satisfaction des formateurs et souhait de formation complémentaire (n = 4)</w:t>
      </w:r>
    </w:p>
    <w:tbl>
      <w:tblPr>
        <w:tblW w:w="9072" w:type="dxa"/>
        <w:jc w:val="center"/>
        <w:tblInd w:w="0" w:type="dxa"/>
        <w:tblLayout w:type="fixed"/>
        <w:tblCellMar>
          <w:top w:w="40" w:type="dxa"/>
          <w:left w:w="60" w:type="dxa"/>
          <w:bottom w:w="40" w:type="dxa"/>
          <w:right w:w="60" w:type="dxa"/>
        </w:tblCellMar>
      </w:tblPr>
      <w:tblGrid>
        <w:gridCol w:w="2835"/>
        <w:gridCol w:w="2835"/>
        <w:gridCol w:w="1701"/>
        <w:gridCol w:w="1700"/>
      </w:tblGrid>
      <w:tr>
        <w:trPr>
          <w:tblHeader w:val="true"/>
          <w:cantSplit w:val="true"/>
        </w:trPr>
        <w:tc>
          <w:tcPr>
            <w:tcW w:w="283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Item</w:t>
            </w:r>
          </w:p>
        </w:tc>
        <w:tc>
          <w:tcPr>
            <w:tcW w:w="283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Modalité</w:t>
            </w:r>
          </w:p>
        </w:tc>
        <w:tc>
          <w:tcPr>
            <w:tcW w:w="170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Effectif</w:t>
            </w:r>
          </w:p>
        </w:tc>
        <w:tc>
          <w:tcPr>
            <w:tcW w:w="17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Pourcentage (%)</w:t>
            </w:r>
          </w:p>
        </w:tc>
      </w:tr>
      <w:tr>
        <w:trPr>
          <w:cantSplit w:val="true"/>
        </w:trPr>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Satisfaction à l’égard des techniques actuelles</w:t>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Peu satisfait(e)</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75,0</w:t>
            </w:r>
          </w:p>
        </w:tc>
      </w:tr>
      <w:tr>
        <w:trPr>
          <w:cantSplit w:val="true"/>
        </w:trPr>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Satisfait(e)</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25,0</w:t>
            </w:r>
          </w:p>
        </w:tc>
      </w:tr>
      <w:tr>
        <w:trPr>
          <w:cantSplit w:val="true"/>
        </w:trPr>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Souhait d’une formation complémentaire</w:t>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Oui</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4</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100,0</w:t>
            </w:r>
          </w:p>
        </w:tc>
      </w:tr>
    </w:tbl>
    <w:p>
      <w:pPr>
        <w:pStyle w:val="Normal"/>
        <w:spacing w:lineRule="auto" w:line="240" w:before="60" w:after="240"/>
        <w:jc w:val="left"/>
        <w:rPr/>
      </w:pPr>
      <w:r>
        <w:rPr>
          <w:rFonts w:eastAsia="Times New Roman" w:cs="Times New Roman"/>
          <w:i/>
          <w:iCs/>
          <w:sz w:val="22"/>
          <w:szCs w:val="22"/>
        </w:rPr>
        <w:t>Source : Enquête de terrain auprès des formateurs en sciences humaines, ENFPE de Notsè (2026).</w:t>
      </w:r>
    </w:p>
    <w:p>
      <w:pPr>
        <w:pStyle w:val="Normal"/>
        <w:spacing w:lineRule="auto" w:line="360" w:before="0" w:after="120"/>
        <w:ind w:firstLine="709"/>
        <w:jc w:val="both"/>
        <w:rPr/>
      </w:pPr>
      <w:r>
        <w:rPr>
          <w:rFonts w:eastAsia="Times New Roman" w:cs="Times New Roman"/>
        </w:rPr>
        <w:t>Les quatre formateurs signalent unanimement un manque d’outils adaptés ; trois sur quatre évoquent des effectifs élevés et se déclarent peu satisfaits des techniques d’évaluation actuelles en ECM. Surtout, tous, sans exception, souhaitent bénéficier d’une formation complémentaire sur les techniques d’évaluation en ECM. Cette unanimité constitue sans doute le résultat le plus parlant de cette section : le déficit d’évaluation comportementale de la citoyenneté ne relève pas d’un choix pédagogique délibéré, mais d’un défaut d’outillage méthodologique que les formateurs reconnaissent eux-mêmes et qu’ils se disent prêts à combler par un renforcement de capacités.</w:t>
      </w:r>
    </w:p>
    <w:p>
      <w:pPr>
        <w:pStyle w:val="Heading2"/>
        <w:rPr/>
      </w:pPr>
      <w:bookmarkStart w:id="80" w:name="__RefHeading___Toc49466_3411847120"/>
      <w:bookmarkEnd w:id="80"/>
      <w:r>
        <w:rPr>
          <w:rFonts w:eastAsia="Times New Roman" w:cs="Times New Roman" w:ascii="Times New Roman" w:hAnsi="Times New Roman"/>
        </w:rPr>
        <w:t>4.3. Discussion générale et vérification des hypothèses</w:t>
      </w:r>
    </w:p>
    <w:p>
      <w:pPr>
        <w:pStyle w:val="Normal"/>
        <w:spacing w:lineRule="auto" w:line="360" w:before="0" w:after="120"/>
        <w:ind w:firstLine="709"/>
        <w:jc w:val="both"/>
        <w:rPr/>
      </w:pPr>
      <w:r>
        <w:rPr>
          <w:rFonts w:eastAsia="Times New Roman" w:cs="Times New Roman"/>
        </w:rPr>
        <w:t>La confrontation des résultats obtenus auprès des élèves-professeurs et des formateurs permet de revenir sur la question principale de recherche et de statuer sur l’hypothèse générale ainsi que sur chacune des hypothèses secondaires.</w:t>
      </w:r>
    </w:p>
    <w:p>
      <w:pPr>
        <w:pStyle w:val="Heading3"/>
        <w:rPr/>
      </w:pPr>
      <w:bookmarkStart w:id="81" w:name="__RefHeading___Toc49604_3411847120"/>
      <w:bookmarkEnd w:id="81"/>
      <w:r>
        <w:rPr>
          <w:rFonts w:eastAsia="Times New Roman" w:cs="Times New Roman" w:ascii="Times New Roman" w:hAnsi="Times New Roman"/>
        </w:rPr>
        <w:t>4.3.1. Hypothèse générale</w:t>
      </w:r>
    </w:p>
    <w:p>
      <w:pPr>
        <w:pStyle w:val="Normal"/>
        <w:spacing w:lineRule="auto" w:line="360" w:before="0" w:after="120"/>
        <w:ind w:left="567" w:right="567"/>
        <w:jc w:val="both"/>
        <w:rPr/>
      </w:pPr>
      <w:r>
        <w:rPr>
          <w:rFonts w:eastAsia="Times New Roman" w:cs="Times New Roman"/>
          <w:i/>
          <w:iCs/>
        </w:rPr>
        <w:t>Les techniques d’évaluation mobilisées pour mesurer les compétences citoyennes sont calquées sur l’approche traditionnelle, c’est-à-dire sur la restitution des acquis à travers des épreuves écrites.</w:t>
      </w:r>
    </w:p>
    <w:p>
      <w:pPr>
        <w:pStyle w:val="Normal"/>
        <w:spacing w:lineRule="auto" w:line="360" w:before="0" w:after="120"/>
        <w:ind w:firstLine="709"/>
        <w:jc w:val="both"/>
        <w:rPr/>
      </w:pPr>
      <w:r>
        <w:rPr>
          <w:rFonts w:eastAsia="Times New Roman" w:cs="Times New Roman"/>
          <w:b/>
          <w:bCs/>
        </w:rPr>
        <w:t>Hypothèse confirmée.</w:t>
      </w:r>
      <w:r>
        <w:rPr>
          <w:rFonts w:eastAsia="Times New Roman" w:cs="Times New Roman"/>
        </w:rPr>
        <w:t xml:space="preserve"> Les questions écrites constituent sans conteste la technique la plus utilisée, tant par les élèves-professeurs (90,3 %) que par les formateurs (100 %) ; près d’un élève-professeur sur deux (45,2 %) n’a mobilisé, durant l’ensemble de ses stages, aucune autre technique que les questions écrites et/ou orales. L’approche traditionnelle de restitution domine donc très largement l’évaluation en ECM à l’ENFPE de Notsè.</w:t>
      </w:r>
    </w:p>
    <w:p>
      <w:pPr>
        <w:pStyle w:val="Heading3"/>
        <w:rPr/>
      </w:pPr>
      <w:bookmarkStart w:id="82" w:name="__RefHeading___Toc49606_3411847120"/>
      <w:bookmarkEnd w:id="82"/>
      <w:r>
        <w:rPr>
          <w:rFonts w:eastAsia="Times New Roman" w:cs="Times New Roman" w:ascii="Times New Roman" w:hAnsi="Times New Roman"/>
        </w:rPr>
        <w:t>4.3.2. Hypothèses secondaires</w:t>
      </w:r>
    </w:p>
    <w:p>
      <w:pPr>
        <w:pStyle w:val="Normal"/>
        <w:spacing w:lineRule="auto" w:line="360" w:before="0" w:after="120"/>
        <w:jc w:val="both"/>
        <w:rPr/>
      </w:pPr>
      <w:r>
        <w:rPr>
          <w:rFonts w:eastAsia="Times New Roman" w:cs="Times New Roman"/>
          <w:b/>
          <w:bCs/>
        </w:rPr>
        <w:t>H1</w:t>
      </w:r>
      <w:r>
        <w:rPr>
          <w:rFonts w:eastAsia="Times New Roman" w:cs="Times New Roman"/>
        </w:rPr>
        <w:t xml:space="preserve"> — </w:t>
      </w:r>
      <w:r>
        <w:rPr>
          <w:rFonts w:eastAsia="Times New Roman" w:cs="Times New Roman"/>
          <w:i/>
          <w:iCs/>
        </w:rPr>
        <w:t>Ces techniques d’évaluation ne mesurent pas suffisamment les compétences comportementales et citoyennes des élèves-professeurs.</w:t>
      </w:r>
    </w:p>
    <w:p>
      <w:pPr>
        <w:pStyle w:val="Normal"/>
        <w:spacing w:lineRule="auto" w:line="360" w:before="0" w:after="120"/>
        <w:ind w:firstLine="709"/>
        <w:jc w:val="both"/>
        <w:rPr/>
      </w:pPr>
      <w:r>
        <w:rPr>
          <w:rFonts w:eastAsia="Times New Roman" w:cs="Times New Roman"/>
          <w:b/>
          <w:bCs/>
        </w:rPr>
        <w:t>Hypothèse partiellement confirmée.</w:t>
      </w:r>
      <w:r>
        <w:rPr>
          <w:rFonts w:eastAsia="Times New Roman" w:cs="Times New Roman"/>
        </w:rPr>
        <w:t xml:space="preserve"> Les élèves-professeurs jugent majoritairement (82,3 %) que leurs techniques mesurent « tout à fait » les compétences civiques. Cette appréciation doit toutefois être fortement relativisée au regard de deux résultats convergents : d’une part, les formateurs, mieux placés pour en juger, estiment à 75 % que leurs propres techniques ne le permettent que « partiellement » ; d’autre part, l’adhésion des élèves-professeurs est sensiblement plus faible chez ceux qui n’ont mobilisé que des techniques écrites ou orales (71,4 %) que chez ceux qui ont eu recours à l’observation ou à la pratique (88,2 % à 94,1 %). L’insuffisance est donc bien réelle, mais elle est davantage perçue par les concepteurs de l’évaluation que par ses destinataires.</w:t>
      </w:r>
    </w:p>
    <w:p>
      <w:pPr>
        <w:pStyle w:val="Normal"/>
        <w:spacing w:lineRule="auto" w:line="360" w:before="0" w:after="120"/>
        <w:jc w:val="both"/>
        <w:rPr/>
      </w:pPr>
      <w:r>
        <w:rPr>
          <w:rFonts w:eastAsia="Times New Roman" w:cs="Times New Roman"/>
          <w:b/>
          <w:bCs/>
        </w:rPr>
        <w:t>H2</w:t>
      </w:r>
      <w:r>
        <w:rPr>
          <w:rFonts w:eastAsia="Times New Roman" w:cs="Times New Roman"/>
        </w:rPr>
        <w:t xml:space="preserve"> — </w:t>
      </w:r>
      <w:r>
        <w:rPr>
          <w:rFonts w:eastAsia="Times New Roman" w:cs="Times New Roman"/>
          <w:i/>
          <w:iCs/>
        </w:rPr>
        <w:t>L’évaluation formative est peu exploitée.</w:t>
      </w:r>
    </w:p>
    <w:p>
      <w:pPr>
        <w:pStyle w:val="Normal"/>
        <w:spacing w:lineRule="auto" w:line="360" w:before="0" w:after="120"/>
        <w:ind w:firstLine="709"/>
        <w:jc w:val="both"/>
        <w:rPr/>
      </w:pPr>
      <w:r>
        <w:rPr>
          <w:rFonts w:eastAsia="Times New Roman" w:cs="Times New Roman"/>
          <w:b/>
          <w:bCs/>
        </w:rPr>
        <w:t>Hypothèse indirectement confirmée, à valider par une enquête complémentaire.</w:t>
      </w:r>
      <w:r>
        <w:rPr>
          <w:rFonts w:eastAsia="Times New Roman" w:cs="Times New Roman"/>
        </w:rPr>
        <w:t xml:space="preserve"> Le questionnaire ne comportant aucun item distinguant explicitement évaluation formative et évaluation sommative, cette hypothèse ne peut être vérifiée directement. Plusieurs indices convergents vont néanmoins dans ce sens : l’enquête auprès des élèves-professeurs porte sur les techniques mobilisées « lors des différentes compositions », contexte typiquement sommatif ; les techniques les plus proches d’une logique formative et continue — observation des comportements, études de cas — sont les moins utilisées (respectivement 27,4 % et 12,9 %) ; enfin, 24,2 % des suggestions spontanées appellent à consacrer davantage de temps à l’évaluation, ce qui est compatible avec un déficit de pratiques formatives, intrinsèquement plus chronophages que les évaluations sommatives classiques.</w:t>
      </w:r>
    </w:p>
    <w:p>
      <w:pPr>
        <w:pStyle w:val="Normal"/>
        <w:spacing w:lineRule="auto" w:line="360" w:before="0" w:after="120"/>
        <w:jc w:val="both"/>
        <w:rPr/>
      </w:pPr>
      <w:r>
        <w:rPr>
          <w:rFonts w:eastAsia="Times New Roman" w:cs="Times New Roman"/>
          <w:b/>
          <w:bCs/>
        </w:rPr>
        <w:t>H3</w:t>
      </w:r>
      <w:r>
        <w:rPr>
          <w:rFonts w:eastAsia="Times New Roman" w:cs="Times New Roman"/>
        </w:rPr>
        <w:t xml:space="preserve"> — </w:t>
      </w:r>
      <w:r>
        <w:rPr>
          <w:rFonts w:eastAsia="Times New Roman" w:cs="Times New Roman"/>
          <w:i/>
          <w:iCs/>
        </w:rPr>
        <w:t>Les limites des dispositifs d’évaluation réduisent l’efficacité pédagogique de l’ECM dans la formation citoyenne.</w:t>
      </w:r>
    </w:p>
    <w:p>
      <w:pPr>
        <w:pStyle w:val="Normal"/>
        <w:spacing w:lineRule="auto" w:line="360" w:before="0" w:after="120"/>
        <w:ind w:firstLine="709"/>
        <w:jc w:val="both"/>
        <w:rPr/>
      </w:pPr>
      <w:r>
        <w:rPr>
          <w:rFonts w:eastAsia="Times New Roman" w:cs="Times New Roman"/>
          <w:b/>
          <w:bCs/>
        </w:rPr>
        <w:t>Hypothèse confirmée.</w:t>
      </w:r>
      <w:r>
        <w:rPr>
          <w:rFonts w:eastAsia="Times New Roman" w:cs="Times New Roman"/>
        </w:rPr>
        <w:t xml:space="preserve"> Qu’il s’agisse des élèves-professeurs (87,1 %) ou des formateurs (100 %), la très grande majorité des répondants déclare avoir rencontré des difficultés dans l’évaluation en ECM/éducation sociale, au premier rang desquelles l’insuffisance de temps, le manque d’outils adaptés et les effectifs élevés. Ces contraintes sont associées à une moindre satisfaction (13,0 % de « peu satisfait(e) » chez les élèves-professeurs ayant rencontré des difficultés, contre 0,0 % chez les autres) et à la reconnaissance unanime, par les formateurs, de la difficulté d’évaluer les comportements citoyens. Les limites du dispositif actuel sont donc réelles et rapportées par les deux catégories d’acteurs.</w:t>
      </w:r>
    </w:p>
    <w:p>
      <w:pPr>
        <w:pStyle w:val="Normal"/>
        <w:spacing w:lineRule="auto" w:line="360" w:before="0" w:after="120"/>
        <w:jc w:val="both"/>
        <w:rPr/>
      </w:pPr>
      <w:r>
        <w:rPr>
          <w:rFonts w:eastAsia="Times New Roman" w:cs="Times New Roman"/>
          <w:b/>
          <w:bCs/>
        </w:rPr>
        <w:t>H4</w:t>
      </w:r>
      <w:r>
        <w:rPr>
          <w:rFonts w:eastAsia="Times New Roman" w:cs="Times New Roman"/>
        </w:rPr>
        <w:t xml:space="preserve"> — </w:t>
      </w:r>
      <w:r>
        <w:rPr>
          <w:rFonts w:eastAsia="Times New Roman" w:cs="Times New Roman"/>
          <w:i/>
          <w:iCs/>
        </w:rPr>
        <w:t>L’évaluation en ECM est davantage orientée vers les savoirs cognitifs que vers les comportements citoyens observables.</w:t>
      </w:r>
    </w:p>
    <w:p>
      <w:pPr>
        <w:pStyle w:val="Normal"/>
        <w:spacing w:lineRule="auto" w:line="360" w:before="0" w:after="120"/>
        <w:ind w:firstLine="709"/>
        <w:jc w:val="both"/>
        <w:rPr/>
      </w:pPr>
      <w:r>
        <w:rPr>
          <w:rFonts w:eastAsia="Times New Roman" w:cs="Times New Roman"/>
          <w:b/>
          <w:bCs/>
        </w:rPr>
        <w:t>Hypothèse confirmée.</w:t>
      </w:r>
      <w:r>
        <w:rPr>
          <w:rFonts w:eastAsia="Times New Roman" w:cs="Times New Roman"/>
        </w:rPr>
        <w:t xml:space="preserve"> La hiérarchie même des techniques utilisées en atteste : les techniques à dominante cognitive (questions écrites et orales) sont citées respectivement par 90,3 % et 64,5 % des élèves-professeurs, contre 27,4 % seulement pour l’observation des comportements, seule technique directement adossée à un comportement citoyen observable. Cette asymétrie se retrouve à l’identique chez les formateurs (100 % contre 50 %), ce qui écarte l’hypothèse d’un simple artefact de perception : elle décrit une pratique effective, reconnue par ses propres auteurs.</w:t>
      </w:r>
    </w:p>
    <w:p>
      <w:pPr>
        <w:pStyle w:val="Normal"/>
        <w:spacing w:lineRule="auto" w:line="360" w:before="0" w:after="120"/>
        <w:jc w:val="both"/>
        <w:rPr/>
      </w:pPr>
      <w:r>
        <w:rPr>
          <w:rFonts w:eastAsia="Times New Roman" w:cs="Times New Roman"/>
          <w:b/>
          <w:bCs/>
        </w:rPr>
        <w:t>H5</w:t>
      </w:r>
      <w:r>
        <w:rPr>
          <w:rFonts w:eastAsia="Times New Roman" w:cs="Times New Roman"/>
        </w:rPr>
        <w:t xml:space="preserve"> — </w:t>
      </w:r>
      <w:r>
        <w:rPr>
          <w:rFonts w:eastAsia="Times New Roman" w:cs="Times New Roman"/>
          <w:i/>
          <w:iCs/>
        </w:rPr>
        <w:t>Le recours à des techniques d’évaluation formatives et actives favorise une meilleure construction des attitudes citoyennes et renforce l’adhésion des élèves-professeurs aux valeurs citoyennes observables.</w:t>
      </w:r>
    </w:p>
    <w:p>
      <w:pPr>
        <w:pStyle w:val="Normal"/>
        <w:spacing w:lineRule="auto" w:line="360" w:before="0" w:after="120"/>
        <w:ind w:firstLine="709"/>
        <w:jc w:val="both"/>
        <w:rPr/>
      </w:pPr>
      <w:r>
        <w:rPr>
          <w:rFonts w:eastAsia="Times New Roman" w:cs="Times New Roman"/>
          <w:b/>
          <w:bCs/>
        </w:rPr>
        <w:t>Hypothèse partiellement confirmée (tendance cohérente, non significative sur le plan statistique).</w:t>
      </w:r>
      <w:r>
        <w:rPr>
          <w:rFonts w:eastAsia="Times New Roman" w:cs="Times New Roman"/>
        </w:rPr>
        <w:t xml:space="preserve"> Le croisement entre le profil dominant des techniques mobilisées et la perception de leur capacité à mesurer les compétences civiques fait apparaître un gradient net en faveur de cette hypothèse (71,4 % pour le profil exclusivement écrit/oral, contre 88,2 % à 94,1 % pour les profils intégrant une dimension active ou observationnelle). Ce gradient n’atteint cependant pas le seuil de significativité statistique (χ²(2, N = 62) = 4,30 ; p = 0,116), compte tenu de la taille des sous-groupes. Il s’agit donc d’une tendance prometteuse, à confirmer sur un échantillon plus large ou à approfondir par une démarche qualitative (observations de classe, entretiens).</w:t>
      </w:r>
    </w:p>
    <w:p>
      <w:pPr>
        <w:pStyle w:val="Normal"/>
        <w:spacing w:lineRule="auto" w:line="360" w:before="0" w:after="120"/>
        <w:ind w:firstLine="709"/>
        <w:jc w:val="both"/>
        <w:rPr/>
      </w:pPr>
      <w:r>
        <w:rPr>
          <w:rFonts w:eastAsia="Times New Roman" w:cs="Times New Roman"/>
        </w:rPr>
        <w:t>Le tableau 24 récapitule la vérification des hypothèses.</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24</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Synthèse de la vérification des hypothèses</w:t>
      </w:r>
    </w:p>
    <w:tbl>
      <w:tblPr>
        <w:tblW w:w="9072" w:type="dxa"/>
        <w:jc w:val="center"/>
        <w:tblInd w:w="0" w:type="dxa"/>
        <w:tblLayout w:type="fixed"/>
        <w:tblCellMar>
          <w:top w:w="40" w:type="dxa"/>
          <w:left w:w="60" w:type="dxa"/>
          <w:bottom w:w="40" w:type="dxa"/>
          <w:right w:w="60" w:type="dxa"/>
        </w:tblCellMar>
      </w:tblPr>
      <w:tblGrid>
        <w:gridCol w:w="907"/>
        <w:gridCol w:w="5103"/>
        <w:gridCol w:w="3062"/>
      </w:tblGrid>
      <w:tr>
        <w:trPr>
          <w:tblHeader w:val="true"/>
          <w:cantSplit w:val="true"/>
        </w:trPr>
        <w:tc>
          <w:tcPr>
            <w:tcW w:w="90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Hyp.</w:t>
            </w:r>
          </w:p>
        </w:tc>
        <w:tc>
          <w:tcPr>
            <w:tcW w:w="5103"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Énoncé abrégé</w:t>
            </w:r>
          </w:p>
        </w:tc>
        <w:tc>
          <w:tcPr>
            <w:tcW w:w="306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Verdict</w:t>
            </w:r>
          </w:p>
        </w:tc>
      </w:tr>
      <w:tr>
        <w:trPr>
          <w:cantSplit w:val="true"/>
        </w:trPr>
        <w:tc>
          <w:tcPr>
            <w:tcW w:w="90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HG</w:t>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Techniques calquées sur la restitution écrite des acquis</w:t>
            </w:r>
          </w:p>
        </w:tc>
        <w:tc>
          <w:tcPr>
            <w:tcW w:w="30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Confirmée</w:t>
            </w:r>
          </w:p>
        </w:tc>
      </w:tr>
      <w:tr>
        <w:trPr>
          <w:cantSplit w:val="true"/>
        </w:trPr>
        <w:tc>
          <w:tcPr>
            <w:tcW w:w="90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H1</w:t>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Mesure insuffisante des compétences comportementales et citoyennes</w:t>
            </w:r>
          </w:p>
        </w:tc>
        <w:tc>
          <w:tcPr>
            <w:tcW w:w="30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Partiellement confirmée</w:t>
            </w:r>
          </w:p>
        </w:tc>
      </w:tr>
      <w:tr>
        <w:trPr>
          <w:cantSplit w:val="true"/>
        </w:trPr>
        <w:tc>
          <w:tcPr>
            <w:tcW w:w="90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H2</w:t>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Évaluation formative peu exploitée</w:t>
            </w:r>
          </w:p>
        </w:tc>
        <w:tc>
          <w:tcPr>
            <w:tcW w:w="30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Indirectement confirmée (à valider)</w:t>
            </w:r>
          </w:p>
        </w:tc>
      </w:tr>
      <w:tr>
        <w:trPr>
          <w:cantSplit w:val="true"/>
        </w:trPr>
        <w:tc>
          <w:tcPr>
            <w:tcW w:w="90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H3</w:t>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Limites des dispositifs réduisant l’efficacité de l’ECM</w:t>
            </w:r>
          </w:p>
        </w:tc>
        <w:tc>
          <w:tcPr>
            <w:tcW w:w="30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Confirmée</w:t>
            </w:r>
          </w:p>
        </w:tc>
      </w:tr>
      <w:tr>
        <w:trPr>
          <w:cantSplit w:val="true"/>
        </w:trPr>
        <w:tc>
          <w:tcPr>
            <w:tcW w:w="90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H4</w:t>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Évaluation orientée vers les savoirs cognitifs</w:t>
            </w:r>
          </w:p>
        </w:tc>
        <w:tc>
          <w:tcPr>
            <w:tcW w:w="30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Confirmée</w:t>
            </w:r>
          </w:p>
        </w:tc>
      </w:tr>
      <w:tr>
        <w:trPr>
          <w:cantSplit w:val="true"/>
        </w:trPr>
        <w:tc>
          <w:tcPr>
            <w:tcW w:w="90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H5</w:t>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Techniques actives et formatives favorisant l’adhésion aux valeurs citoyennes</w:t>
            </w:r>
          </w:p>
        </w:tc>
        <w:tc>
          <w:tcPr>
            <w:tcW w:w="30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Partiellement confirmée (tendance non significative)</w:t>
            </w:r>
          </w:p>
        </w:tc>
      </w:tr>
    </w:tbl>
    <w:p>
      <w:pPr>
        <w:pStyle w:val="Normal"/>
        <w:spacing w:lineRule="auto" w:line="240" w:before="60" w:after="240"/>
        <w:jc w:val="left"/>
        <w:rPr/>
      </w:pPr>
      <w:r>
        <w:rPr>
          <w:rFonts w:eastAsia="Times New Roman" w:cs="Times New Roman"/>
          <w:i/>
          <w:iCs/>
          <w:sz w:val="22"/>
          <w:szCs w:val="22"/>
        </w:rPr>
        <w:t>Source : Nos analyses, à partir de l’enquête de terrain (2026).</w:t>
      </w:r>
    </w:p>
    <w:p>
      <w:pPr>
        <w:pStyle w:val="Heading3"/>
        <w:rPr/>
      </w:pPr>
      <w:bookmarkStart w:id="83" w:name="__RefHeading___Toc49608_3411847120"/>
      <w:bookmarkEnd w:id="83"/>
      <w:r>
        <w:rPr>
          <w:rFonts w:eastAsia="Times New Roman" w:cs="Times New Roman" w:ascii="Times New Roman" w:hAnsi="Times New Roman"/>
        </w:rPr>
        <w:t>4.3.3. Réponse à la question principale de recherche</w:t>
      </w:r>
    </w:p>
    <w:p>
      <w:pPr>
        <w:pStyle w:val="Normal"/>
        <w:spacing w:lineRule="auto" w:line="360" w:before="0" w:after="120"/>
        <w:ind w:firstLine="709"/>
        <w:jc w:val="both"/>
        <w:rPr/>
      </w:pPr>
      <w:r>
        <w:rPr>
          <w:rFonts w:eastAsia="Times New Roman" w:cs="Times New Roman"/>
        </w:rPr>
        <w:t>Au terme de cette double enquête, la question principale — quelles sont les techniques d’évaluation mises en œuvre en ECM à l’ENFPE de Notsè, et dans quelle mesure permettent-elles d’apprécier et de développer la notion de citoyenneté chez les élèves-professeurs ? — appelle une réponse nuancée, mais somme toute assez nette. Les techniques mises en œuvre restent largement dominées par la restitution écrite et orale de savoirs théoriques sur la citoyenneté, au détriment de l’observation directe des comportements citoyens que la nature même de la compétence visée appellerait. Cette situation n’est pas imputable à un désintérêt des formateurs pour la dimension comportementale de l’évaluation — ils la jugent au contraire essentielle et en reconnaissent unanimement la difficulté —, mais à un ensemble de contraintes convergentes : manque d’outils d’évaluation adaptés, effectifs élevés et insuffisance du temps disponible. Dès lors, si les techniques actuelles permettent d’apprécier dans une certaine mesure les connaissances théoriques relatives à la citoyenneté, leur capacité à en développer et à en mesurer la dimension proprement comportementale demeure, en l’état, limitée.</w:t>
      </w:r>
    </w:p>
    <w:p>
      <w:pPr>
        <w:pStyle w:val="Heading3"/>
        <w:rPr/>
      </w:pPr>
      <w:bookmarkStart w:id="84" w:name="__RefHeading___Toc49610_3411847120"/>
      <w:bookmarkEnd w:id="84"/>
      <w:r>
        <w:rPr>
          <w:rFonts w:eastAsia="Times New Roman" w:cs="Times New Roman" w:ascii="Times New Roman" w:hAnsi="Times New Roman"/>
        </w:rPr>
        <w:t>4.3.4. Limites de l’enquête</w:t>
      </w:r>
    </w:p>
    <w:p>
      <w:pPr>
        <w:pStyle w:val="Normal"/>
        <w:spacing w:lineRule="auto" w:line="360" w:before="0" w:after="120"/>
        <w:ind w:firstLine="709"/>
        <w:jc w:val="both"/>
        <w:rPr/>
      </w:pPr>
      <w:r>
        <w:rPr>
          <w:rFonts w:eastAsia="Times New Roman" w:cs="Times New Roman"/>
        </w:rPr>
        <w:t>Plusieurs limites méritent, en toute rigueur, d’être signalées. En premier lieu, l’échantillon des formateurs (n = 4) est trop restreint pour autoriser un traitement statistique ou une quelconque généralisation ; les résultats qui le concernent doivent être lus comme des indices convergents avec l’enquête menée auprès des élèves-professeurs, et non comme une preuve autonome.</w:t>
      </w:r>
    </w:p>
    <w:p>
      <w:pPr>
        <w:pStyle w:val="Normal"/>
        <w:spacing w:lineRule="auto" w:line="360" w:before="0" w:after="120"/>
        <w:ind w:firstLine="709"/>
        <w:jc w:val="both"/>
        <w:rPr/>
      </w:pPr>
      <w:r>
        <w:rPr>
          <w:rFonts w:eastAsia="Times New Roman" w:cs="Times New Roman"/>
        </w:rPr>
        <w:t>En deuxième lieu, la variable « statut » du questionnaire destiné aux EPE a fait l’objet de réponses hétérogènes (statut matrimonial, statut académique, voire noms propres), ce qui a conduit à l’écarter de l’analyse plutôt que d’en proposer une lecture peu fiable.</w:t>
      </w:r>
    </w:p>
    <w:p>
      <w:pPr>
        <w:pStyle w:val="Normal"/>
        <w:spacing w:lineRule="auto" w:line="360" w:before="0" w:after="120"/>
        <w:ind w:firstLine="709"/>
        <w:jc w:val="both"/>
        <w:rPr/>
      </w:pPr>
      <w:r>
        <w:rPr>
          <w:rFonts w:eastAsia="Times New Roman" w:cs="Times New Roman"/>
        </w:rPr>
        <w:t>En troisième lieu, l’hypothèse H2, relative à la sous-exploitation de l’évaluation formative, n’a pu être vérifiée que de manière indirecte, le questionnaire ne comportant aucun item dédié à cette distinction ; une enquête complémentaire, construite autour de la distinction formatif/sommatif, permettrait de lever cette réserve.</w:t>
      </w:r>
    </w:p>
    <w:p>
      <w:pPr>
        <w:pStyle w:val="Normal"/>
        <w:spacing w:lineRule="auto" w:line="360" w:before="0" w:after="120"/>
        <w:ind w:firstLine="709"/>
        <w:jc w:val="both"/>
        <w:rPr/>
      </w:pPr>
      <w:r>
        <w:rPr>
          <w:rFonts w:eastAsia="Times New Roman" w:cs="Times New Roman"/>
        </w:rPr>
        <w:t>Enfin, les relations mises en évidence entre le profil des techniques utilisées et la perception de leur pertinence demeurent descriptives et non significatives au sens statistique ; elles doivent donc être appréhendées comme des tendances à confirmer plutôt que comme des relations de causalité établies.</w:t>
      </w:r>
    </w:p>
    <w:p>
      <w:pPr>
        <w:pStyle w:val="Heading1"/>
        <w:rPr/>
      </w:pPr>
      <w:bookmarkStart w:id="85" w:name="__RefHeading___Toc49468_3411847120"/>
      <w:bookmarkEnd w:id="85"/>
      <w:r>
        <w:rPr>
          <w:rFonts w:eastAsia="Times New Roman" w:cs="Times New Roman" w:ascii="Times New Roman" w:hAnsi="Times New Roman"/>
        </w:rPr>
        <w:t>CHAPITRE 5 : CONTRIBUTION PROFESSIONNELLE</w:t>
      </w:r>
    </w:p>
    <w:p>
      <w:pPr>
        <w:pStyle w:val="Normal"/>
        <w:spacing w:lineRule="auto" w:line="360" w:before="0" w:after="120"/>
        <w:ind w:firstLine="709"/>
        <w:jc w:val="both"/>
        <w:rPr/>
      </w:pPr>
      <w:r>
        <w:rPr>
          <w:rFonts w:eastAsia="Times New Roman" w:cs="Times New Roman"/>
        </w:rPr>
        <w:t>Ce chapitre présente notre contribution à la résolution du problème étudié. Après avoir rappelé les fondements d’une évaluation adaptée à la citoyenneté et les difficultés liées à l’évaluation de l’ECM, il propose un ensemble de techniques et d’outils d’évaluation adaptés aux compétences citoyennes, puis formule des recommandations à l’intention des différents acteurs.</w:t>
      </w:r>
    </w:p>
    <w:p>
      <w:pPr>
        <w:pStyle w:val="Heading2"/>
        <w:rPr/>
      </w:pPr>
      <w:bookmarkStart w:id="86" w:name="__RefHeading___Toc49470_3411847120"/>
      <w:bookmarkEnd w:id="86"/>
      <w:r>
        <w:rPr>
          <w:rFonts w:eastAsia="Times New Roman" w:cs="Times New Roman" w:ascii="Times New Roman" w:hAnsi="Times New Roman"/>
        </w:rPr>
        <w:t>5.1. Fondements d’une évaluation adaptée à la citoyenneté</w:t>
      </w:r>
    </w:p>
    <w:p>
      <w:pPr>
        <w:pStyle w:val="Normal"/>
        <w:spacing w:lineRule="auto" w:line="360" w:before="0" w:after="120"/>
        <w:ind w:firstLine="709"/>
        <w:jc w:val="both"/>
        <w:rPr/>
      </w:pPr>
      <w:r>
        <w:rPr>
          <w:rFonts w:eastAsia="Times New Roman" w:cs="Times New Roman"/>
        </w:rPr>
        <w:t>À l’ENFPE de Notsè, l’enseignement de l’ECM ne devrait pas se limiter à la mémorisation de définitions ou de textes réglementaires. Il devrait permettre aux élèves-professeurs d’analyser des situations de la vie sociale, de réfléchir aux valeurs citoyennes, de résoudre des conflits et de développer des comportements responsables.</w:t>
      </w:r>
    </w:p>
    <w:p>
      <w:pPr>
        <w:pStyle w:val="Normal"/>
        <w:spacing w:lineRule="auto" w:line="360" w:before="0" w:after="120"/>
        <w:ind w:firstLine="709"/>
        <w:jc w:val="both"/>
        <w:rPr/>
      </w:pPr>
      <w:r>
        <w:rPr>
          <w:rFonts w:eastAsia="Times New Roman" w:cs="Times New Roman"/>
        </w:rPr>
        <w:t>La citoyenneté comporte en effet trois dimensions : une dimension cognitive, relative aux connaissances ; une dimension socioémotionnelle, relative aux attitudes et aux valeurs ; et une dimension comportementale, relative à l’action et à la participation. Une évaluation pertinente doit couvrir ces trois dimensions. Elle ne peut, par conséquent, se réduire aux contrôles écrits traditionnels, mais doit inclure l’observation des comportements, l’analyse des productions des apprenants, les entretiens, les débats, les mises en situation et l’autoévaluation.</w:t>
      </w:r>
    </w:p>
    <w:p>
      <w:pPr>
        <w:pStyle w:val="Heading2"/>
        <w:rPr/>
      </w:pPr>
      <w:bookmarkStart w:id="87" w:name="__RefHeading___Toc49472_3411847120"/>
      <w:bookmarkEnd w:id="87"/>
      <w:r>
        <w:rPr>
          <w:rFonts w:eastAsia="Times New Roman" w:cs="Times New Roman" w:ascii="Times New Roman" w:hAnsi="Times New Roman"/>
        </w:rPr>
        <w:t>5.2. Difficultés liées à l’évaluation de l’ECM</w:t>
      </w:r>
    </w:p>
    <w:p>
      <w:pPr>
        <w:pStyle w:val="Normal"/>
        <w:spacing w:lineRule="auto" w:line="360" w:before="0" w:after="120"/>
        <w:jc w:val="both"/>
        <w:rPr/>
      </w:pPr>
      <w:r>
        <w:rPr>
          <w:rFonts w:eastAsia="Times New Roman" w:cs="Times New Roman"/>
        </w:rPr>
        <w:t>Les principales difficultés rencontrées par les formateurs dans l’évaluation des compétences citoyennes sont les suivantes :</w:t>
      </w:r>
    </w:p>
    <w:p>
      <w:pPr>
        <w:pStyle w:val="ListParagraph"/>
        <w:numPr>
          <w:ilvl w:val="0"/>
          <w:numId w:val="155"/>
        </w:numPr>
        <w:spacing w:lineRule="auto" w:line="360" w:before="0" w:after="40"/>
        <w:jc w:val="both"/>
        <w:rPr/>
      </w:pPr>
      <w:r>
        <w:rPr>
          <w:rFonts w:eastAsia="Times New Roman" w:cs="Times New Roman"/>
        </w:rPr>
        <w:t>l’absence de temps spécifiquement alloué à l’évaluation en ECM ;</w:t>
      </w:r>
    </w:p>
    <w:p>
      <w:pPr>
        <w:pStyle w:val="ListParagraph"/>
        <w:numPr>
          <w:ilvl w:val="0"/>
          <w:numId w:val="156"/>
        </w:numPr>
        <w:spacing w:lineRule="auto" w:line="360" w:before="0" w:after="40"/>
        <w:jc w:val="both"/>
        <w:rPr/>
      </w:pPr>
      <w:r>
        <w:rPr>
          <w:rFonts w:eastAsia="Times New Roman" w:cs="Times New Roman"/>
        </w:rPr>
        <w:t>l’intégration des items d’ECM dans l’épreuve de sciences humaines ;</w:t>
      </w:r>
    </w:p>
    <w:p>
      <w:pPr>
        <w:pStyle w:val="ListParagraph"/>
        <w:numPr>
          <w:ilvl w:val="0"/>
          <w:numId w:val="157"/>
        </w:numPr>
        <w:spacing w:lineRule="auto" w:line="360" w:before="0" w:after="40"/>
        <w:jc w:val="both"/>
        <w:rPr/>
      </w:pPr>
      <w:r>
        <w:rPr>
          <w:rFonts w:eastAsia="Times New Roman" w:cs="Times New Roman"/>
        </w:rPr>
        <w:t>une évaluation trop centrée sur les connaissances théoriques ;</w:t>
      </w:r>
    </w:p>
    <w:p>
      <w:pPr>
        <w:pStyle w:val="ListParagraph"/>
        <w:numPr>
          <w:ilvl w:val="0"/>
          <w:numId w:val="158"/>
        </w:numPr>
        <w:spacing w:lineRule="auto" w:line="360" w:before="0" w:after="40"/>
        <w:jc w:val="both"/>
        <w:rPr/>
      </w:pPr>
      <w:r>
        <w:rPr>
          <w:rFonts w:eastAsia="Times New Roman" w:cs="Times New Roman"/>
        </w:rPr>
        <w:t>la subjectivité : l’évaluation des attitudes et des comportements repose souvent sur des jugements difficiles à objectiver ;</w:t>
      </w:r>
    </w:p>
    <w:p>
      <w:pPr>
        <w:pStyle w:val="ListParagraph"/>
        <w:numPr>
          <w:ilvl w:val="0"/>
          <w:numId w:val="159"/>
        </w:numPr>
        <w:spacing w:lineRule="auto" w:line="360" w:before="0" w:after="40"/>
        <w:jc w:val="both"/>
        <w:rPr/>
      </w:pPr>
      <w:r>
        <w:rPr>
          <w:rFonts w:eastAsia="Times New Roman" w:cs="Times New Roman"/>
        </w:rPr>
        <w:t>le manque d’outils adaptés : grilles d’observation et critères d’évaluation ne sont pas toujours disponibles ;</w:t>
      </w:r>
    </w:p>
    <w:p>
      <w:pPr>
        <w:pStyle w:val="ListParagraph"/>
        <w:numPr>
          <w:ilvl w:val="0"/>
          <w:numId w:val="160"/>
        </w:numPr>
        <w:spacing w:lineRule="auto" w:line="360" w:before="0" w:after="40"/>
        <w:jc w:val="both"/>
        <w:rPr/>
      </w:pPr>
      <w:r>
        <w:rPr>
          <w:rFonts w:eastAsia="Times New Roman" w:cs="Times New Roman"/>
        </w:rPr>
        <w:t>les contraintes de temps et d’effectifs ;</w:t>
      </w:r>
    </w:p>
    <w:p>
      <w:pPr>
        <w:pStyle w:val="ListParagraph"/>
        <w:numPr>
          <w:ilvl w:val="0"/>
          <w:numId w:val="161"/>
        </w:numPr>
        <w:spacing w:lineRule="auto" w:line="360" w:before="0" w:after="40"/>
        <w:jc w:val="both"/>
        <w:rPr/>
      </w:pPr>
      <w:r>
        <w:rPr>
          <w:rFonts w:eastAsia="Times New Roman" w:cs="Times New Roman"/>
        </w:rPr>
        <w:t>la formation insuffisante des enseignants aux techniques d’évaluation des compétences non cognitives ;</w:t>
      </w:r>
    </w:p>
    <w:p>
      <w:pPr>
        <w:pStyle w:val="ListParagraph"/>
        <w:numPr>
          <w:ilvl w:val="0"/>
          <w:numId w:val="162"/>
        </w:numPr>
        <w:spacing w:lineRule="auto" w:line="360" w:before="0" w:after="120"/>
        <w:jc w:val="both"/>
        <w:rPr/>
      </w:pPr>
      <w:r>
        <w:rPr>
          <w:rFonts w:eastAsia="Times New Roman" w:cs="Times New Roman"/>
        </w:rPr>
        <w:t>la pression des examens sommatifs, qui tend à marginaliser l’évaluation formative, pourtant essentielle en ECM.</w:t>
      </w:r>
    </w:p>
    <w:p>
      <w:pPr>
        <w:pStyle w:val="Heading2"/>
        <w:rPr/>
      </w:pPr>
      <w:bookmarkStart w:id="88" w:name="__RefHeading___Toc49474_3411847120"/>
      <w:bookmarkEnd w:id="88"/>
      <w:r>
        <w:rPr>
          <w:rFonts w:eastAsia="Times New Roman" w:cs="Times New Roman" w:ascii="Times New Roman" w:hAnsi="Times New Roman"/>
        </w:rPr>
        <w:t>5.3. Propositions de techniques et d’outils d’évaluation</w:t>
      </w:r>
    </w:p>
    <w:p>
      <w:pPr>
        <w:pStyle w:val="Normal"/>
        <w:spacing w:lineRule="auto" w:line="360" w:before="0" w:after="120"/>
        <w:ind w:firstLine="709"/>
        <w:jc w:val="both"/>
        <w:rPr/>
      </w:pPr>
      <w:r>
        <w:rPr>
          <w:rFonts w:eastAsia="Times New Roman" w:cs="Times New Roman"/>
        </w:rPr>
        <w:t>Pour améliorer l’évaluation des compétences citoyennes en ECM, nous proposons les techniques et outils suivants, regroupés en quatre axes.</w:t>
      </w:r>
    </w:p>
    <w:p>
      <w:pPr>
        <w:pStyle w:val="Normal"/>
        <w:keepNext w:val="true"/>
        <w:spacing w:lineRule="auto" w:line="360" w:before="0" w:after="120"/>
        <w:jc w:val="both"/>
        <w:rPr/>
      </w:pPr>
      <w:r>
        <w:rPr>
          <w:rFonts w:eastAsia="Times New Roman" w:cs="Times New Roman"/>
          <w:b/>
          <w:bCs/>
        </w:rPr>
        <w:t>Axe 1 : diversifier les techniques d’évaluation</w:t>
      </w:r>
    </w:p>
    <w:p>
      <w:pPr>
        <w:pStyle w:val="ListParagraph"/>
        <w:numPr>
          <w:ilvl w:val="0"/>
          <w:numId w:val="163"/>
        </w:numPr>
        <w:spacing w:lineRule="auto" w:line="360" w:before="0" w:after="40"/>
        <w:jc w:val="both"/>
        <w:rPr/>
      </w:pPr>
      <w:r>
        <w:rPr>
          <w:rFonts w:eastAsia="Times New Roman" w:cs="Times New Roman"/>
          <w:b/>
          <w:bCs/>
        </w:rPr>
        <w:t>l’observation systématique</w:t>
      </w:r>
      <w:r>
        <w:rPr>
          <w:rFonts w:eastAsia="Times New Roman" w:cs="Times New Roman"/>
        </w:rPr>
        <w:t>, au moyen de grilles permettant de suivre les comportements citoyens en classe, dans la cour ou lors d’activités communautaires ;</w:t>
      </w:r>
    </w:p>
    <w:p>
      <w:pPr>
        <w:pStyle w:val="ListParagraph"/>
        <w:numPr>
          <w:ilvl w:val="0"/>
          <w:numId w:val="164"/>
        </w:numPr>
        <w:spacing w:lineRule="auto" w:line="360" w:before="0" w:after="40"/>
        <w:jc w:val="both"/>
        <w:rPr/>
      </w:pPr>
      <w:r>
        <w:rPr>
          <w:rFonts w:eastAsia="Times New Roman" w:cs="Times New Roman"/>
          <w:b/>
          <w:bCs/>
        </w:rPr>
        <w:t>les mises en situation</w:t>
      </w:r>
      <w:r>
        <w:rPr>
          <w:rFonts w:eastAsia="Times New Roman" w:cs="Times New Roman"/>
        </w:rPr>
        <w:t>, débats évaluatifs et études de cas, pour apprécier la capacité des élèves-professeurs à argumenter, à coopérer et à résoudre des problèmes citoyens ;</w:t>
      </w:r>
    </w:p>
    <w:p>
      <w:pPr>
        <w:pStyle w:val="ListParagraph"/>
        <w:numPr>
          <w:ilvl w:val="0"/>
          <w:numId w:val="165"/>
        </w:numPr>
        <w:spacing w:lineRule="auto" w:line="360" w:before="0" w:after="40"/>
        <w:jc w:val="both"/>
        <w:rPr/>
      </w:pPr>
      <w:r>
        <w:rPr>
          <w:rFonts w:eastAsia="Times New Roman" w:cs="Times New Roman"/>
          <w:b/>
          <w:bCs/>
        </w:rPr>
        <w:t>les jeux de rôle et simulations</w:t>
      </w:r>
      <w:r>
        <w:rPr>
          <w:rFonts w:eastAsia="Times New Roman" w:cs="Times New Roman"/>
        </w:rPr>
        <w:t>, pour évaluer la capacité à résoudre des conflits, à débattre et à prendre des décisions collectives ;</w:t>
      </w:r>
    </w:p>
    <w:p>
      <w:pPr>
        <w:pStyle w:val="ListParagraph"/>
        <w:numPr>
          <w:ilvl w:val="0"/>
          <w:numId w:val="166"/>
        </w:numPr>
        <w:spacing w:lineRule="auto" w:line="360" w:before="0" w:after="40"/>
        <w:jc w:val="both"/>
        <w:rPr/>
      </w:pPr>
      <w:r>
        <w:rPr>
          <w:rFonts w:eastAsia="Times New Roman" w:cs="Times New Roman"/>
          <w:b/>
          <w:bCs/>
        </w:rPr>
        <w:t>les projets et microprojets</w:t>
      </w:r>
      <w:r>
        <w:rPr>
          <w:rFonts w:eastAsia="Times New Roman" w:cs="Times New Roman"/>
        </w:rPr>
        <w:t>, pour évaluer l’engagement concret dans des actions citoyennes (entretien du matériel scolaire, campagnes de sensibilisation) ;</w:t>
      </w:r>
    </w:p>
    <w:p>
      <w:pPr>
        <w:pStyle w:val="ListParagraph"/>
        <w:numPr>
          <w:ilvl w:val="0"/>
          <w:numId w:val="167"/>
        </w:numPr>
        <w:spacing w:lineRule="auto" w:line="360" w:before="0" w:after="40"/>
        <w:jc w:val="both"/>
        <w:rPr/>
      </w:pPr>
      <w:r>
        <w:rPr>
          <w:rFonts w:eastAsia="Times New Roman" w:cs="Times New Roman"/>
          <w:b/>
          <w:bCs/>
        </w:rPr>
        <w:t>les travaux de groupe et exposés</w:t>
      </w:r>
      <w:r>
        <w:rPr>
          <w:rFonts w:eastAsia="Times New Roman" w:cs="Times New Roman"/>
        </w:rPr>
        <w:t>, pour évaluer la collaboration, la prise de parole et l’argumentation ;</w:t>
      </w:r>
    </w:p>
    <w:p>
      <w:pPr>
        <w:pStyle w:val="ListParagraph"/>
        <w:numPr>
          <w:ilvl w:val="0"/>
          <w:numId w:val="168"/>
        </w:numPr>
        <w:spacing w:lineRule="auto" w:line="360" w:before="0" w:after="40"/>
        <w:jc w:val="both"/>
        <w:rPr/>
      </w:pPr>
      <w:r>
        <w:rPr>
          <w:rFonts w:eastAsia="Times New Roman" w:cs="Times New Roman"/>
          <w:b/>
          <w:bCs/>
        </w:rPr>
        <w:t>les comptes rendus écrits et oraux</w:t>
      </w:r>
      <w:r>
        <w:rPr>
          <w:rFonts w:eastAsia="Times New Roman" w:cs="Times New Roman"/>
        </w:rPr>
        <w:t>, pour évaluer la réflexion personnelle et la capacité de synthèse ;</w:t>
      </w:r>
    </w:p>
    <w:p>
      <w:pPr>
        <w:pStyle w:val="ListParagraph"/>
        <w:numPr>
          <w:ilvl w:val="0"/>
          <w:numId w:val="169"/>
        </w:numPr>
        <w:spacing w:lineRule="auto" w:line="360" w:before="0" w:after="120"/>
        <w:jc w:val="both"/>
        <w:rPr/>
      </w:pPr>
      <w:r>
        <w:rPr>
          <w:rFonts w:eastAsia="Times New Roman" w:cs="Times New Roman"/>
          <w:b/>
          <w:bCs/>
        </w:rPr>
        <w:t>l’alternance des types d’évaluation</w:t>
      </w:r>
      <w:r>
        <w:rPr>
          <w:rFonts w:eastAsia="Times New Roman" w:cs="Times New Roman"/>
        </w:rPr>
        <w:t> : évaluations écrites (savoirs), orales (débats) et pratiques (actions citoyennes).</w:t>
      </w:r>
    </w:p>
    <w:p>
      <w:pPr>
        <w:pStyle w:val="Normal"/>
        <w:keepNext w:val="true"/>
        <w:spacing w:lineRule="auto" w:line="360" w:before="0" w:after="120"/>
        <w:jc w:val="both"/>
        <w:rPr/>
      </w:pPr>
      <w:r>
        <w:rPr>
          <w:rFonts w:eastAsia="Times New Roman" w:cs="Times New Roman"/>
          <w:b/>
          <w:bCs/>
        </w:rPr>
        <w:t>Axe 2 : ancrer l’évaluation dans des situations réelles</w:t>
      </w:r>
    </w:p>
    <w:p>
      <w:pPr>
        <w:pStyle w:val="ListParagraph"/>
        <w:numPr>
          <w:ilvl w:val="0"/>
          <w:numId w:val="170"/>
        </w:numPr>
        <w:spacing w:lineRule="auto" w:line="360" w:before="0" w:after="40"/>
        <w:jc w:val="both"/>
        <w:rPr/>
      </w:pPr>
      <w:r>
        <w:rPr>
          <w:rFonts w:eastAsia="Times New Roman" w:cs="Times New Roman"/>
        </w:rPr>
        <w:t>intégrer, lors des stages, l’observation des comportements citoyens en contexte réel : respect, engagement, sens des responsabilités ;</w:t>
      </w:r>
    </w:p>
    <w:p>
      <w:pPr>
        <w:pStyle w:val="ListParagraph"/>
        <w:numPr>
          <w:ilvl w:val="0"/>
          <w:numId w:val="171"/>
        </w:numPr>
        <w:spacing w:lineRule="auto" w:line="360" w:before="0" w:after="40"/>
        <w:jc w:val="both"/>
        <w:rPr/>
      </w:pPr>
      <w:r>
        <w:rPr>
          <w:rFonts w:eastAsia="Times New Roman" w:cs="Times New Roman"/>
        </w:rPr>
        <w:t>ancrer l’évaluation dans le contexte local et le vécu des élèves-professeurs, en les encourageant à prendre des initiatives citoyennes (actions de solidarité, projets environnementaux) intégrées comme objets d’évaluation et de reconnaissance ;</w:t>
      </w:r>
    </w:p>
    <w:p>
      <w:pPr>
        <w:pStyle w:val="ListParagraph"/>
        <w:numPr>
          <w:ilvl w:val="0"/>
          <w:numId w:val="172"/>
        </w:numPr>
        <w:spacing w:lineRule="auto" w:line="360" w:before="0" w:after="40"/>
        <w:jc w:val="both"/>
        <w:rPr/>
      </w:pPr>
      <w:r>
        <w:rPr>
          <w:rFonts w:eastAsia="Times New Roman" w:cs="Times New Roman"/>
        </w:rPr>
        <w:t>placer les élèves-professeurs dans des situations réelles d’interaction et les faire participer à des activités collectives d’intérêt commun ;</w:t>
      </w:r>
    </w:p>
    <w:p>
      <w:pPr>
        <w:pStyle w:val="ListParagraph"/>
        <w:numPr>
          <w:ilvl w:val="0"/>
          <w:numId w:val="173"/>
        </w:numPr>
        <w:spacing w:lineRule="auto" w:line="360" w:before="0" w:after="120"/>
        <w:jc w:val="both"/>
        <w:rPr/>
      </w:pPr>
      <w:r>
        <w:rPr>
          <w:rFonts w:eastAsia="Times New Roman" w:cs="Times New Roman"/>
        </w:rPr>
        <w:t>aligner l’évaluation sur l’APC en concevant des situations complexes mobilisant simultanément plusieurs compétences citoyennes (par exemple, organiser une campagne de sensibilisation sur un enjeu local).</w:t>
      </w:r>
    </w:p>
    <w:p>
      <w:pPr>
        <w:pStyle w:val="Normal"/>
        <w:keepNext w:val="true"/>
        <w:spacing w:lineRule="auto" w:line="360" w:before="0" w:after="120"/>
        <w:jc w:val="both"/>
        <w:rPr/>
      </w:pPr>
      <w:r>
        <w:rPr>
          <w:rFonts w:eastAsia="Times New Roman" w:cs="Times New Roman"/>
          <w:b/>
          <w:bCs/>
        </w:rPr>
        <w:t>Axe 3 : renforcer l’évaluation formative et la participation des apprenants</w:t>
      </w:r>
    </w:p>
    <w:p>
      <w:pPr>
        <w:pStyle w:val="ListParagraph"/>
        <w:numPr>
          <w:ilvl w:val="0"/>
          <w:numId w:val="174"/>
        </w:numPr>
        <w:spacing w:lineRule="auto" w:line="360" w:before="0" w:after="40"/>
        <w:jc w:val="both"/>
        <w:rPr/>
      </w:pPr>
      <w:r>
        <w:rPr>
          <w:rFonts w:eastAsia="Times New Roman" w:cs="Times New Roman"/>
        </w:rPr>
        <w:t xml:space="preserve">instaurer un </w:t>
      </w:r>
      <w:r>
        <w:rPr>
          <w:rFonts w:eastAsia="Times New Roman" w:cs="Times New Roman"/>
          <w:b/>
          <w:bCs/>
        </w:rPr>
        <w:t>portfolio citoyen</w:t>
      </w:r>
      <w:r>
        <w:rPr>
          <w:rFonts w:eastAsia="Times New Roman" w:cs="Times New Roman"/>
        </w:rPr>
        <w:t xml:space="preserve"> dans lequel chaque élève-professeur consigne ses engagements, ses réflexions, ses projets, des traces de ses actions de sensibilisation et ses progrès tout au long de la formation ; cet outil offre une vision globale et dynamique de son développement citoyen et rend possible une évaluation réflexive ;</w:t>
      </w:r>
    </w:p>
    <w:p>
      <w:pPr>
        <w:pStyle w:val="ListParagraph"/>
        <w:numPr>
          <w:ilvl w:val="0"/>
          <w:numId w:val="175"/>
        </w:numPr>
        <w:spacing w:lineRule="auto" w:line="360" w:before="0" w:after="40"/>
        <w:jc w:val="both"/>
        <w:rPr/>
      </w:pPr>
      <w:r>
        <w:rPr>
          <w:rFonts w:eastAsia="Times New Roman" w:cs="Times New Roman"/>
        </w:rPr>
        <w:t>associer les élèves-professeurs à l’évaluation, notamment par l’évaluation par les pairs lors des débats et par l’autoévaluation ;</w:t>
      </w:r>
    </w:p>
    <w:p>
      <w:pPr>
        <w:pStyle w:val="ListParagraph"/>
        <w:numPr>
          <w:ilvl w:val="0"/>
          <w:numId w:val="176"/>
        </w:numPr>
        <w:spacing w:lineRule="auto" w:line="360" w:before="0" w:after="120"/>
        <w:jc w:val="both"/>
        <w:rPr/>
      </w:pPr>
      <w:r>
        <w:rPr>
          <w:rFonts w:eastAsia="Times New Roman" w:cs="Times New Roman"/>
        </w:rPr>
        <w:t>privilégier une rétroaction constructive et régulière.</w:t>
      </w:r>
    </w:p>
    <w:p>
      <w:pPr>
        <w:pStyle w:val="Normal"/>
        <w:keepNext w:val="true"/>
        <w:spacing w:lineRule="auto" w:line="360" w:before="0" w:after="120"/>
        <w:jc w:val="both"/>
        <w:rPr/>
      </w:pPr>
      <w:r>
        <w:rPr>
          <w:rFonts w:eastAsia="Times New Roman" w:cs="Times New Roman"/>
          <w:b/>
          <w:bCs/>
        </w:rPr>
        <w:t>Axe 4 : renforcer les capacités des formateurs</w:t>
      </w:r>
    </w:p>
    <w:p>
      <w:pPr>
        <w:pStyle w:val="ListParagraph"/>
        <w:numPr>
          <w:ilvl w:val="0"/>
          <w:numId w:val="177"/>
        </w:numPr>
        <w:spacing w:lineRule="auto" w:line="360" w:before="0" w:after="40"/>
        <w:jc w:val="both"/>
        <w:rPr/>
      </w:pPr>
      <w:r>
        <w:rPr>
          <w:rFonts w:eastAsia="Times New Roman" w:cs="Times New Roman"/>
        </w:rPr>
        <w:t>organiser des ateliers de formation continue sur les techniques d’évaluation en éducation sociale : usage des grilles d’observation, évaluation de projets, conduite de débats évaluatifs ;</w:t>
      </w:r>
    </w:p>
    <w:p>
      <w:pPr>
        <w:pStyle w:val="ListParagraph"/>
        <w:numPr>
          <w:ilvl w:val="0"/>
          <w:numId w:val="178"/>
        </w:numPr>
        <w:spacing w:lineRule="auto" w:line="360" w:before="0" w:after="120"/>
        <w:jc w:val="both"/>
        <w:rPr/>
      </w:pPr>
      <w:r>
        <w:rPr>
          <w:rFonts w:eastAsia="Times New Roman" w:cs="Times New Roman"/>
        </w:rPr>
        <w:t>intégrer un module sur l’évaluation en éducation sociale dans les plans de formation initiale et continue, avec un accent particulier sur les compétences transversales et citoyennes.</w:t>
      </w:r>
    </w:p>
    <w:p>
      <w:pPr>
        <w:pStyle w:val="Normal"/>
        <w:spacing w:lineRule="auto" w:line="360" w:before="0" w:after="120"/>
        <w:ind w:firstLine="709"/>
        <w:jc w:val="both"/>
        <w:rPr/>
      </w:pPr>
      <w:r>
        <w:rPr>
          <w:rFonts w:eastAsia="Times New Roman" w:cs="Times New Roman"/>
        </w:rPr>
        <w:t>À titre d’illustration, le tableau 25 propose une grille d’observation des comportements citoyens, utilisable en classe, lors des activités collectives ou en stage.</w:t>
      </w:r>
    </w:p>
    <w:p>
      <w:pPr>
        <w:pStyle w:val="Caption"/>
        <w:keepNext w:val="true"/>
        <w:spacing w:lineRule="auto" w:line="240" w:before="200" w:after="100"/>
        <w:jc w:val="center"/>
        <w:rPr/>
      </w:pPr>
      <w:r>
        <w:rPr>
          <w:rFonts w:eastAsia="Times New Roman" w:cs="Times New Roman"/>
          <w:b/>
          <w:bCs/>
          <w:sz w:val="22"/>
          <w:szCs w:val="22"/>
        </w:rPr>
        <w:t xml:space="preserve">Tableau </w:t>
      </w:r>
      <w:r>
        <w:rPr>
          <w:rFonts w:cs="Times New Roman"/>
          <w:b/>
          <w:bCs/>
          <w:sz w:val="22"/>
          <w:szCs w:val="22"/>
        </w:rPr>
        <w:fldChar w:fldCharType="begin"/>
      </w:r>
      <w:r>
        <w:rPr>
          <w:sz w:val="22"/>
          <w:b/>
          <w:szCs w:val="22"/>
          <w:bCs/>
          <w:rFonts w:cs="Times New Roman"/>
        </w:rPr>
        <w:instrText xml:space="preserve"> SEQ Tableau \* ARABIC </w:instrText>
      </w:r>
      <w:r>
        <w:rPr>
          <w:sz w:val="22"/>
          <w:b/>
          <w:szCs w:val="22"/>
          <w:bCs/>
          <w:rFonts w:cs="Times New Roman"/>
        </w:rPr>
        <w:fldChar w:fldCharType="separate"/>
      </w:r>
      <w:r>
        <w:rPr>
          <w:sz w:val="22"/>
          <w:b/>
          <w:szCs w:val="22"/>
          <w:bCs/>
          <w:rFonts w:cs="Times New Roman"/>
        </w:rPr>
        <w:t>25</w:t>
      </w:r>
      <w:r>
        <w:rPr>
          <w:sz w:val="22"/>
          <w:b/>
          <w:szCs w:val="22"/>
          <w:bCs/>
          <w:rFonts w:cs="Times New Roman"/>
        </w:rPr>
        <w:fldChar w:fldCharType="end"/>
      </w:r>
      <w:r>
        <w:rPr>
          <w:rFonts w:eastAsia="Times New Roman" w:cs="Times New Roman"/>
          <w:b/>
          <w:bCs/>
          <w:sz w:val="22"/>
          <w:szCs w:val="22"/>
        </w:rPr>
        <w:t xml:space="preserve"> : </w:t>
      </w:r>
      <w:r>
        <w:rPr>
          <w:rFonts w:eastAsia="Times New Roman" w:cs="Times New Roman"/>
          <w:sz w:val="22"/>
          <w:szCs w:val="22"/>
        </w:rPr>
        <w:t>Proposition de grille d’observation des comportements citoyens des élèves-professeurs</w:t>
      </w:r>
    </w:p>
    <w:tbl>
      <w:tblPr>
        <w:tblW w:w="9072" w:type="dxa"/>
        <w:jc w:val="center"/>
        <w:tblInd w:w="0" w:type="dxa"/>
        <w:tblLayout w:type="fixed"/>
        <w:tblCellMar>
          <w:top w:w="40" w:type="dxa"/>
          <w:left w:w="60" w:type="dxa"/>
          <w:bottom w:w="40" w:type="dxa"/>
          <w:right w:w="60" w:type="dxa"/>
        </w:tblCellMar>
      </w:tblPr>
      <w:tblGrid>
        <w:gridCol w:w="2381"/>
        <w:gridCol w:w="4706"/>
        <w:gridCol w:w="1985"/>
      </w:tblGrid>
      <w:tr>
        <w:trPr>
          <w:tblHeader w:val="true"/>
          <w:cantSplit w:val="true"/>
        </w:trPr>
        <w:tc>
          <w:tcPr>
            <w:tcW w:w="238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Critère</w:t>
            </w:r>
          </w:p>
        </w:tc>
        <w:tc>
          <w:tcPr>
            <w:tcW w:w="470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Indicateurs observables</w:t>
            </w:r>
          </w:p>
        </w:tc>
        <w:tc>
          <w:tcPr>
            <w:tcW w:w="1985"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Niveau (1 à 4)</w:t>
            </w:r>
          </w:p>
        </w:tc>
      </w:tr>
      <w:tr>
        <w:trPr>
          <w:cantSplit w:val="true"/>
        </w:trPr>
        <w:tc>
          <w:tcPr>
            <w:tcW w:w="23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Respect des règles de vie collective</w:t>
            </w:r>
          </w:p>
        </w:tc>
        <w:tc>
          <w:tcPr>
            <w:tcW w:w="470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Respecte les consignes et le règlement ; est ponctuel ; prend soin du matériel commun</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 – 2 – 3 – 4</w:t>
            </w:r>
          </w:p>
        </w:tc>
      </w:tr>
      <w:tr>
        <w:trPr>
          <w:cantSplit w:val="true"/>
        </w:trPr>
        <w:tc>
          <w:tcPr>
            <w:tcW w:w="23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Coopération</w:t>
            </w:r>
          </w:p>
        </w:tc>
        <w:tc>
          <w:tcPr>
            <w:tcW w:w="470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Partage les tâches ; aide ses pairs ; contribue activement au travail du groupe</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 – 2 – 3 – 4</w:t>
            </w:r>
          </w:p>
        </w:tc>
      </w:tr>
      <w:tr>
        <w:trPr>
          <w:cantSplit w:val="true"/>
        </w:trPr>
        <w:tc>
          <w:tcPr>
            <w:tcW w:w="23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Participation et engagement</w:t>
            </w:r>
          </w:p>
        </w:tc>
        <w:tc>
          <w:tcPr>
            <w:tcW w:w="470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Prend la parole à bon escient ; propose des initiatives ; s’implique dans les actions collectives</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 – 2 – 3 – 4</w:t>
            </w:r>
          </w:p>
        </w:tc>
      </w:tr>
      <w:tr>
        <w:trPr>
          <w:cantSplit w:val="true"/>
        </w:trPr>
        <w:tc>
          <w:tcPr>
            <w:tcW w:w="23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Respect d’autrui et tolérance</w:t>
            </w:r>
          </w:p>
        </w:tc>
        <w:tc>
          <w:tcPr>
            <w:tcW w:w="470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Écoute les autres ; accepte les opinions divergentes ; règle pacifiquement les désaccords</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 – 2 – 3 – 4</w:t>
            </w:r>
          </w:p>
        </w:tc>
      </w:tr>
      <w:tr>
        <w:trPr>
          <w:cantSplit w:val="true"/>
        </w:trPr>
        <w:tc>
          <w:tcPr>
            <w:tcW w:w="238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Sens des responsabilités</w:t>
            </w:r>
          </w:p>
        </w:tc>
        <w:tc>
          <w:tcPr>
            <w:tcW w:w="470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Assume les rôles confiés ; tient ses engagements ; reconnaît ses erreurs</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 – 2 – 3 – 4</w:t>
            </w:r>
          </w:p>
        </w:tc>
      </w:tr>
    </w:tbl>
    <w:p>
      <w:pPr>
        <w:pStyle w:val="Normal"/>
        <w:spacing w:lineRule="auto" w:line="240" w:before="60" w:after="0"/>
        <w:jc w:val="left"/>
        <w:rPr/>
      </w:pPr>
      <w:r>
        <w:rPr>
          <w:rFonts w:eastAsia="Times New Roman" w:cs="Times New Roman"/>
          <w:sz w:val="20"/>
          <w:szCs w:val="20"/>
        </w:rPr>
        <w:t>Note. 1 = comportement non observé ; 2 = rarement observé ; 3 = souvent observé ; 4 = observé de façon constante.</w:t>
      </w:r>
    </w:p>
    <w:p>
      <w:pPr>
        <w:pStyle w:val="Normal"/>
        <w:spacing w:lineRule="auto" w:line="240" w:before="60" w:after="240"/>
        <w:jc w:val="left"/>
        <w:rPr/>
      </w:pPr>
      <w:r>
        <w:rPr>
          <w:rFonts w:eastAsia="Times New Roman" w:cs="Times New Roman"/>
          <w:i/>
          <w:iCs/>
          <w:sz w:val="22"/>
          <w:szCs w:val="22"/>
        </w:rPr>
        <w:t>Source : Notre proposition, inspirée d’Osler et Starkey (2005) et de Tardif (2006).</w:t>
      </w:r>
    </w:p>
    <w:p>
      <w:pPr>
        <w:pStyle w:val="Normal"/>
        <w:spacing w:lineRule="auto" w:line="360" w:before="0" w:after="120"/>
        <w:ind w:firstLine="709"/>
        <w:jc w:val="both"/>
        <w:rPr/>
      </w:pPr>
      <w:r>
        <w:rPr>
          <w:rFonts w:eastAsia="Times New Roman" w:cs="Times New Roman"/>
        </w:rPr>
        <w:t>Ces propositions s’inscrivent dans l’approche intégrée préconisée par le guide pédagogique, qui implique non seulement l’école, mais aussi la famille et la communauté. Elles peuvent s’appuyer sur les ressources déjà produites par le ministère de l’Éducation nationale en partenariat avec l’UNESCO et l’IFADEM : guides et modules de formation en ECM comportant des propositions d’outils d’évaluation (grilles, portfolios, situations d’apprentissage).</w:t>
      </w:r>
    </w:p>
    <w:p>
      <w:pPr>
        <w:pStyle w:val="Heading2"/>
        <w:rPr/>
      </w:pPr>
      <w:bookmarkStart w:id="89" w:name="__RefHeading___Toc49476_3411847120"/>
      <w:bookmarkEnd w:id="89"/>
      <w:r>
        <w:rPr>
          <w:rFonts w:eastAsia="Times New Roman" w:cs="Times New Roman" w:ascii="Times New Roman" w:hAnsi="Times New Roman"/>
        </w:rPr>
        <w:t>5.4. Recommandations</w:t>
      </w:r>
    </w:p>
    <w:p>
      <w:pPr>
        <w:pStyle w:val="Normal"/>
        <w:spacing w:lineRule="auto" w:line="360" w:before="0" w:after="120"/>
        <w:ind w:firstLine="709"/>
        <w:jc w:val="both"/>
        <w:rPr/>
      </w:pPr>
      <w:r>
        <w:rPr>
          <w:rFonts w:eastAsia="Times New Roman" w:cs="Times New Roman"/>
        </w:rPr>
        <w:t>Au terme de cette étude, il apparaît nécessaire de formuler des recommandations susceptibles d’améliorer la qualité de l’évaluation en ECM, d’en renforcer la cohérence avec l’approche par les compétences et d’accroître sa capacité à mesurer les compétences citoyennes des élèves-professeurs.</w:t>
      </w:r>
    </w:p>
    <w:p>
      <w:pPr>
        <w:pStyle w:val="Normal"/>
        <w:keepNext w:val="true"/>
        <w:spacing w:lineRule="auto" w:line="360" w:before="0" w:after="120"/>
        <w:jc w:val="both"/>
        <w:rPr/>
      </w:pPr>
      <w:r>
        <w:rPr>
          <w:rFonts w:eastAsia="Times New Roman" w:cs="Times New Roman"/>
          <w:b/>
          <w:bCs/>
        </w:rPr>
        <w:t>Au ministère de l’Éducation nationale et aux autorités pédagogiques</w:t>
      </w:r>
    </w:p>
    <w:p>
      <w:pPr>
        <w:pStyle w:val="ListParagraph"/>
        <w:numPr>
          <w:ilvl w:val="0"/>
          <w:numId w:val="179"/>
        </w:numPr>
        <w:spacing w:lineRule="auto" w:line="360" w:before="0" w:after="40"/>
        <w:jc w:val="both"/>
        <w:rPr/>
      </w:pPr>
      <w:r>
        <w:rPr>
          <w:rFonts w:eastAsia="Times New Roman" w:cs="Times New Roman"/>
        </w:rPr>
        <w:t>recruter et former des formateurs spécialistes de l’ECM, afin de rendre son enseignement-évaluation autonome et efficace ;</w:t>
      </w:r>
    </w:p>
    <w:p>
      <w:pPr>
        <w:pStyle w:val="ListParagraph"/>
        <w:numPr>
          <w:ilvl w:val="0"/>
          <w:numId w:val="180"/>
        </w:numPr>
        <w:spacing w:lineRule="auto" w:line="360" w:before="0" w:after="40"/>
        <w:jc w:val="both"/>
        <w:rPr/>
      </w:pPr>
      <w:r>
        <w:rPr>
          <w:rFonts w:eastAsia="Times New Roman" w:cs="Times New Roman"/>
        </w:rPr>
        <w:t>dissocier l’ECM des sciences humaines et en confier l’enseignement à ces spécialistes, qui disposeraient ainsi du temps nécessaire à son enseignement et à une évaluation efficiente ;</w:t>
      </w:r>
    </w:p>
    <w:p>
      <w:pPr>
        <w:pStyle w:val="ListParagraph"/>
        <w:numPr>
          <w:ilvl w:val="0"/>
          <w:numId w:val="181"/>
        </w:numPr>
        <w:spacing w:lineRule="auto" w:line="360" w:before="0" w:after="40"/>
        <w:jc w:val="both"/>
        <w:rPr/>
      </w:pPr>
      <w:r>
        <w:rPr>
          <w:rFonts w:eastAsia="Times New Roman" w:cs="Times New Roman"/>
        </w:rPr>
        <w:t>accorder à l’enseignement-évaluation de l’ECM un volume horaire raisonnable, comparable à celui des autres disciplines, et l’enseigner au cours des quatre semestres de la formation de chaque promotion ;</w:t>
      </w:r>
    </w:p>
    <w:p>
      <w:pPr>
        <w:pStyle w:val="ListParagraph"/>
        <w:numPr>
          <w:ilvl w:val="0"/>
          <w:numId w:val="182"/>
        </w:numPr>
        <w:spacing w:lineRule="auto" w:line="360" w:before="0" w:after="40"/>
        <w:jc w:val="both"/>
        <w:rPr/>
      </w:pPr>
      <w:r>
        <w:rPr>
          <w:rFonts w:eastAsia="Times New Roman" w:cs="Times New Roman"/>
        </w:rPr>
        <w:t>éviter la juxtaposition des promotions, afin que les formateurs disposent du temps nécessaire pour enseigner et évaluer l’ECM dans des conditions optimales ;</w:t>
      </w:r>
    </w:p>
    <w:p>
      <w:pPr>
        <w:pStyle w:val="ListParagraph"/>
        <w:numPr>
          <w:ilvl w:val="0"/>
          <w:numId w:val="183"/>
        </w:numPr>
        <w:spacing w:lineRule="auto" w:line="360" w:before="0" w:after="40"/>
        <w:jc w:val="both"/>
        <w:rPr/>
      </w:pPr>
      <w:r>
        <w:rPr>
          <w:rFonts w:eastAsia="Times New Roman" w:cs="Times New Roman"/>
        </w:rPr>
        <w:t>adapter les curricula de sorte que les objectifs pédagogiques, les activités d’apprentissage et les modalités d’évaluation soient cohérents entre eux ;</w:t>
      </w:r>
    </w:p>
    <w:p>
      <w:pPr>
        <w:pStyle w:val="ListParagraph"/>
        <w:numPr>
          <w:ilvl w:val="0"/>
          <w:numId w:val="184"/>
        </w:numPr>
        <w:spacing w:lineRule="auto" w:line="360" w:before="0" w:after="120"/>
        <w:jc w:val="both"/>
        <w:rPr/>
      </w:pPr>
      <w:r>
        <w:rPr>
          <w:rFonts w:eastAsia="Times New Roman" w:cs="Times New Roman"/>
        </w:rPr>
        <w:t>mettre en place un suivi régulier des pratiques d’évaluation en ECM, afin d’identifier les difficultés des formateurs, d’accompagner l’innovation pédagogique et de vérifier l’adéquation entre les pratiques observées et les finalités de la formation citoyenne.</w:t>
      </w:r>
    </w:p>
    <w:p>
      <w:pPr>
        <w:pStyle w:val="Normal"/>
        <w:keepNext w:val="true"/>
        <w:spacing w:lineRule="auto" w:line="360" w:before="0" w:after="120"/>
        <w:jc w:val="both"/>
        <w:rPr/>
      </w:pPr>
      <w:r>
        <w:rPr>
          <w:rFonts w:eastAsia="Times New Roman" w:cs="Times New Roman"/>
          <w:b/>
          <w:bCs/>
        </w:rPr>
        <w:t>À la direction de l’ENFPE et aux responsables pédagogiques</w:t>
      </w:r>
    </w:p>
    <w:p>
      <w:pPr>
        <w:pStyle w:val="ListParagraph"/>
        <w:numPr>
          <w:ilvl w:val="0"/>
          <w:numId w:val="185"/>
        </w:numPr>
        <w:spacing w:lineRule="auto" w:line="360" w:before="0" w:after="40"/>
        <w:jc w:val="both"/>
        <w:rPr/>
      </w:pPr>
      <w:r>
        <w:rPr>
          <w:rFonts w:eastAsia="Times New Roman" w:cs="Times New Roman"/>
        </w:rPr>
        <w:t>organiser régulièrement des sessions de renforcement des capacités des formateurs en docimologie, en particulier sur l’évaluation formative, l’évaluation des acquis comportementaux et l’élaboration d’instruments critériés et authentiques, alignés sur les compétences citoyennes visées ;</w:t>
      </w:r>
    </w:p>
    <w:p>
      <w:pPr>
        <w:pStyle w:val="ListParagraph"/>
        <w:numPr>
          <w:ilvl w:val="0"/>
          <w:numId w:val="186"/>
        </w:numPr>
        <w:spacing w:lineRule="auto" w:line="360" w:before="0" w:after="40"/>
        <w:jc w:val="both"/>
        <w:rPr/>
      </w:pPr>
      <w:r>
        <w:rPr>
          <w:rFonts w:eastAsia="Times New Roman" w:cs="Times New Roman"/>
        </w:rPr>
        <w:t>encourager la diversification des outils d’évaluation afin de mieux prendre en compte les dimensions cognitive, affective et comportementale de la citoyenneté : au-delà des travaux de groupe et des évaluations écrites ou orales, recourir à l’observation, aux débats, aux projets, aux portfolios citoyens, aux projets communautaires et à l’autoévaluation ;</w:t>
      </w:r>
    </w:p>
    <w:p>
      <w:pPr>
        <w:pStyle w:val="ListParagraph"/>
        <w:numPr>
          <w:ilvl w:val="0"/>
          <w:numId w:val="187"/>
        </w:numPr>
        <w:spacing w:lineRule="auto" w:line="360" w:before="0" w:after="120"/>
        <w:jc w:val="both"/>
        <w:rPr/>
      </w:pPr>
      <w:r>
        <w:rPr>
          <w:rFonts w:eastAsia="Times New Roman" w:cs="Times New Roman"/>
        </w:rPr>
        <w:t>institutionnaliser une culture de l’évaluation continue, qui valorise le processus d’apprentissage autant que le produit final.</w:t>
      </w:r>
    </w:p>
    <w:p>
      <w:pPr>
        <w:pStyle w:val="Normal"/>
        <w:keepNext w:val="true"/>
        <w:spacing w:lineRule="auto" w:line="360" w:before="0" w:after="120"/>
        <w:jc w:val="both"/>
        <w:rPr/>
      </w:pPr>
      <w:r>
        <w:rPr>
          <w:rFonts w:eastAsia="Times New Roman" w:cs="Times New Roman"/>
          <w:b/>
          <w:bCs/>
        </w:rPr>
        <w:t>Aux formateurs</w:t>
      </w:r>
    </w:p>
    <w:p>
      <w:pPr>
        <w:pStyle w:val="ListParagraph"/>
        <w:numPr>
          <w:ilvl w:val="0"/>
          <w:numId w:val="188"/>
        </w:numPr>
        <w:spacing w:lineRule="auto" w:line="360" w:before="0" w:after="40"/>
        <w:jc w:val="both"/>
        <w:rPr/>
      </w:pPr>
      <w:r>
        <w:rPr>
          <w:rFonts w:eastAsia="Times New Roman" w:cs="Times New Roman"/>
        </w:rPr>
        <w:t>intégrer davantage l’évaluation formative, dans l’esprit des recommandations de l’UNESCO (2015), par un suivi continu, des commentaires descriptifs et des occasions de réajustement, afin d’aider les élèves-professeurs à identifier leurs points forts, leurs difficultés et les comportements attendus ;</w:t>
      </w:r>
    </w:p>
    <w:p>
      <w:pPr>
        <w:pStyle w:val="ListParagraph"/>
        <w:numPr>
          <w:ilvl w:val="0"/>
          <w:numId w:val="189"/>
        </w:numPr>
        <w:spacing w:lineRule="auto" w:line="360" w:before="0" w:after="40"/>
        <w:jc w:val="both"/>
        <w:rPr/>
      </w:pPr>
      <w:r>
        <w:rPr>
          <w:rFonts w:eastAsia="Times New Roman" w:cs="Times New Roman"/>
        </w:rPr>
        <w:t>concevoir des situations d’évaluation contextualisées : mises en situation portant sur la vie collective, la résolution des conflits, le respect des règles ou la participation citoyenne ;</w:t>
      </w:r>
    </w:p>
    <w:p>
      <w:pPr>
        <w:pStyle w:val="ListParagraph"/>
        <w:numPr>
          <w:ilvl w:val="0"/>
          <w:numId w:val="190"/>
        </w:numPr>
        <w:spacing w:lineRule="auto" w:line="360" w:before="0" w:after="120"/>
        <w:jc w:val="both"/>
        <w:rPr/>
      </w:pPr>
      <w:r>
        <w:rPr>
          <w:rFonts w:eastAsia="Times New Roman" w:cs="Times New Roman"/>
        </w:rPr>
        <w:t>prendre en compte les attitudes et les comportements, et non les seules connaissances : les compétences citoyennes comportant des dimensions difficiles à quantifier, une appréciation descriptive et qualitative, appuyée sur des outils variés, permet d’observer la participation, le respect d’autrui, la coopération et l’engagement des élèves-professeurs.</w:t>
      </w:r>
    </w:p>
    <w:p>
      <w:pPr>
        <w:pStyle w:val="Normal"/>
        <w:spacing w:lineRule="auto" w:line="360" w:before="0" w:after="120"/>
        <w:ind w:firstLine="709"/>
        <w:jc w:val="both"/>
        <w:rPr/>
      </w:pPr>
      <w:r>
        <w:rPr>
          <w:rFonts w:eastAsia="Times New Roman" w:cs="Times New Roman"/>
        </w:rPr>
        <w:t>En somme, il importe de renforcer la formation des formateurs de sciences humaines à l’évaluation par les compétences et à l’usage de techniques variées, et de privilégier des situations d’évaluation pratiques et concrètes, qui permettent d’apprécier non seulement les connaissances, mais aussi et surtout les attitudes et les comportements citoyens des élèves-professeurs.</w:t>
      </w:r>
    </w:p>
    <w:p>
      <w:pPr>
        <w:pStyle w:val="Heading1"/>
        <w:rPr/>
      </w:pPr>
      <w:bookmarkStart w:id="90" w:name="__RefHeading___Toc49478_3411847120"/>
      <w:bookmarkEnd w:id="90"/>
      <w:r>
        <w:rPr>
          <w:rFonts w:eastAsia="Times New Roman" w:cs="Times New Roman" w:ascii="Times New Roman" w:hAnsi="Times New Roman"/>
        </w:rPr>
        <w:t>CONCLUSION GÉNÉRALE</w:t>
      </w:r>
    </w:p>
    <w:p>
      <w:pPr>
        <w:pStyle w:val="Normal"/>
        <w:spacing w:lineRule="auto" w:line="360" w:before="0" w:after="120"/>
        <w:ind w:firstLine="709"/>
        <w:jc w:val="both"/>
        <w:rPr/>
      </w:pPr>
      <w:r>
        <w:rPr>
          <w:rFonts w:eastAsia="Times New Roman" w:cs="Times New Roman"/>
        </w:rPr>
        <w:t>Au terme de cette recherche, l’analyse des techniques d’évaluation en Éducation civique et morale (ECM) sur la notion de citoyenneté à l’ENFPE de Notsè met en lumière à la fois les forces et les faiblesses des pratiques évaluatives en vigueur. L’étude établit que, malgré une volonté institutionnelle de former des enseignants capables de transmettre les valeurs citoyennes, les techniques d’évaluation mobilisées restent largement centrées sur la vérification des connaissances théoriques, au détriment de l’appréciation des comportements, des attitudes et des compétences pratiques liés à la citoyenneté.</w:t>
      </w:r>
    </w:p>
    <w:p>
      <w:pPr>
        <w:pStyle w:val="Normal"/>
        <w:spacing w:lineRule="auto" w:line="360" w:before="0" w:after="120"/>
        <w:ind w:firstLine="709"/>
        <w:jc w:val="both"/>
        <w:rPr/>
      </w:pPr>
      <w:r>
        <w:rPr>
          <w:rFonts w:eastAsia="Times New Roman" w:cs="Times New Roman"/>
        </w:rPr>
        <w:t>Sur le plan pédagogique, les résultats révèlent que les formateurs recourent principalement à des évaluations sommatives (interrogations écrites, examens), qui mesurent la mémorisation de définitions et de concepts, et rarement à des évaluations formatives ou authentiques (projets, portfolios, observation des comportements), qui permettraient de suivre le développement des compétences citoyennes des élèves-professeurs. Cette situation s’explique notamment par l’insuffisance du temps alloué à l’enseignement-apprentissage-évaluation de l’ECM, par le manque d’outils adaptés et par l’absence de spécialistes de la discipline sur le terrain. La prédominance de l’évaluation sommative limite ainsi la capacité du dispositif à accompagner les apprenants dans l’appropriation progressive des valeurs civiques et morales.</w:t>
      </w:r>
    </w:p>
    <w:p>
      <w:pPr>
        <w:pStyle w:val="Normal"/>
        <w:spacing w:lineRule="auto" w:line="360" w:before="0" w:after="120"/>
        <w:ind w:firstLine="709"/>
        <w:jc w:val="both"/>
        <w:rPr/>
      </w:pPr>
      <w:r>
        <w:rPr>
          <w:rFonts w:eastAsia="Times New Roman" w:cs="Times New Roman"/>
        </w:rPr>
        <w:t>Sur le plan social, cette situation interroge la pertinence de la formation dispensée au regard des attentes de la société togolaise en matière d’éducation citoyenne. Dans un contexte où les défis démocratiques, environnementaux et communautaires exigent des enseignants qu’ils soient eux-mêmes des modèles de citoyenneté active, il devient urgent de repenser les pratiques évaluatives pour qu’elles reflètent mieux la complexité de la notion de citoyenneté. Une évaluation qui ne mesure que le savoir déclaratif, sans observer sa mise en pratique, risque en effet de former des enseignants théoriquement compétents, mais déconnectés des réalités citoyennes du terrain.</w:t>
      </w:r>
    </w:p>
    <w:p>
      <w:pPr>
        <w:pStyle w:val="Normal"/>
        <w:spacing w:lineRule="auto" w:line="360" w:before="0" w:after="120"/>
        <w:ind w:firstLine="709"/>
        <w:jc w:val="both"/>
        <w:rPr/>
      </w:pPr>
      <w:r>
        <w:rPr>
          <w:rFonts w:eastAsia="Times New Roman" w:cs="Times New Roman"/>
        </w:rPr>
        <w:t>Les limites méthodologiques de cette étude — taille restreinte de l’échantillon des formateurs, subjectivité inhérente aux entretiens, impossibilité de généraliser les résultats à l’ensemble des ENFPE du Togo — invitent à interpréter ces conclusions avec prudence. Elles ouvrent néanmoins des pistes de réflexion et d’action : former les formateurs à l’élaboration et à l’usage d’instruments d’évaluation critériés et authentiques ; institutionnaliser une culture de l’évaluation continue ; adapter les curricula afin d’assurer la cohérence entre objectifs, activités d’apprentissage et modalités d’évaluation. Des recherches ultérieures, menées sur un échantillon élargi à plusieurs ENFPE et intégrant une distinction explicite entre évaluation formative et sommative, permettraient de consolider ces résultats.</w:t>
      </w:r>
    </w:p>
    <w:p>
      <w:pPr>
        <w:pStyle w:val="Normal"/>
        <w:spacing w:lineRule="auto" w:line="360" w:before="0" w:after="120"/>
        <w:ind w:firstLine="709"/>
        <w:jc w:val="both"/>
        <w:rPr/>
      </w:pPr>
      <w:r>
        <w:rPr>
          <w:rFonts w:eastAsia="Times New Roman" w:cs="Times New Roman"/>
        </w:rPr>
        <w:t>En définitive, cette recherche contribue à une meilleure compréhension des enjeux de l’évaluation de la citoyenneté dans la formation des enseignants au Togo. Elle appelle une transformation des pratiques évaluatives en ECM, afin qu’elles deviennent de véritables leviers de formation d’enseignants non seulement savants, mais aussi citoyens engagés, capables d’éduquer les générations futures au vivre-ensemble dans le respect des valeurs démocratiques, environnementales et communautaires. En tant que centre de formation des professeurs d’école, l’ENFPE de Notsè a un rôle stratégique à jouer dans cette dynamique de renouvellement pédagogique et social, en cohérence avec le Plan sectoriel de l’éducation (PSE).</w:t>
      </w:r>
    </w:p>
    <w:p>
      <w:pPr>
        <w:pStyle w:val="Heading1"/>
        <w:rPr/>
      </w:pPr>
      <w:bookmarkStart w:id="91" w:name="__RefHeading___Toc49480_3411847120"/>
      <w:bookmarkEnd w:id="91"/>
      <w:r>
        <w:rPr>
          <w:rFonts w:eastAsia="Times New Roman" w:cs="Times New Roman" w:ascii="Times New Roman" w:hAnsi="Times New Roman"/>
        </w:rPr>
        <w:t>RÉFÉRENCES BIBLIOGRAPHIQUES</w:t>
      </w:r>
    </w:p>
    <w:p>
      <w:pPr>
        <w:pStyle w:val="Normal"/>
        <w:spacing w:lineRule="auto" w:line="360" w:before="0" w:after="120"/>
        <w:ind w:hanging="720" w:left="720"/>
        <w:jc w:val="left"/>
        <w:rPr/>
      </w:pPr>
      <w:r>
        <w:rPr>
          <w:rFonts w:eastAsia="Times New Roman" w:cs="Times New Roman"/>
        </w:rPr>
        <w:t xml:space="preserve">Audigier, F. (2000). </w:t>
      </w:r>
      <w:r>
        <w:rPr>
          <w:rFonts w:eastAsia="Times New Roman" w:cs="Times New Roman"/>
          <w:i/>
          <w:iCs/>
        </w:rPr>
        <w:t>Concepts de base et compétences-clés pour l’éducation à la citoyenneté démocratique</w:t>
      </w:r>
      <w:r>
        <w:rPr>
          <w:rFonts w:eastAsia="Times New Roman" w:cs="Times New Roman"/>
        </w:rPr>
        <w:t xml:space="preserve"> (DGIV/EDU/CIT (2000) 23). Conseil de l’Europe.</w:t>
      </w:r>
    </w:p>
    <w:p>
      <w:pPr>
        <w:pStyle w:val="Normal"/>
        <w:spacing w:lineRule="auto" w:line="360" w:before="0" w:after="120"/>
        <w:ind w:hanging="720" w:left="720"/>
        <w:jc w:val="left"/>
        <w:rPr/>
      </w:pPr>
      <w:r>
        <w:rPr>
          <w:rFonts w:eastAsia="Times New Roman" w:cs="Times New Roman"/>
        </w:rPr>
        <w:t xml:space="preserve">Barber, B. R. (1984). </w:t>
      </w:r>
      <w:r>
        <w:rPr>
          <w:rFonts w:eastAsia="Times New Roman" w:cs="Times New Roman"/>
          <w:i/>
          <w:iCs/>
        </w:rPr>
        <w:t>Strong democracy: Participatory politics for a new age</w:t>
      </w:r>
      <w:r>
        <w:rPr>
          <w:rFonts w:eastAsia="Times New Roman" w:cs="Times New Roman"/>
        </w:rPr>
        <w:t>. University of California Press.</w:t>
      </w:r>
    </w:p>
    <w:p>
      <w:pPr>
        <w:pStyle w:val="Normal"/>
        <w:spacing w:lineRule="auto" w:line="360" w:before="0" w:after="120"/>
        <w:ind w:hanging="720" w:left="720"/>
        <w:jc w:val="left"/>
        <w:rPr/>
      </w:pPr>
      <w:r>
        <w:rPr>
          <w:rFonts w:eastAsia="Times New Roman" w:cs="Times New Roman"/>
        </w:rPr>
        <w:t xml:space="preserve">Bloom, B. S. (1969). </w:t>
      </w:r>
      <w:r>
        <w:rPr>
          <w:rFonts w:eastAsia="Times New Roman" w:cs="Times New Roman"/>
          <w:i/>
          <w:iCs/>
        </w:rPr>
        <w:t>Taxonomie des objectifs pédagogiques : Vol. 1. Domaine cognitif</w:t>
      </w:r>
      <w:r>
        <w:rPr>
          <w:rFonts w:eastAsia="Times New Roman" w:cs="Times New Roman"/>
        </w:rPr>
        <w:t xml:space="preserve"> (M. Lavallée, trad.). Éducation nouvelle.</w:t>
      </w:r>
    </w:p>
    <w:p>
      <w:pPr>
        <w:pStyle w:val="Normal"/>
        <w:spacing w:lineRule="auto" w:line="360" w:before="0" w:after="120"/>
        <w:ind w:hanging="720" w:left="720"/>
        <w:jc w:val="left"/>
        <w:rPr/>
      </w:pPr>
      <w:r>
        <w:rPr>
          <w:rFonts w:eastAsia="Times New Roman" w:cs="Times New Roman"/>
        </w:rPr>
        <w:t xml:space="preserve">Bourque, </w:t>
      </w:r>
      <w:r>
        <w:rPr>
          <w:rFonts w:eastAsia="Times New Roman" w:cs="Times New Roman"/>
          <w:highlight w:val="yellow"/>
        </w:rPr>
        <w:t>…</w:t>
      </w:r>
      <w:r>
        <w:rPr>
          <w:rFonts w:eastAsia="Times New Roman" w:cs="Times New Roman"/>
        </w:rPr>
        <w:t xml:space="preserve">, et Johnson, </w:t>
      </w:r>
      <w:r>
        <w:rPr>
          <w:rFonts w:eastAsia="Times New Roman" w:cs="Times New Roman"/>
          <w:highlight w:val="yellow"/>
        </w:rPr>
        <w:t>…</w:t>
      </w:r>
      <w:r>
        <w:rPr>
          <w:rFonts w:eastAsia="Times New Roman" w:cs="Times New Roman"/>
        </w:rPr>
        <w:t xml:space="preserve"> (2018). </w:t>
      </w:r>
      <w:r>
        <w:rPr>
          <w:rFonts w:eastAsia="Times New Roman" w:cs="Times New Roman"/>
          <w:highlight w:val="yellow"/>
        </w:rPr>
        <w:t>[Titre, source et éditeur à compléter.]</w:t>
      </w:r>
    </w:p>
    <w:p>
      <w:pPr>
        <w:pStyle w:val="Normal"/>
        <w:spacing w:lineRule="auto" w:line="360" w:before="0" w:after="120"/>
        <w:ind w:hanging="720" w:left="720"/>
        <w:jc w:val="left"/>
        <w:rPr/>
      </w:pPr>
      <w:r>
        <w:rPr>
          <w:rFonts w:eastAsia="Times New Roman" w:cs="Times New Roman"/>
        </w:rPr>
        <w:t xml:space="preserve">Daas, R., ten Dam, G., et Dijkstra, A. B. (2016). Contemplating modes of assessing citizenship competences. </w:t>
      </w:r>
      <w:r>
        <w:rPr>
          <w:rFonts w:eastAsia="Times New Roman" w:cs="Times New Roman"/>
          <w:i/>
          <w:iCs/>
        </w:rPr>
        <w:t>Studies in Educational Evaluation, 51</w:t>
      </w:r>
      <w:r>
        <w:rPr>
          <w:rFonts w:eastAsia="Times New Roman" w:cs="Times New Roman"/>
        </w:rPr>
        <w:t>, 88–95. https://doi.org/10.1016/j.stueduc.2016.10.003</w:t>
      </w:r>
    </w:p>
    <w:p>
      <w:pPr>
        <w:pStyle w:val="Normal"/>
        <w:spacing w:lineRule="auto" w:line="360" w:before="0" w:after="120"/>
        <w:ind w:hanging="720" w:left="720"/>
        <w:jc w:val="left"/>
        <w:rPr/>
      </w:pPr>
      <w:r>
        <w:rPr>
          <w:rFonts w:eastAsia="Times New Roman" w:cs="Times New Roman"/>
        </w:rPr>
        <w:t xml:space="preserve">De Ketele, J.-M. (1989). L’évaluation de la productivité des institutions d’éducation. </w:t>
      </w:r>
      <w:r>
        <w:rPr>
          <w:rFonts w:eastAsia="Times New Roman" w:cs="Times New Roman"/>
          <w:i/>
          <w:iCs/>
        </w:rPr>
        <w:t>Cahiers de la Fondation universitaire : Université et société, 3</w:t>
      </w:r>
      <w:r>
        <w:rPr>
          <w:rFonts w:eastAsia="Times New Roman" w:cs="Times New Roman"/>
        </w:rPr>
        <w:t>, 73–83.</w:t>
      </w:r>
    </w:p>
    <w:p>
      <w:pPr>
        <w:pStyle w:val="Normal"/>
        <w:spacing w:lineRule="auto" w:line="360" w:before="0" w:after="120"/>
        <w:ind w:hanging="720" w:left="720"/>
        <w:jc w:val="left"/>
        <w:rPr/>
      </w:pPr>
      <w:r>
        <w:rPr>
          <w:rFonts w:eastAsia="Times New Roman" w:cs="Times New Roman"/>
        </w:rPr>
        <w:t xml:space="preserve">De Ketele, J.-M., et Gerard, F.-M. (2005). La validation des épreuves d’évaluation selon l’approche par les compétences. </w:t>
      </w:r>
      <w:r>
        <w:rPr>
          <w:rFonts w:eastAsia="Times New Roman" w:cs="Times New Roman"/>
          <w:i/>
          <w:iCs/>
        </w:rPr>
        <w:t>Mesure et évaluation en éducation, 28</w:t>
      </w:r>
      <w:r>
        <w:rPr>
          <w:rFonts w:eastAsia="Times New Roman" w:cs="Times New Roman"/>
        </w:rPr>
        <w:t>(3), 1–26.</w:t>
      </w:r>
    </w:p>
    <w:p>
      <w:pPr>
        <w:pStyle w:val="Normal"/>
        <w:spacing w:lineRule="auto" w:line="360" w:before="0" w:after="120"/>
        <w:ind w:hanging="720" w:left="720"/>
        <w:jc w:val="left"/>
        <w:rPr/>
      </w:pPr>
      <w:r>
        <w:rPr>
          <w:rFonts w:eastAsia="Times New Roman" w:cs="Times New Roman"/>
        </w:rPr>
        <w:t xml:space="preserve">De Ketele, J.-M., et Roegiers, X. (1993). </w:t>
      </w:r>
      <w:r>
        <w:rPr>
          <w:rFonts w:eastAsia="Times New Roman" w:cs="Times New Roman"/>
          <w:i/>
          <w:iCs/>
        </w:rPr>
        <w:t>Méthodologie du recueil d’informations : fondements des méthodes d’observation, de questionnaires, d’interviews et d’études de documents</w:t>
      </w:r>
      <w:r>
        <w:rPr>
          <w:rFonts w:eastAsia="Times New Roman" w:cs="Times New Roman"/>
        </w:rPr>
        <w:t>. De Boeck.</w:t>
      </w:r>
    </w:p>
    <w:p>
      <w:pPr>
        <w:pStyle w:val="Normal"/>
        <w:spacing w:lineRule="auto" w:line="360" w:before="0" w:after="120"/>
        <w:ind w:hanging="720" w:left="720"/>
        <w:jc w:val="left"/>
        <w:rPr/>
      </w:pPr>
      <w:r>
        <w:rPr>
          <w:rFonts w:eastAsia="Times New Roman" w:cs="Times New Roman"/>
          <w:i/>
          <w:iCs/>
        </w:rPr>
        <w:t>Dictionnaire des sciences humaines</w:t>
      </w:r>
      <w:r>
        <w:rPr>
          <w:rFonts w:eastAsia="Times New Roman" w:cs="Times New Roman"/>
        </w:rPr>
        <w:t xml:space="preserve">. (s.d.). </w:t>
      </w:r>
      <w:r>
        <w:rPr>
          <w:rFonts w:eastAsia="Times New Roman" w:cs="Times New Roman"/>
          <w:highlight w:val="yellow"/>
        </w:rPr>
        <w:t>[Auteurs, année et éditeur à compléter.]</w:t>
      </w:r>
    </w:p>
    <w:p>
      <w:pPr>
        <w:pStyle w:val="Normal"/>
        <w:spacing w:lineRule="auto" w:line="360" w:before="0" w:after="120"/>
        <w:ind w:hanging="720" w:left="720"/>
        <w:jc w:val="left"/>
        <w:rPr/>
      </w:pPr>
      <w:r>
        <w:rPr>
          <w:rFonts w:eastAsia="Times New Roman" w:cs="Times New Roman"/>
        </w:rPr>
        <w:t xml:space="preserve">IFADEM. (s.d.). </w:t>
      </w:r>
      <w:r>
        <w:rPr>
          <w:rFonts w:eastAsia="Times New Roman" w:cs="Times New Roman"/>
          <w:i/>
          <w:iCs/>
        </w:rPr>
        <w:t>L’éducation morale et civique à l’école primaire</w:t>
      </w:r>
      <w:r>
        <w:rPr>
          <w:rFonts w:eastAsia="Times New Roman" w:cs="Times New Roman"/>
        </w:rPr>
        <w:t xml:space="preserve"> (Livret 1). Organisation internationale de la Francophonie.</w:t>
      </w:r>
    </w:p>
    <w:p>
      <w:pPr>
        <w:pStyle w:val="Normal"/>
        <w:spacing w:lineRule="auto" w:line="360" w:before="0" w:after="120"/>
        <w:ind w:hanging="720" w:left="720"/>
        <w:jc w:val="left"/>
        <w:rPr/>
      </w:pPr>
      <w:r>
        <w:rPr>
          <w:rFonts w:eastAsia="Times New Roman" w:cs="Times New Roman"/>
        </w:rPr>
        <w:t xml:space="preserve">Le Robert. (2013). </w:t>
      </w:r>
      <w:r>
        <w:rPr>
          <w:rFonts w:eastAsia="Times New Roman" w:cs="Times New Roman"/>
          <w:i/>
          <w:iCs/>
        </w:rPr>
        <w:t>Le Petit Robert : dictionnaire alphabétique et analogique de la langue française</w:t>
      </w:r>
      <w:r>
        <w:rPr>
          <w:rFonts w:eastAsia="Times New Roman" w:cs="Times New Roman"/>
        </w:rPr>
        <w:t>.</w:t>
      </w:r>
    </w:p>
    <w:p>
      <w:pPr>
        <w:pStyle w:val="Normal"/>
        <w:spacing w:lineRule="auto" w:line="360" w:before="0" w:after="120"/>
        <w:ind w:hanging="720" w:left="720"/>
        <w:jc w:val="left"/>
        <w:rPr/>
      </w:pPr>
      <w:r>
        <w:rPr>
          <w:rFonts w:eastAsia="Times New Roman" w:cs="Times New Roman"/>
        </w:rPr>
        <w:t xml:space="preserve">Ministère de l’Éducation de base et de l’Alphabétisation. (s.d.). </w:t>
      </w:r>
      <w:r>
        <w:rPr>
          <w:rFonts w:eastAsia="Times New Roman" w:cs="Times New Roman"/>
          <w:i/>
          <w:iCs/>
        </w:rPr>
        <w:t>Guide d’éducation civique et morale : cours préparatoire</w:t>
      </w:r>
      <w:r>
        <w:rPr>
          <w:rFonts w:eastAsia="Times New Roman" w:cs="Times New Roman"/>
        </w:rPr>
        <w:t>. Burkina Faso.</w:t>
      </w:r>
    </w:p>
    <w:p>
      <w:pPr>
        <w:pStyle w:val="Normal"/>
        <w:spacing w:lineRule="auto" w:line="360" w:before="0" w:after="120"/>
        <w:ind w:hanging="720" w:left="720"/>
        <w:jc w:val="left"/>
        <w:rPr/>
      </w:pPr>
      <w:r>
        <w:rPr>
          <w:rFonts w:eastAsia="Times New Roman" w:cs="Times New Roman"/>
        </w:rPr>
        <w:t xml:space="preserve">Ministère de l’Éducation nationale. (s.d.-a). </w:t>
      </w:r>
      <w:r>
        <w:rPr>
          <w:rFonts w:eastAsia="Times New Roman" w:cs="Times New Roman"/>
          <w:i/>
          <w:iCs/>
        </w:rPr>
        <w:t>Programme d’éducation civique et morale : cours préparatoire</w:t>
      </w:r>
      <w:r>
        <w:rPr>
          <w:rFonts w:eastAsia="Times New Roman" w:cs="Times New Roman"/>
        </w:rPr>
        <w:t>. République de Côte d’Ivoire.</w:t>
      </w:r>
    </w:p>
    <w:p>
      <w:pPr>
        <w:pStyle w:val="Normal"/>
        <w:spacing w:lineRule="auto" w:line="360" w:before="0" w:after="120"/>
        <w:ind w:hanging="720" w:left="720"/>
        <w:jc w:val="left"/>
        <w:rPr/>
      </w:pPr>
      <w:r>
        <w:rPr>
          <w:rFonts w:eastAsia="Times New Roman" w:cs="Times New Roman"/>
        </w:rPr>
        <w:t xml:space="preserve">Ministère de l’Éducation nationale. (s.d.-b). </w:t>
      </w:r>
      <w:r>
        <w:rPr>
          <w:rFonts w:eastAsia="Times New Roman" w:cs="Times New Roman"/>
          <w:i/>
          <w:iCs/>
        </w:rPr>
        <w:t>Site officiel du ministère de l’Éducation nationale du Togo</w:t>
      </w:r>
      <w:r>
        <w:rPr>
          <w:rFonts w:eastAsia="Times New Roman" w:cs="Times New Roman"/>
        </w:rPr>
        <w:t xml:space="preserve">. Consulté le </w:t>
      </w:r>
      <w:r>
        <w:rPr>
          <w:rFonts w:eastAsia="Times New Roman" w:cs="Times New Roman"/>
          <w:highlight w:val="yellow"/>
        </w:rPr>
        <w:t>[date]</w:t>
      </w:r>
      <w:r>
        <w:rPr>
          <w:rFonts w:eastAsia="Times New Roman" w:cs="Times New Roman"/>
        </w:rPr>
        <w:t>, à l’adresse https://education.gouv.tg</w:t>
      </w:r>
    </w:p>
    <w:p>
      <w:pPr>
        <w:pStyle w:val="Normal"/>
        <w:spacing w:lineRule="auto" w:line="360" w:before="0" w:after="120"/>
        <w:ind w:hanging="720" w:left="720"/>
        <w:jc w:val="left"/>
        <w:rPr/>
      </w:pPr>
      <w:r>
        <w:rPr>
          <w:rFonts w:eastAsia="Times New Roman" w:cs="Times New Roman"/>
        </w:rPr>
        <w:t xml:space="preserve">Ministère des Enseignements primaire et secondaire. (2015). </w:t>
      </w:r>
      <w:r>
        <w:rPr>
          <w:rFonts w:eastAsia="Times New Roman" w:cs="Times New Roman"/>
          <w:i/>
          <w:iCs/>
        </w:rPr>
        <w:t>Programme d’éducation civique et morale</w:t>
      </w:r>
      <w:r>
        <w:rPr>
          <w:rFonts w:eastAsia="Times New Roman" w:cs="Times New Roman"/>
        </w:rPr>
        <w:t>. République togolaise.</w:t>
      </w:r>
    </w:p>
    <w:p>
      <w:pPr>
        <w:pStyle w:val="Normal"/>
        <w:spacing w:lineRule="auto" w:line="360" w:before="0" w:after="120"/>
        <w:ind w:hanging="720" w:left="720"/>
        <w:jc w:val="left"/>
        <w:rPr/>
      </w:pPr>
      <w:r>
        <w:rPr>
          <w:rFonts w:eastAsia="Times New Roman" w:cs="Times New Roman"/>
        </w:rPr>
        <w:t xml:space="preserve">Nitko, A. J., et Brookhart, S. M. (2014). </w:t>
      </w:r>
      <w:r>
        <w:rPr>
          <w:rFonts w:eastAsia="Times New Roman" w:cs="Times New Roman"/>
          <w:i/>
          <w:iCs/>
        </w:rPr>
        <w:t>Educational assessment of students</w:t>
      </w:r>
      <w:r>
        <w:rPr>
          <w:rFonts w:eastAsia="Times New Roman" w:cs="Times New Roman"/>
        </w:rPr>
        <w:t xml:space="preserve"> (7e éd.). Pearson.</w:t>
      </w:r>
    </w:p>
    <w:p>
      <w:pPr>
        <w:pStyle w:val="Normal"/>
        <w:spacing w:lineRule="auto" w:line="360" w:before="0" w:after="120"/>
        <w:ind w:hanging="720" w:left="720"/>
        <w:jc w:val="left"/>
        <w:rPr/>
      </w:pPr>
      <w:r>
        <w:rPr>
          <w:rFonts w:eastAsia="Times New Roman" w:cs="Times New Roman"/>
        </w:rPr>
        <w:t xml:space="preserve">Nussbaum, M. C. (1997). </w:t>
      </w:r>
      <w:r>
        <w:rPr>
          <w:rFonts w:eastAsia="Times New Roman" w:cs="Times New Roman"/>
          <w:i/>
          <w:iCs/>
        </w:rPr>
        <w:t>Cultivating humanity: A classical defense of reform in liberal education</w:t>
      </w:r>
      <w:r>
        <w:rPr>
          <w:rFonts w:eastAsia="Times New Roman" w:cs="Times New Roman"/>
        </w:rPr>
        <w:t>. Harvard University Press.</w:t>
      </w:r>
    </w:p>
    <w:p>
      <w:pPr>
        <w:pStyle w:val="Normal"/>
        <w:spacing w:lineRule="auto" w:line="360" w:before="0" w:after="120"/>
        <w:ind w:hanging="720" w:left="720"/>
        <w:jc w:val="left"/>
        <w:rPr/>
      </w:pPr>
      <w:r>
        <w:rPr>
          <w:rFonts w:eastAsia="Times New Roman" w:cs="Times New Roman"/>
        </w:rPr>
        <w:t xml:space="preserve">Osler, A., et Starkey, H. (2005). </w:t>
      </w:r>
      <w:r>
        <w:rPr>
          <w:rFonts w:eastAsia="Times New Roman" w:cs="Times New Roman"/>
          <w:i/>
          <w:iCs/>
        </w:rPr>
        <w:t>Changing citizenship: Democracy and inclusion in education</w:t>
      </w:r>
      <w:r>
        <w:rPr>
          <w:rFonts w:eastAsia="Times New Roman" w:cs="Times New Roman"/>
        </w:rPr>
        <w:t>. Open University Press.</w:t>
      </w:r>
    </w:p>
    <w:p>
      <w:pPr>
        <w:pStyle w:val="Normal"/>
        <w:spacing w:lineRule="auto" w:line="360" w:before="0" w:after="120"/>
        <w:ind w:hanging="720" w:left="720"/>
        <w:jc w:val="left"/>
        <w:rPr/>
      </w:pPr>
      <w:r>
        <w:rPr>
          <w:rFonts w:eastAsia="Times New Roman" w:cs="Times New Roman"/>
        </w:rPr>
        <w:t xml:space="preserve">Paillé, P., et Mucchielli, A. (2016). </w:t>
      </w:r>
      <w:r>
        <w:rPr>
          <w:rFonts w:eastAsia="Times New Roman" w:cs="Times New Roman"/>
          <w:i/>
          <w:iCs/>
        </w:rPr>
        <w:t>L’analyse qualitative en sciences humaines et sociales</w:t>
      </w:r>
      <w:r>
        <w:rPr>
          <w:rFonts w:eastAsia="Times New Roman" w:cs="Times New Roman"/>
        </w:rPr>
        <w:t xml:space="preserve"> (4e éd.). Armand Colin.</w:t>
      </w:r>
    </w:p>
    <w:p>
      <w:pPr>
        <w:pStyle w:val="Normal"/>
        <w:spacing w:lineRule="auto" w:line="360" w:before="0" w:after="120"/>
        <w:ind w:hanging="720" w:left="720"/>
        <w:jc w:val="left"/>
        <w:rPr/>
      </w:pPr>
      <w:r>
        <w:rPr>
          <w:rFonts w:eastAsia="Times New Roman" w:cs="Times New Roman"/>
        </w:rPr>
        <w:t xml:space="preserve">Pelpel, P. (2002). </w:t>
      </w:r>
      <w:r>
        <w:rPr>
          <w:rFonts w:eastAsia="Times New Roman" w:cs="Times New Roman"/>
          <w:i/>
          <w:iCs/>
        </w:rPr>
        <w:t>Se former pour enseigner</w:t>
      </w:r>
      <w:r>
        <w:rPr>
          <w:rFonts w:eastAsia="Times New Roman" w:cs="Times New Roman"/>
        </w:rPr>
        <w:t xml:space="preserve"> (3e éd.). Dunod.</w:t>
      </w:r>
    </w:p>
    <w:p>
      <w:pPr>
        <w:pStyle w:val="Normal"/>
        <w:spacing w:lineRule="auto" w:line="360" w:before="0" w:after="120"/>
        <w:ind w:hanging="720" w:left="720"/>
        <w:jc w:val="left"/>
        <w:rPr/>
      </w:pPr>
      <w:r>
        <w:rPr>
          <w:rFonts w:eastAsia="Times New Roman" w:cs="Times New Roman"/>
        </w:rPr>
        <w:t xml:space="preserve">République togolaise. (1975). </w:t>
      </w:r>
      <w:r>
        <w:rPr>
          <w:rFonts w:eastAsia="Times New Roman" w:cs="Times New Roman"/>
          <w:i/>
          <w:iCs/>
        </w:rPr>
        <w:t>Ordonnance n° 16 du 6 mai 1975 portant réforme de l’enseignement au Togo</w:t>
      </w:r>
      <w:r>
        <w:rPr>
          <w:rFonts w:eastAsia="Times New Roman" w:cs="Times New Roman"/>
        </w:rPr>
        <w:t>.</w:t>
      </w:r>
    </w:p>
    <w:p>
      <w:pPr>
        <w:pStyle w:val="Normal"/>
        <w:spacing w:lineRule="auto" w:line="360" w:before="0" w:after="120"/>
        <w:ind w:hanging="720" w:left="720"/>
        <w:jc w:val="left"/>
        <w:rPr/>
      </w:pPr>
      <w:r>
        <w:rPr>
          <w:rFonts w:eastAsia="Times New Roman" w:cs="Times New Roman"/>
        </w:rPr>
        <w:t xml:space="preserve">République togolaise. (2022a). </w:t>
      </w:r>
      <w:r>
        <w:rPr>
          <w:rFonts w:eastAsia="Times New Roman" w:cs="Times New Roman"/>
          <w:i/>
          <w:iCs/>
        </w:rPr>
        <w:t>Arrêté interministériel n° 009/MEPSTA/MFPTDS/MEF du 8 novembre 2022</w:t>
      </w:r>
      <w:r>
        <w:rPr>
          <w:rFonts w:eastAsia="Times New Roman" w:cs="Times New Roman"/>
        </w:rPr>
        <w:t>.</w:t>
      </w:r>
    </w:p>
    <w:p>
      <w:pPr>
        <w:pStyle w:val="Normal"/>
        <w:spacing w:lineRule="auto" w:line="360" w:before="0" w:after="120"/>
        <w:ind w:hanging="720" w:left="720"/>
        <w:jc w:val="left"/>
        <w:rPr/>
      </w:pPr>
      <w:r>
        <w:rPr>
          <w:rFonts w:eastAsia="Times New Roman" w:cs="Times New Roman"/>
        </w:rPr>
        <w:t xml:space="preserve">République togolaise. (2022b). </w:t>
      </w:r>
      <w:r>
        <w:rPr>
          <w:rFonts w:eastAsia="Times New Roman" w:cs="Times New Roman"/>
          <w:i/>
          <w:iCs/>
        </w:rPr>
        <w:t>Arrêté n° 615/MEPSTA/CAB/SG du 8 novembre 2022 portant organisation et fonctionnement des Écoles normales de formation des professeurs d’école</w:t>
      </w:r>
      <w:r>
        <w:rPr>
          <w:rFonts w:eastAsia="Times New Roman" w:cs="Times New Roman"/>
        </w:rPr>
        <w:t>.</w:t>
      </w:r>
    </w:p>
    <w:p>
      <w:pPr>
        <w:pStyle w:val="Normal"/>
        <w:spacing w:lineRule="auto" w:line="360" w:before="0" w:after="120"/>
        <w:ind w:hanging="720" w:left="720"/>
        <w:jc w:val="left"/>
        <w:rPr/>
      </w:pPr>
      <w:r>
        <w:rPr>
          <w:rFonts w:eastAsia="Times New Roman" w:cs="Times New Roman"/>
        </w:rPr>
        <w:t xml:space="preserve">Roegiers, X. (2003). </w:t>
      </w:r>
      <w:r>
        <w:rPr>
          <w:rFonts w:eastAsia="Times New Roman" w:cs="Times New Roman"/>
          <w:i/>
          <w:iCs/>
        </w:rPr>
        <w:t>Des situations pour intégrer les acquis scolaires</w:t>
      </w:r>
      <w:r>
        <w:rPr>
          <w:rFonts w:eastAsia="Times New Roman" w:cs="Times New Roman"/>
        </w:rPr>
        <w:t>. De Boeck.</w:t>
      </w:r>
    </w:p>
    <w:p>
      <w:pPr>
        <w:pStyle w:val="Normal"/>
        <w:spacing w:lineRule="auto" w:line="360" w:before="0" w:after="120"/>
        <w:ind w:hanging="720" w:left="720"/>
        <w:jc w:val="left"/>
        <w:rPr/>
      </w:pPr>
      <w:r>
        <w:rPr>
          <w:rFonts w:eastAsia="Times New Roman" w:cs="Times New Roman"/>
        </w:rPr>
        <w:t xml:space="preserve">Scallon, G. (2004). </w:t>
      </w:r>
      <w:r>
        <w:rPr>
          <w:rFonts w:eastAsia="Times New Roman" w:cs="Times New Roman"/>
          <w:i/>
          <w:iCs/>
        </w:rPr>
        <w:t>L’évaluation des apprentissages dans une approche par compétences</w:t>
      </w:r>
      <w:r>
        <w:rPr>
          <w:rFonts w:eastAsia="Times New Roman" w:cs="Times New Roman"/>
        </w:rPr>
        <w:t>. ERPI.</w:t>
      </w:r>
    </w:p>
    <w:p>
      <w:pPr>
        <w:pStyle w:val="Normal"/>
        <w:spacing w:lineRule="auto" w:line="360" w:before="0" w:after="120"/>
        <w:ind w:hanging="720" w:left="720"/>
        <w:jc w:val="left"/>
        <w:rPr/>
      </w:pPr>
      <w:r>
        <w:rPr>
          <w:rFonts w:eastAsia="Times New Roman" w:cs="Times New Roman"/>
        </w:rPr>
        <w:t xml:space="preserve">Scallon, G. (2015). </w:t>
      </w:r>
      <w:r>
        <w:rPr>
          <w:rFonts w:eastAsia="Times New Roman" w:cs="Times New Roman"/>
          <w:i/>
          <w:iCs/>
        </w:rPr>
        <w:t>Des savoirs aux compétences : exploration en évaluation des apprentissages</w:t>
      </w:r>
      <w:r>
        <w:rPr>
          <w:rFonts w:eastAsia="Times New Roman" w:cs="Times New Roman"/>
        </w:rPr>
        <w:t>. Chenelière Éducation.</w:t>
      </w:r>
    </w:p>
    <w:p>
      <w:pPr>
        <w:pStyle w:val="Normal"/>
        <w:spacing w:lineRule="auto" w:line="360" w:before="0" w:after="120"/>
        <w:ind w:hanging="720" w:left="720"/>
        <w:jc w:val="left"/>
        <w:rPr/>
      </w:pPr>
      <w:r>
        <w:rPr>
          <w:rFonts w:eastAsia="Times New Roman" w:cs="Times New Roman"/>
        </w:rPr>
        <w:t xml:space="preserve">Tardif, J. (2006). </w:t>
      </w:r>
      <w:r>
        <w:rPr>
          <w:rFonts w:eastAsia="Times New Roman" w:cs="Times New Roman"/>
          <w:i/>
          <w:iCs/>
        </w:rPr>
        <w:t>L’évaluation des compétences : documenter le parcours de développement</w:t>
      </w:r>
      <w:r>
        <w:rPr>
          <w:rFonts w:eastAsia="Times New Roman" w:cs="Times New Roman"/>
        </w:rPr>
        <w:t>. Chenelière Éducation.</w:t>
      </w:r>
    </w:p>
    <w:p>
      <w:pPr>
        <w:pStyle w:val="Normal"/>
        <w:spacing w:lineRule="auto" w:line="360" w:before="0" w:after="120"/>
        <w:ind w:hanging="720" w:left="720"/>
        <w:jc w:val="left"/>
        <w:rPr/>
      </w:pPr>
      <w:r>
        <w:rPr>
          <w:rFonts w:eastAsia="Times New Roman" w:cs="Times New Roman"/>
        </w:rPr>
        <w:t xml:space="preserve">UNESCO. (2015). </w:t>
      </w:r>
      <w:r>
        <w:rPr>
          <w:rFonts w:eastAsia="Times New Roman" w:cs="Times New Roman"/>
          <w:i/>
          <w:iCs/>
        </w:rPr>
        <w:t>Éducation à la citoyenneté mondiale : thèmes et objectifs d’apprentissage</w:t>
      </w:r>
      <w:r>
        <w:rPr>
          <w:rFonts w:eastAsia="Times New Roman" w:cs="Times New Roman"/>
        </w:rPr>
        <w:t>.</w:t>
      </w:r>
    </w:p>
    <w:p>
      <w:pPr>
        <w:pStyle w:val="Normal"/>
        <w:spacing w:lineRule="auto" w:line="360" w:before="0" w:after="120"/>
        <w:ind w:hanging="720" w:left="720"/>
        <w:jc w:val="left"/>
        <w:rPr/>
      </w:pPr>
      <w:r>
        <w:rPr>
          <w:rFonts w:eastAsia="Times New Roman" w:cs="Times New Roman"/>
        </w:rPr>
        <w:t xml:space="preserve">UNESCO. (2020). </w:t>
      </w:r>
      <w:r>
        <w:rPr>
          <w:rFonts w:eastAsia="Times New Roman" w:cs="Times New Roman"/>
          <w:i/>
          <w:iCs/>
        </w:rPr>
        <w:t>Rapport mondial de suivi sur l’éducation 2020 : inclusion et éducation – Tous sans exception</w:t>
      </w:r>
      <w:r>
        <w:rPr>
          <w:rFonts w:eastAsia="Times New Roman" w:cs="Times New Roman"/>
        </w:rPr>
        <w:t>.</w:t>
      </w:r>
    </w:p>
    <w:p>
      <w:pPr>
        <w:pStyle w:val="Normal"/>
        <w:spacing w:lineRule="auto" w:line="360" w:before="0" w:after="120"/>
        <w:ind w:hanging="720" w:left="720"/>
        <w:jc w:val="left"/>
        <w:rPr/>
      </w:pPr>
      <w:r>
        <w:rPr>
          <w:rFonts w:eastAsia="Times New Roman" w:cs="Times New Roman"/>
        </w:rPr>
        <w:t xml:space="preserve">UNESCO. (s.d.). </w:t>
      </w:r>
      <w:r>
        <w:rPr>
          <w:rFonts w:eastAsia="Times New Roman" w:cs="Times New Roman"/>
          <w:i/>
          <w:iCs/>
        </w:rPr>
        <w:t>Module de formation en éducation à la citoyenneté – Togo</w:t>
      </w:r>
      <w:r>
        <w:rPr>
          <w:rFonts w:eastAsia="Times New Roman" w:cs="Times New Roman"/>
        </w:rPr>
        <w:t>.</w:t>
      </w:r>
    </w:p>
    <w:p>
      <w:pPr>
        <w:pStyle w:val="Heading1"/>
        <w:rPr/>
      </w:pPr>
      <w:bookmarkStart w:id="92" w:name="__RefHeading___Toc49482_3411847120"/>
      <w:bookmarkEnd w:id="92"/>
      <w:r>
        <w:rPr>
          <w:rFonts w:eastAsia="Times New Roman" w:cs="Times New Roman" w:ascii="Times New Roman" w:hAnsi="Times New Roman"/>
        </w:rPr>
        <w:t>ANNEXES</w:t>
      </w:r>
    </w:p>
    <w:p>
      <w:pPr>
        <w:pStyle w:val="Heading2"/>
        <w:rPr/>
      </w:pPr>
      <w:bookmarkStart w:id="93" w:name="__RefHeading___Toc49484_3411847120"/>
      <w:bookmarkEnd w:id="93"/>
      <w:r>
        <w:rPr>
          <w:rFonts w:eastAsia="Times New Roman" w:cs="Times New Roman" w:ascii="Times New Roman" w:hAnsi="Times New Roman"/>
        </w:rPr>
        <w:t>Annexe 1 : Guide d’entretien semi-directif avec les formateurs</w:t>
      </w:r>
    </w:p>
    <w:p>
      <w:pPr>
        <w:pStyle w:val="Normal"/>
        <w:spacing w:lineRule="auto" w:line="360" w:before="0" w:after="120"/>
        <w:jc w:val="both"/>
        <w:rPr/>
      </w:pPr>
      <w:r>
        <w:rPr>
          <w:rFonts w:eastAsia="Times New Roman" w:cs="Times New Roman"/>
          <w:highlight w:val="yellow"/>
        </w:rPr>
        <w:t>Note : guide reconstitué à partir de la section 3.4.5 ; à remplacer, le cas échéant, par l’instrument effectivement utilisé.</w:t>
      </w:r>
    </w:p>
    <w:p>
      <w:pPr>
        <w:pStyle w:val="Normal"/>
        <w:spacing w:lineRule="auto" w:line="360" w:before="0" w:after="120"/>
        <w:jc w:val="both"/>
        <w:rPr/>
      </w:pPr>
      <w:r>
        <w:rPr>
          <w:rFonts w:eastAsia="Times New Roman" w:cs="Times New Roman"/>
          <w:b/>
          <w:bCs/>
        </w:rPr>
        <w:t>Identification du formateur</w:t>
      </w:r>
      <w:r>
        <w:rPr>
          <w:rFonts w:eastAsia="Times New Roman" w:cs="Times New Roman"/>
        </w:rPr>
        <w:t> : champ disciplinaire, ancienneté dans l’enseignement et dans la formation, formations suivies en évaluation.</w:t>
      </w:r>
    </w:p>
    <w:p>
      <w:pPr>
        <w:pStyle w:val="ListParagraph"/>
        <w:numPr>
          <w:ilvl w:val="0"/>
          <w:numId w:val="191"/>
        </w:numPr>
        <w:spacing w:lineRule="auto" w:line="360" w:before="0" w:after="40"/>
        <w:jc w:val="both"/>
        <w:rPr/>
      </w:pPr>
      <w:r>
        <w:rPr>
          <w:rFonts w:eastAsia="Times New Roman" w:cs="Times New Roman"/>
          <w:b/>
          <w:bCs/>
        </w:rPr>
        <w:t>Objectifs pédagogiques de l’ECM relatifs à la citoyenneté.</w:t>
      </w:r>
      <w:r>
        <w:rPr>
          <w:rFonts w:eastAsia="Times New Roman" w:cs="Times New Roman"/>
        </w:rPr>
        <w:t xml:space="preserve"> Quels objectifs poursuivez-vous lorsque vous enseignez la notion de citoyenneté ? Quelles compétences attendez-vous des élèves-professeurs ?</w:t>
      </w:r>
    </w:p>
    <w:p>
      <w:pPr>
        <w:pStyle w:val="ListParagraph"/>
        <w:numPr>
          <w:ilvl w:val="0"/>
          <w:numId w:val="192"/>
        </w:numPr>
        <w:spacing w:lineRule="auto" w:line="360" w:before="0" w:after="40"/>
        <w:jc w:val="both"/>
        <w:rPr/>
      </w:pPr>
      <w:r>
        <w:rPr>
          <w:rFonts w:eastAsia="Times New Roman" w:cs="Times New Roman"/>
          <w:b/>
          <w:bCs/>
        </w:rPr>
        <w:t>Techniques d’évaluation utilisées.</w:t>
      </w:r>
      <w:r>
        <w:rPr>
          <w:rFonts w:eastAsia="Times New Roman" w:cs="Times New Roman"/>
        </w:rPr>
        <w:t xml:space="preserve"> Quelles techniques et quels outils utilisez-vous pour évaluer cette notion ? À quelle fréquence et à quels moments de la séquence ?</w:t>
      </w:r>
    </w:p>
    <w:p>
      <w:pPr>
        <w:pStyle w:val="ListParagraph"/>
        <w:numPr>
          <w:ilvl w:val="0"/>
          <w:numId w:val="193"/>
        </w:numPr>
        <w:spacing w:lineRule="auto" w:line="360" w:before="0" w:after="40"/>
        <w:jc w:val="both"/>
        <w:rPr/>
      </w:pPr>
      <w:r>
        <w:rPr>
          <w:rFonts w:eastAsia="Times New Roman" w:cs="Times New Roman"/>
          <w:b/>
          <w:bCs/>
        </w:rPr>
        <w:t>Adéquation entre objectifs et évaluation.</w:t>
      </w:r>
      <w:r>
        <w:rPr>
          <w:rFonts w:eastAsia="Times New Roman" w:cs="Times New Roman"/>
        </w:rPr>
        <w:t xml:space="preserve"> Dans quelle mesure vos évaluations permettent-elles d’apprécier les connaissances, les attitudes et les comportements citoyens ?</w:t>
      </w:r>
    </w:p>
    <w:p>
      <w:pPr>
        <w:pStyle w:val="ListParagraph"/>
        <w:numPr>
          <w:ilvl w:val="0"/>
          <w:numId w:val="194"/>
        </w:numPr>
        <w:spacing w:lineRule="auto" w:line="360" w:before="0" w:after="40"/>
        <w:jc w:val="both"/>
        <w:rPr/>
      </w:pPr>
      <w:r>
        <w:rPr>
          <w:rFonts w:eastAsia="Times New Roman" w:cs="Times New Roman"/>
          <w:b/>
          <w:bCs/>
        </w:rPr>
        <w:t>Difficultés rencontrées.</w:t>
      </w:r>
      <w:r>
        <w:rPr>
          <w:rFonts w:eastAsia="Times New Roman" w:cs="Times New Roman"/>
        </w:rPr>
        <w:t xml:space="preserve"> Quelles difficultés rencontrez-vous lors de l’évaluation des compétences citoyennes (temps, effectifs, outils, formation) ?</w:t>
      </w:r>
    </w:p>
    <w:p>
      <w:pPr>
        <w:pStyle w:val="ListParagraph"/>
        <w:numPr>
          <w:ilvl w:val="0"/>
          <w:numId w:val="195"/>
        </w:numPr>
        <w:spacing w:lineRule="auto" w:line="360" w:before="0" w:after="120"/>
        <w:jc w:val="both"/>
        <w:rPr/>
      </w:pPr>
      <w:r>
        <w:rPr>
          <w:rFonts w:eastAsia="Times New Roman" w:cs="Times New Roman"/>
          <w:b/>
          <w:bCs/>
        </w:rPr>
        <w:t>Pistes d’amélioration.</w:t>
      </w:r>
      <w:r>
        <w:rPr>
          <w:rFonts w:eastAsia="Times New Roman" w:cs="Times New Roman"/>
        </w:rPr>
        <w:t xml:space="preserve"> Quelles améliorations proposeriez-vous pour mieux évaluer la citoyenneté des élèves-professeurs ?</w:t>
      </w:r>
    </w:p>
    <w:p>
      <w:pPr>
        <w:pStyle w:val="Heading2"/>
        <w:rPr/>
      </w:pPr>
      <w:bookmarkStart w:id="94" w:name="__RefHeading___Toc49486_3411847120"/>
      <w:bookmarkEnd w:id="94"/>
      <w:r>
        <w:rPr>
          <w:rFonts w:eastAsia="Times New Roman" w:cs="Times New Roman" w:ascii="Times New Roman" w:hAnsi="Times New Roman"/>
        </w:rPr>
        <w:t>Annexe 2 : Grille d’observation des séances d’ECM</w:t>
      </w:r>
    </w:p>
    <w:p>
      <w:pPr>
        <w:pStyle w:val="Caption"/>
        <w:keepNext w:val="true"/>
        <w:spacing w:lineRule="auto" w:line="240" w:before="200" w:after="100"/>
        <w:jc w:val="center"/>
        <w:rPr/>
      </w:pPr>
      <w:r>
        <w:rPr>
          <w:rFonts w:eastAsia="Times New Roman" w:cs="Times New Roman"/>
          <w:b/>
          <w:bCs/>
          <w:sz w:val="22"/>
          <w:szCs w:val="22"/>
        </w:rPr>
        <w:t xml:space="preserve">Tableau A1 : </w:t>
      </w:r>
      <w:r>
        <w:rPr>
          <w:rFonts w:eastAsia="Times New Roman" w:cs="Times New Roman"/>
          <w:sz w:val="22"/>
          <w:szCs w:val="22"/>
        </w:rPr>
        <w:t>Grille d’observation des pratiques d’évaluation en séance d’ECM</w:t>
      </w:r>
    </w:p>
    <w:tbl>
      <w:tblPr>
        <w:tblW w:w="9072" w:type="dxa"/>
        <w:jc w:val="center"/>
        <w:tblInd w:w="0" w:type="dxa"/>
        <w:tblLayout w:type="fixed"/>
        <w:tblCellMar>
          <w:top w:w="40" w:type="dxa"/>
          <w:left w:w="60" w:type="dxa"/>
          <w:bottom w:w="40" w:type="dxa"/>
          <w:right w:w="60" w:type="dxa"/>
        </w:tblCellMar>
      </w:tblPr>
      <w:tblGrid>
        <w:gridCol w:w="3969"/>
        <w:gridCol w:w="1247"/>
        <w:gridCol w:w="3856"/>
      </w:tblGrid>
      <w:tr>
        <w:trPr>
          <w:tblHeader w:val="true"/>
          <w:cantSplit w:val="true"/>
        </w:trPr>
        <w:tc>
          <w:tcPr>
            <w:tcW w:w="396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Critère observé</w:t>
            </w:r>
          </w:p>
        </w:tc>
        <w:tc>
          <w:tcPr>
            <w:tcW w:w="124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Oui / Non</w:t>
            </w:r>
          </w:p>
        </w:tc>
        <w:tc>
          <w:tcPr>
            <w:tcW w:w="385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Commentaires</w:t>
            </w:r>
          </w:p>
        </w:tc>
      </w:tr>
      <w:tr>
        <w:trPr>
          <w:cantSplit w:val="true"/>
        </w:trPr>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Type d’évaluation (diagnostique, formative, sommative)</w:t>
            </w:r>
          </w:p>
        </w:tc>
        <w:tc>
          <w:tcPr>
            <w:tcW w:w="12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
          </w:p>
        </w:tc>
        <w:tc>
          <w:tcPr>
            <w:tcW w:w="3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cantSplit w:val="true"/>
        </w:trPr>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Présence d’une situation-problème</w:t>
            </w:r>
          </w:p>
        </w:tc>
        <w:tc>
          <w:tcPr>
            <w:tcW w:w="12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
          </w:p>
        </w:tc>
        <w:tc>
          <w:tcPr>
            <w:tcW w:w="3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cantSplit w:val="true"/>
        </w:trPr>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Correction et remédiation</w:t>
            </w:r>
          </w:p>
        </w:tc>
        <w:tc>
          <w:tcPr>
            <w:tcW w:w="12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
          </w:p>
        </w:tc>
        <w:tc>
          <w:tcPr>
            <w:tcW w:w="3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cantSplit w:val="true"/>
        </w:trPr>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Moment de la séance où intervient l’évaluation</w:t>
            </w:r>
          </w:p>
        </w:tc>
        <w:tc>
          <w:tcPr>
            <w:tcW w:w="12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
          </w:p>
        </w:tc>
        <w:tc>
          <w:tcPr>
            <w:tcW w:w="3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cantSplit w:val="true"/>
        </w:trPr>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Organisation d’un débat ou d’un travail de groupe</w:t>
            </w:r>
          </w:p>
        </w:tc>
        <w:tc>
          <w:tcPr>
            <w:tcW w:w="12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
          </w:p>
        </w:tc>
        <w:tc>
          <w:tcPr>
            <w:tcW w:w="3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cantSplit w:val="true"/>
        </w:trPr>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Participation des élèves-professeurs</w:t>
            </w:r>
          </w:p>
        </w:tc>
        <w:tc>
          <w:tcPr>
            <w:tcW w:w="12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
          </w:p>
        </w:tc>
        <w:tc>
          <w:tcPr>
            <w:tcW w:w="3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cantSplit w:val="true"/>
        </w:trPr>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Rétroactions (feedback) du formateur</w:t>
            </w:r>
          </w:p>
        </w:tc>
        <w:tc>
          <w:tcPr>
            <w:tcW w:w="12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
          </w:p>
        </w:tc>
        <w:tc>
          <w:tcPr>
            <w:tcW w:w="3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cantSplit w:val="true"/>
        </w:trPr>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Prise en compte de l’argumentation des élèves-professeurs</w:t>
            </w:r>
          </w:p>
        </w:tc>
        <w:tc>
          <w:tcPr>
            <w:tcW w:w="12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
          </w:p>
        </w:tc>
        <w:tc>
          <w:tcPr>
            <w:tcW w:w="3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cantSplit w:val="true"/>
        </w:trPr>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Coopération entre élèves-professeurs</w:t>
            </w:r>
          </w:p>
        </w:tc>
        <w:tc>
          <w:tcPr>
            <w:tcW w:w="12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
          </w:p>
        </w:tc>
        <w:tc>
          <w:tcPr>
            <w:tcW w:w="3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cantSplit w:val="true"/>
        </w:trPr>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Écoute active du formateur</w:t>
            </w:r>
          </w:p>
        </w:tc>
        <w:tc>
          <w:tcPr>
            <w:tcW w:w="124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
          </w:p>
        </w:tc>
        <w:tc>
          <w:tcPr>
            <w:tcW w:w="385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bl>
    <w:p>
      <w:pPr>
        <w:pStyle w:val="Normal"/>
        <w:spacing w:lineRule="auto" w:line="240" w:before="60" w:after="240"/>
        <w:jc w:val="left"/>
        <w:rPr/>
      </w:pPr>
      <w:r>
        <w:rPr>
          <w:rFonts w:eastAsia="Times New Roman" w:cs="Times New Roman"/>
          <w:i/>
          <w:iCs/>
          <w:sz w:val="22"/>
          <w:szCs w:val="22"/>
        </w:rPr>
        <w:t>Source : Grille élaborée pour la présente étude (2026).</w:t>
      </w:r>
    </w:p>
    <w:p>
      <w:pPr>
        <w:pStyle w:val="Heading2"/>
        <w:rPr/>
      </w:pPr>
      <w:bookmarkStart w:id="95" w:name="__RefHeading___Toc49488_3411847120"/>
      <w:bookmarkEnd w:id="95"/>
      <w:r>
        <w:rPr>
          <w:rFonts w:eastAsia="Times New Roman" w:cs="Times New Roman" w:ascii="Times New Roman" w:hAnsi="Times New Roman"/>
        </w:rPr>
        <w:t>Annexe 3 : Principaux items des questionnaires</w:t>
      </w:r>
    </w:p>
    <w:p>
      <w:pPr>
        <w:pStyle w:val="Normal"/>
        <w:spacing w:lineRule="auto" w:line="360" w:before="0" w:after="120"/>
        <w:jc w:val="both"/>
        <w:rPr/>
      </w:pPr>
      <w:r>
        <w:rPr>
          <w:rFonts w:eastAsia="Times New Roman" w:cs="Times New Roman"/>
          <w:highlight w:val="yellow"/>
        </w:rPr>
        <w:t>Note : items reconstitués à partir des résultats présentés au chapitre 4 ; joindre ici les questionnaires originaux.</w:t>
      </w:r>
    </w:p>
    <w:p>
      <w:pPr>
        <w:pStyle w:val="Normal"/>
        <w:keepNext w:val="true"/>
        <w:spacing w:lineRule="auto" w:line="360" w:before="0" w:after="120"/>
        <w:jc w:val="both"/>
        <w:rPr/>
      </w:pPr>
      <w:r>
        <w:rPr>
          <w:rFonts w:eastAsia="Times New Roman" w:cs="Times New Roman"/>
          <w:b/>
          <w:bCs/>
        </w:rPr>
        <w:t>Questionnaire adressé aux élèves-professeurs d’école</w:t>
      </w:r>
    </w:p>
    <w:p>
      <w:pPr>
        <w:pStyle w:val="ListParagraph"/>
        <w:numPr>
          <w:ilvl w:val="0"/>
          <w:numId w:val="196"/>
        </w:numPr>
        <w:spacing w:lineRule="auto" w:line="360" w:before="0" w:after="40"/>
        <w:jc w:val="both"/>
        <w:rPr/>
      </w:pPr>
      <w:r>
        <w:rPr>
          <w:rFonts w:eastAsia="Times New Roman" w:cs="Times New Roman"/>
        </w:rPr>
        <w:t>Sexe ; statut ; promotion.</w:t>
      </w:r>
    </w:p>
    <w:p>
      <w:pPr>
        <w:pStyle w:val="ListParagraph"/>
        <w:numPr>
          <w:ilvl w:val="0"/>
          <w:numId w:val="197"/>
        </w:numPr>
        <w:spacing w:lineRule="auto" w:line="360" w:before="0" w:after="40"/>
        <w:jc w:val="both"/>
        <w:rPr/>
      </w:pPr>
      <w:r>
        <w:rPr>
          <w:rFonts w:eastAsia="Times New Roman" w:cs="Times New Roman"/>
        </w:rPr>
        <w:t>Quelles techniques d’évaluation avez-vous utilisées en éducation sociale lors des différentes compositions ? (questions écrites, questions orales, travaux de groupe, études de cas, jeux de rôle, observation des comportements – plusieurs réponses possibles)</w:t>
      </w:r>
    </w:p>
    <w:p>
      <w:pPr>
        <w:pStyle w:val="ListParagraph"/>
        <w:numPr>
          <w:ilvl w:val="0"/>
          <w:numId w:val="198"/>
        </w:numPr>
        <w:spacing w:lineRule="auto" w:line="360" w:before="0" w:after="40"/>
        <w:jc w:val="both"/>
        <w:rPr/>
      </w:pPr>
      <w:r>
        <w:rPr>
          <w:rFonts w:eastAsia="Times New Roman" w:cs="Times New Roman"/>
        </w:rPr>
        <w:t>À quelle fréquence utilisez-vous ces techniques ? (très souvent, souvent, rarement, jamais)</w:t>
      </w:r>
    </w:p>
    <w:p>
      <w:pPr>
        <w:pStyle w:val="ListParagraph"/>
        <w:numPr>
          <w:ilvl w:val="0"/>
          <w:numId w:val="199"/>
        </w:numPr>
        <w:spacing w:lineRule="auto" w:line="360" w:before="0" w:after="40"/>
        <w:jc w:val="both"/>
        <w:rPr/>
      </w:pPr>
      <w:r>
        <w:rPr>
          <w:rFonts w:eastAsia="Times New Roman" w:cs="Times New Roman"/>
        </w:rPr>
        <w:t>Ces techniques permettent-elles d’évaluer les compétences civiques et morales ? (tout à fait, partiellement, pas du tout)</w:t>
      </w:r>
    </w:p>
    <w:p>
      <w:pPr>
        <w:pStyle w:val="ListParagraph"/>
        <w:numPr>
          <w:ilvl w:val="0"/>
          <w:numId w:val="200"/>
        </w:numPr>
        <w:spacing w:lineRule="auto" w:line="360" w:before="0" w:after="40"/>
        <w:jc w:val="both"/>
        <w:rPr/>
      </w:pPr>
      <w:r>
        <w:rPr>
          <w:rFonts w:eastAsia="Times New Roman" w:cs="Times New Roman"/>
        </w:rPr>
        <w:t>Les techniques utilisées favorisent-elles l’apprentissage de la leçon ? (oui, partiellement, non)</w:t>
      </w:r>
    </w:p>
    <w:p>
      <w:pPr>
        <w:pStyle w:val="ListParagraph"/>
        <w:numPr>
          <w:ilvl w:val="0"/>
          <w:numId w:val="201"/>
        </w:numPr>
        <w:spacing w:lineRule="auto" w:line="360" w:before="0" w:after="40"/>
        <w:jc w:val="both"/>
        <w:rPr/>
      </w:pPr>
      <w:r>
        <w:rPr>
          <w:rFonts w:eastAsia="Times New Roman" w:cs="Times New Roman"/>
        </w:rPr>
        <w:t>L’évaluation influence-t-elle le comportement civique des apprenants ? (positivement, aucun effet, négativement)</w:t>
      </w:r>
    </w:p>
    <w:p>
      <w:pPr>
        <w:pStyle w:val="ListParagraph"/>
        <w:numPr>
          <w:ilvl w:val="0"/>
          <w:numId w:val="202"/>
        </w:numPr>
        <w:spacing w:lineRule="auto" w:line="360" w:before="0" w:after="40"/>
        <w:jc w:val="both"/>
        <w:rPr/>
      </w:pPr>
      <w:r>
        <w:rPr>
          <w:rFonts w:eastAsia="Times New Roman" w:cs="Times New Roman"/>
        </w:rPr>
        <w:t>Avez-vous rencontré des difficultés dans l’évaluation en éducation sociale ? Si oui, lesquelles ? (insuffisance de temps, manque d’outils adaptés, effectifs élevés, manque de formation, autres)</w:t>
      </w:r>
    </w:p>
    <w:p>
      <w:pPr>
        <w:pStyle w:val="ListParagraph"/>
        <w:numPr>
          <w:ilvl w:val="0"/>
          <w:numId w:val="203"/>
        </w:numPr>
        <w:spacing w:lineRule="auto" w:line="360" w:before="0" w:after="40"/>
        <w:jc w:val="both"/>
        <w:rPr/>
      </w:pPr>
      <w:r>
        <w:rPr>
          <w:rFonts w:eastAsia="Times New Roman" w:cs="Times New Roman"/>
        </w:rPr>
        <w:t>Êtes-vous satisfait(e) des techniques d’évaluation actuelles ? (très satisfait(e), satisfait(e), peu satisfait(e), pas satisfait(e))</w:t>
      </w:r>
    </w:p>
    <w:p>
      <w:pPr>
        <w:pStyle w:val="ListParagraph"/>
        <w:numPr>
          <w:ilvl w:val="0"/>
          <w:numId w:val="204"/>
        </w:numPr>
        <w:spacing w:lineRule="auto" w:line="360" w:before="0" w:after="120"/>
        <w:jc w:val="both"/>
        <w:rPr/>
      </w:pPr>
      <w:r>
        <w:rPr>
          <w:rFonts w:eastAsia="Times New Roman" w:cs="Times New Roman"/>
        </w:rPr>
        <w:t>Quelles suggestions formulez-vous pour améliorer l’évaluation en ECM ? (question ouverte)</w:t>
      </w:r>
    </w:p>
    <w:p>
      <w:pPr>
        <w:pStyle w:val="Normal"/>
        <w:keepNext w:val="true"/>
        <w:spacing w:lineRule="auto" w:line="360" w:before="0" w:after="120"/>
        <w:jc w:val="both"/>
        <w:rPr/>
      </w:pPr>
      <w:r>
        <w:rPr>
          <w:rFonts w:eastAsia="Times New Roman" w:cs="Times New Roman"/>
          <w:b/>
          <w:bCs/>
        </w:rPr>
        <w:t>Questionnaire adressé aux formateurs</w:t>
      </w:r>
    </w:p>
    <w:p>
      <w:pPr>
        <w:pStyle w:val="ListParagraph"/>
        <w:numPr>
          <w:ilvl w:val="0"/>
          <w:numId w:val="205"/>
        </w:numPr>
        <w:spacing w:lineRule="auto" w:line="360" w:before="0" w:after="40"/>
        <w:jc w:val="both"/>
        <w:rPr/>
      </w:pPr>
      <w:r>
        <w:rPr>
          <w:rFonts w:eastAsia="Times New Roman" w:cs="Times New Roman"/>
        </w:rPr>
        <w:t>Ancienneté dans l’enseignement ou la formation.</w:t>
      </w:r>
    </w:p>
    <w:p>
      <w:pPr>
        <w:pStyle w:val="ListParagraph"/>
        <w:numPr>
          <w:ilvl w:val="0"/>
          <w:numId w:val="206"/>
        </w:numPr>
        <w:spacing w:lineRule="auto" w:line="360" w:before="0" w:after="40"/>
        <w:jc w:val="both"/>
        <w:rPr/>
      </w:pPr>
      <w:r>
        <w:rPr>
          <w:rFonts w:eastAsia="Times New Roman" w:cs="Times New Roman"/>
        </w:rPr>
        <w:t>Quelles techniques d’évaluation utilisez-vous en ECM ? (plusieurs réponses possibles)</w:t>
      </w:r>
    </w:p>
    <w:p>
      <w:pPr>
        <w:pStyle w:val="ListParagraph"/>
        <w:numPr>
          <w:ilvl w:val="0"/>
          <w:numId w:val="207"/>
        </w:numPr>
        <w:spacing w:lineRule="auto" w:line="360" w:before="0" w:after="40"/>
        <w:jc w:val="both"/>
        <w:rPr/>
      </w:pPr>
      <w:r>
        <w:rPr>
          <w:rFonts w:eastAsia="Times New Roman" w:cs="Times New Roman"/>
        </w:rPr>
        <w:t>Ces techniques permettent-elles d’évaluer les compétences civiques et morales ? (tout à fait, partiellement, pas du tout)</w:t>
      </w:r>
    </w:p>
    <w:p>
      <w:pPr>
        <w:pStyle w:val="ListParagraph"/>
        <w:numPr>
          <w:ilvl w:val="0"/>
          <w:numId w:val="208"/>
        </w:numPr>
        <w:spacing w:lineRule="auto" w:line="360" w:before="0" w:after="40"/>
        <w:jc w:val="both"/>
        <w:rPr/>
      </w:pPr>
      <w:r>
        <w:rPr>
          <w:rFonts w:eastAsia="Times New Roman" w:cs="Times New Roman"/>
        </w:rPr>
        <w:t>L’évaluation des comportements vous semble-t-elle difficile ? (très difficile, difficile, facile)</w:t>
      </w:r>
    </w:p>
    <w:p>
      <w:pPr>
        <w:pStyle w:val="ListParagraph"/>
        <w:numPr>
          <w:ilvl w:val="0"/>
          <w:numId w:val="209"/>
        </w:numPr>
        <w:spacing w:lineRule="auto" w:line="360" w:before="0" w:after="40"/>
        <w:jc w:val="both"/>
        <w:rPr/>
      </w:pPr>
      <w:r>
        <w:rPr>
          <w:rFonts w:eastAsia="Times New Roman" w:cs="Times New Roman"/>
        </w:rPr>
        <w:t>Quelles difficultés rencontrez-vous dans l’évaluation en ECM ? (plusieurs réponses possibles)</w:t>
      </w:r>
    </w:p>
    <w:p>
      <w:pPr>
        <w:pStyle w:val="ListParagraph"/>
        <w:numPr>
          <w:ilvl w:val="0"/>
          <w:numId w:val="210"/>
        </w:numPr>
        <w:spacing w:lineRule="auto" w:line="360" w:before="0" w:after="40"/>
        <w:jc w:val="both"/>
        <w:rPr/>
      </w:pPr>
      <w:r>
        <w:rPr>
          <w:rFonts w:eastAsia="Times New Roman" w:cs="Times New Roman"/>
        </w:rPr>
        <w:t>Êtes-vous satisfait(e) des techniques d’évaluation actuelles en ECM ?</w:t>
      </w:r>
    </w:p>
    <w:p>
      <w:pPr>
        <w:pStyle w:val="ListParagraph"/>
        <w:numPr>
          <w:ilvl w:val="0"/>
          <w:numId w:val="211"/>
        </w:numPr>
        <w:spacing w:lineRule="auto" w:line="360" w:before="0" w:after="120"/>
        <w:jc w:val="both"/>
        <w:rPr/>
        <w:sectPr>
          <w:footerReference w:type="even" r:id="rId18"/>
          <w:footerReference w:type="default" r:id="rId19"/>
          <w:footerReference w:type="first" r:id="rId20"/>
          <w:type w:val="nextPage"/>
          <w:pgSz w:w="11906" w:h="16838"/>
          <w:pgMar w:left="1418" w:right="1418" w:gutter="0" w:header="0" w:top="1418" w:footer="567" w:bottom="1418"/>
          <w:pgNumType w:start="1" w:fmt="decimal"/>
          <w:formProt w:val="false"/>
          <w:textDirection w:val="lrTb"/>
          <w:docGrid w:type="default" w:linePitch="360" w:charSpace="0"/>
        </w:sectPr>
      </w:pPr>
      <w:r>
        <w:rPr>
          <w:rFonts w:eastAsia="Times New Roman" w:cs="Times New Roman"/>
        </w:rPr>
        <w:t>Souhaitez-vous bénéficier d’une formation complémentaire sur les techniques d’évaluation en ECM ?</w:t>
      </w:r>
    </w:p>
    <w:p>
      <w:pPr>
        <w:pStyle w:val="Heading2"/>
        <w:rPr/>
      </w:pPr>
      <w:bookmarkStart w:id="96" w:name="__RefHeading___Toc49490_3411847120"/>
      <w:bookmarkEnd w:id="96"/>
      <w:r>
        <w:rPr>
          <w:rFonts w:eastAsia="Times New Roman" w:cs="Times New Roman" w:ascii="Times New Roman" w:hAnsi="Times New Roman"/>
        </w:rPr>
        <w:t>Annexe 4 : Résultats détaillés du semestre 1 de la promotion 4 par ENFPE et par sexe</w:t>
      </w:r>
    </w:p>
    <w:p>
      <w:pPr>
        <w:pStyle w:val="Caption"/>
        <w:keepNext w:val="true"/>
        <w:spacing w:lineRule="auto" w:line="240" w:before="200" w:after="100"/>
        <w:jc w:val="center"/>
        <w:rPr/>
      </w:pPr>
      <w:r>
        <w:rPr>
          <w:rFonts w:eastAsia="Times New Roman" w:cs="Times New Roman"/>
          <w:b/>
          <w:bCs/>
          <w:sz w:val="22"/>
          <w:szCs w:val="22"/>
        </w:rPr>
        <w:t xml:space="preserve">Tableau A2 : </w:t>
      </w:r>
      <w:r>
        <w:rPr>
          <w:rFonts w:eastAsia="Times New Roman" w:cs="Times New Roman"/>
          <w:sz w:val="22"/>
          <w:szCs w:val="22"/>
        </w:rPr>
        <w:t>Effectifs des EPE par ENFPE, statut et sexe (semestre 1, promotion 4)</w:t>
      </w:r>
    </w:p>
    <w:tbl>
      <w:tblPr>
        <w:tblW w:w="12813" w:type="dxa"/>
        <w:jc w:val="center"/>
        <w:tblInd w:w="0" w:type="dxa"/>
        <w:tblLayout w:type="fixed"/>
        <w:tblCellMar>
          <w:top w:w="40" w:type="dxa"/>
          <w:left w:w="60" w:type="dxa"/>
          <w:bottom w:w="40" w:type="dxa"/>
          <w:right w:w="60" w:type="dxa"/>
        </w:tblCellMar>
      </w:tblPr>
      <w:tblGrid>
        <w:gridCol w:w="1757"/>
        <w:gridCol w:w="737"/>
        <w:gridCol w:w="737"/>
        <w:gridCol w:w="738"/>
        <w:gridCol w:w="737"/>
        <w:gridCol w:w="736"/>
        <w:gridCol w:w="737"/>
        <w:gridCol w:w="737"/>
        <w:gridCol w:w="738"/>
        <w:gridCol w:w="737"/>
        <w:gridCol w:w="736"/>
        <w:gridCol w:w="737"/>
        <w:gridCol w:w="737"/>
        <w:gridCol w:w="738"/>
        <w:gridCol w:w="737"/>
        <w:gridCol w:w="734"/>
      </w:tblGrid>
      <w:tr>
        <w:trPr>
          <w:tblHeader w:val="true"/>
        </w:trPr>
        <w:tc>
          <w:tcPr>
            <w:tcW w:w="175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ENFPE</w:t>
            </w:r>
          </w:p>
        </w:tc>
        <w:tc>
          <w:tcPr>
            <w:tcW w:w="2212" w:type="dxa"/>
            <w:gridSpan w:val="3"/>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Inscrits</w:t>
            </w:r>
          </w:p>
        </w:tc>
        <w:tc>
          <w:tcPr>
            <w:tcW w:w="2210" w:type="dxa"/>
            <w:gridSpan w:val="3"/>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Présents</w:t>
            </w:r>
          </w:p>
        </w:tc>
        <w:tc>
          <w:tcPr>
            <w:tcW w:w="2212" w:type="dxa"/>
            <w:gridSpan w:val="3"/>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Admis (35 crédits)</w:t>
            </w:r>
          </w:p>
        </w:tc>
        <w:tc>
          <w:tcPr>
            <w:tcW w:w="2210" w:type="dxa"/>
            <w:gridSpan w:val="3"/>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Rattrapage (25 à 34 crédits)</w:t>
            </w:r>
          </w:p>
        </w:tc>
        <w:tc>
          <w:tcPr>
            <w:tcW w:w="2209" w:type="dxa"/>
            <w:gridSpan w:val="3"/>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Renvoi (moins de 25 crédits)</w:t>
            </w:r>
          </w:p>
        </w:tc>
      </w:tr>
      <w:tr>
        <w:trPr>
          <w:tblHeader w:val="true"/>
        </w:trPr>
        <w:tc>
          <w:tcPr>
            <w:tcW w:w="175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
          </w:p>
        </w:tc>
        <w:tc>
          <w:tcPr>
            <w:tcW w:w="73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H</w:t>
            </w:r>
          </w:p>
        </w:tc>
        <w:tc>
          <w:tcPr>
            <w:tcW w:w="73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F</w:t>
            </w:r>
          </w:p>
        </w:tc>
        <w:tc>
          <w:tcPr>
            <w:tcW w:w="73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T</w:t>
            </w:r>
          </w:p>
        </w:tc>
        <w:tc>
          <w:tcPr>
            <w:tcW w:w="73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H</w:t>
            </w:r>
          </w:p>
        </w:tc>
        <w:tc>
          <w:tcPr>
            <w:tcW w:w="7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F</w:t>
            </w:r>
          </w:p>
        </w:tc>
        <w:tc>
          <w:tcPr>
            <w:tcW w:w="73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T</w:t>
            </w:r>
          </w:p>
        </w:tc>
        <w:tc>
          <w:tcPr>
            <w:tcW w:w="73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H</w:t>
            </w:r>
          </w:p>
        </w:tc>
        <w:tc>
          <w:tcPr>
            <w:tcW w:w="73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F</w:t>
            </w:r>
          </w:p>
        </w:tc>
        <w:tc>
          <w:tcPr>
            <w:tcW w:w="73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T</w:t>
            </w:r>
          </w:p>
        </w:tc>
        <w:tc>
          <w:tcPr>
            <w:tcW w:w="736"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H</w:t>
            </w:r>
          </w:p>
        </w:tc>
        <w:tc>
          <w:tcPr>
            <w:tcW w:w="73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F</w:t>
            </w:r>
          </w:p>
        </w:tc>
        <w:tc>
          <w:tcPr>
            <w:tcW w:w="73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T</w:t>
            </w:r>
          </w:p>
        </w:tc>
        <w:tc>
          <w:tcPr>
            <w:tcW w:w="738"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H</w:t>
            </w:r>
          </w:p>
        </w:tc>
        <w:tc>
          <w:tcPr>
            <w:tcW w:w="737"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F</w:t>
            </w:r>
          </w:p>
        </w:tc>
        <w:tc>
          <w:tcPr>
            <w:tcW w:w="734"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T</w:t>
            </w:r>
          </w:p>
        </w:tc>
      </w:tr>
      <w:tr>
        <w:trPr>
          <w:cantSplit w:val="true"/>
        </w:trPr>
        <w:tc>
          <w:tcPr>
            <w:tcW w:w="17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Adéta</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22</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292</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314</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20</w:t>
            </w:r>
          </w:p>
        </w:tc>
        <w:tc>
          <w:tcPr>
            <w:tcW w:w="7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287</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307</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19</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226</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245</w:t>
            </w:r>
          </w:p>
        </w:tc>
        <w:tc>
          <w:tcPr>
            <w:tcW w:w="7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61</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62</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5</w:t>
            </w:r>
          </w:p>
        </w:tc>
        <w:tc>
          <w:tcPr>
            <w:tcW w:w="7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6</w:t>
            </w:r>
          </w:p>
        </w:tc>
      </w:tr>
      <w:tr>
        <w:trPr>
          <w:cantSplit w:val="true"/>
        </w:trPr>
        <w:tc>
          <w:tcPr>
            <w:tcW w:w="17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Mango</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17</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246</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263</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17</w:t>
            </w:r>
          </w:p>
        </w:tc>
        <w:tc>
          <w:tcPr>
            <w:tcW w:w="7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246</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263</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13</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215</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228</w:t>
            </w:r>
          </w:p>
        </w:tc>
        <w:tc>
          <w:tcPr>
            <w:tcW w:w="7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4</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29</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33</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w:t>
            </w:r>
          </w:p>
        </w:tc>
        <w:tc>
          <w:tcPr>
            <w:tcW w:w="7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w:t>
            </w:r>
          </w:p>
        </w:tc>
      </w:tr>
      <w:tr>
        <w:trPr>
          <w:cantSplit w:val="true"/>
        </w:trPr>
        <w:tc>
          <w:tcPr>
            <w:tcW w:w="175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left"/>
              <w:rPr/>
            </w:pPr>
            <w:r>
              <w:rPr>
                <w:rFonts w:eastAsia="Times New Roman" w:cs="Times New Roman"/>
                <w:b/>
                <w:bCs/>
                <w:sz w:val="22"/>
                <w:szCs w:val="22"/>
              </w:rPr>
              <w:t>Total préscolaire</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39</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538</w:t>
            </w:r>
          </w:p>
        </w:tc>
        <w:tc>
          <w:tcPr>
            <w:tcW w:w="73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577</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37</w:t>
            </w:r>
          </w:p>
        </w:tc>
        <w:tc>
          <w:tcPr>
            <w:tcW w:w="73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533</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570</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32</w:t>
            </w:r>
          </w:p>
        </w:tc>
        <w:tc>
          <w:tcPr>
            <w:tcW w:w="73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441</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473</w:t>
            </w:r>
          </w:p>
        </w:tc>
        <w:tc>
          <w:tcPr>
            <w:tcW w:w="73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5</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90</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95</w:t>
            </w:r>
          </w:p>
        </w:tc>
        <w:tc>
          <w:tcPr>
            <w:tcW w:w="73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7</w:t>
            </w:r>
          </w:p>
        </w:tc>
        <w:tc>
          <w:tcPr>
            <w:tcW w:w="7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8</w:t>
            </w:r>
          </w:p>
        </w:tc>
      </w:tr>
      <w:tr>
        <w:trPr>
          <w:cantSplit w:val="true"/>
        </w:trPr>
        <w:tc>
          <w:tcPr>
            <w:tcW w:w="17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Dapaong</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143</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130</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273</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123</w:t>
            </w:r>
          </w:p>
        </w:tc>
        <w:tc>
          <w:tcPr>
            <w:tcW w:w="7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120</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243</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85</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78</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163</w:t>
            </w:r>
          </w:p>
        </w:tc>
        <w:tc>
          <w:tcPr>
            <w:tcW w:w="7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38</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42</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80</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w:t>
            </w:r>
          </w:p>
        </w:tc>
        <w:tc>
          <w:tcPr>
            <w:tcW w:w="7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w:t>
            </w:r>
          </w:p>
        </w:tc>
      </w:tr>
      <w:tr>
        <w:trPr>
          <w:cantSplit w:val="true"/>
        </w:trPr>
        <w:tc>
          <w:tcPr>
            <w:tcW w:w="17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Niamtougou</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141</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120</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261</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134</w:t>
            </w:r>
          </w:p>
        </w:tc>
        <w:tc>
          <w:tcPr>
            <w:tcW w:w="7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119</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253</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101</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78</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179</w:t>
            </w:r>
          </w:p>
        </w:tc>
        <w:tc>
          <w:tcPr>
            <w:tcW w:w="7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30</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41</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71</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w:t>
            </w:r>
          </w:p>
        </w:tc>
        <w:tc>
          <w:tcPr>
            <w:tcW w:w="7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w:t>
            </w:r>
          </w:p>
        </w:tc>
      </w:tr>
      <w:tr>
        <w:trPr>
          <w:cantSplit w:val="true"/>
        </w:trPr>
        <w:tc>
          <w:tcPr>
            <w:tcW w:w="17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Notsè</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161</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133</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294</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161</w:t>
            </w:r>
          </w:p>
        </w:tc>
        <w:tc>
          <w:tcPr>
            <w:tcW w:w="7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133</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294</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123</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106</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229</w:t>
            </w:r>
          </w:p>
        </w:tc>
        <w:tc>
          <w:tcPr>
            <w:tcW w:w="7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38</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27</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65</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0</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0</w:t>
            </w:r>
          </w:p>
        </w:tc>
        <w:tc>
          <w:tcPr>
            <w:tcW w:w="7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0</w:t>
            </w:r>
          </w:p>
        </w:tc>
      </w:tr>
      <w:tr>
        <w:trPr>
          <w:cantSplit w:val="true"/>
        </w:trPr>
        <w:tc>
          <w:tcPr>
            <w:tcW w:w="17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Sotouboua</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133</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121</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254</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133</w:t>
            </w:r>
          </w:p>
        </w:tc>
        <w:tc>
          <w:tcPr>
            <w:tcW w:w="7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119</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252</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92</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82</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174</w:t>
            </w:r>
          </w:p>
        </w:tc>
        <w:tc>
          <w:tcPr>
            <w:tcW w:w="7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38</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35</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73</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4</w:t>
            </w:r>
          </w:p>
        </w:tc>
        <w:tc>
          <w:tcPr>
            <w:tcW w:w="7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w:t>
            </w:r>
          </w:p>
        </w:tc>
      </w:tr>
      <w:tr>
        <w:trPr>
          <w:cantSplit w:val="true"/>
        </w:trPr>
        <w:tc>
          <w:tcPr>
            <w:tcW w:w="175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Tabligbo</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130</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132</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262</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117</w:t>
            </w:r>
          </w:p>
        </w:tc>
        <w:tc>
          <w:tcPr>
            <w:tcW w:w="7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121</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238</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87</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81</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168</w:t>
            </w:r>
          </w:p>
        </w:tc>
        <w:tc>
          <w:tcPr>
            <w:tcW w:w="73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29</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38</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67</w:t>
            </w:r>
          </w:p>
        </w:tc>
        <w:tc>
          <w:tcPr>
            <w:tcW w:w="7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w:t>
            </w:r>
          </w:p>
        </w:tc>
        <w:tc>
          <w:tcPr>
            <w:tcW w:w="7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w:t>
            </w:r>
          </w:p>
        </w:tc>
      </w:tr>
      <w:tr>
        <w:trPr>
          <w:cantSplit w:val="true"/>
        </w:trPr>
        <w:tc>
          <w:tcPr>
            <w:tcW w:w="175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left"/>
              <w:rPr/>
            </w:pPr>
            <w:r>
              <w:rPr>
                <w:rFonts w:eastAsia="Times New Roman" w:cs="Times New Roman"/>
                <w:b/>
                <w:bCs/>
                <w:sz w:val="22"/>
                <w:szCs w:val="22"/>
              </w:rPr>
              <w:t>Total primaire</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708</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636</w:t>
            </w:r>
          </w:p>
        </w:tc>
        <w:tc>
          <w:tcPr>
            <w:tcW w:w="73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1 344</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668</w:t>
            </w:r>
          </w:p>
        </w:tc>
        <w:tc>
          <w:tcPr>
            <w:tcW w:w="73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612</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1 280</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488</w:t>
            </w:r>
          </w:p>
        </w:tc>
        <w:tc>
          <w:tcPr>
            <w:tcW w:w="73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425</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913</w:t>
            </w:r>
          </w:p>
        </w:tc>
        <w:tc>
          <w:tcPr>
            <w:tcW w:w="73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173</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183</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356</w:t>
            </w:r>
          </w:p>
        </w:tc>
        <w:tc>
          <w:tcPr>
            <w:tcW w:w="73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7</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6</w:t>
            </w:r>
          </w:p>
        </w:tc>
        <w:tc>
          <w:tcPr>
            <w:tcW w:w="7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13</w:t>
            </w:r>
          </w:p>
        </w:tc>
      </w:tr>
      <w:tr>
        <w:trPr>
          <w:cantSplit w:val="true"/>
        </w:trPr>
        <w:tc>
          <w:tcPr>
            <w:tcW w:w="175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left"/>
              <w:rPr/>
            </w:pPr>
            <w:r>
              <w:rPr>
                <w:rFonts w:eastAsia="Times New Roman" w:cs="Times New Roman"/>
                <w:b/>
                <w:bCs/>
                <w:sz w:val="22"/>
                <w:szCs w:val="22"/>
              </w:rPr>
              <w:t>Ensemble</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747</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1 174</w:t>
            </w:r>
          </w:p>
        </w:tc>
        <w:tc>
          <w:tcPr>
            <w:tcW w:w="73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1 921</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705</w:t>
            </w:r>
          </w:p>
        </w:tc>
        <w:tc>
          <w:tcPr>
            <w:tcW w:w="73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1 145</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1 850</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520</w:t>
            </w:r>
          </w:p>
        </w:tc>
        <w:tc>
          <w:tcPr>
            <w:tcW w:w="73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866</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1 386</w:t>
            </w:r>
          </w:p>
        </w:tc>
        <w:tc>
          <w:tcPr>
            <w:tcW w:w="73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178</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273</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451</w:t>
            </w:r>
          </w:p>
        </w:tc>
        <w:tc>
          <w:tcPr>
            <w:tcW w:w="73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8</w:t>
            </w:r>
          </w:p>
        </w:tc>
        <w:tc>
          <w:tcPr>
            <w:tcW w:w="73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13</w:t>
            </w:r>
          </w:p>
        </w:tc>
        <w:tc>
          <w:tcPr>
            <w:tcW w:w="7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21</w:t>
            </w:r>
          </w:p>
        </w:tc>
      </w:tr>
    </w:tbl>
    <w:p>
      <w:pPr>
        <w:pStyle w:val="Normal"/>
        <w:spacing w:lineRule="auto" w:line="240" w:before="60" w:after="0"/>
        <w:jc w:val="left"/>
        <w:rPr/>
      </w:pPr>
      <w:r>
        <w:rPr>
          <w:rFonts w:eastAsia="Times New Roman" w:cs="Times New Roman"/>
          <w:sz w:val="20"/>
          <w:szCs w:val="20"/>
        </w:rPr>
        <w:t>Note. H = hommes ; F = femmes ; T = total.</w:t>
      </w:r>
    </w:p>
    <w:p>
      <w:pPr>
        <w:pStyle w:val="Normal"/>
        <w:spacing w:lineRule="auto" w:line="240" w:before="60" w:after="240"/>
        <w:jc w:val="left"/>
        <w:rPr/>
      </w:pPr>
      <w:r>
        <w:rPr>
          <w:rFonts w:eastAsia="Times New Roman" w:cs="Times New Roman"/>
          <w:i/>
          <w:iCs/>
          <w:sz w:val="22"/>
          <w:szCs w:val="22"/>
        </w:rPr>
        <w:t>Source : Direction des programmes et innovations pédagogiques (DPIP), coordination des ENFPE (2026).</w:t>
      </w:r>
      <w:r>
        <w:br w:type="page"/>
      </w:r>
    </w:p>
    <w:p>
      <w:pPr>
        <w:pStyle w:val="Caption"/>
        <w:keepNext w:val="true"/>
        <w:spacing w:lineRule="auto" w:line="240" w:before="200" w:after="100"/>
        <w:jc w:val="center"/>
        <w:rPr/>
      </w:pPr>
      <w:r>
        <w:rPr>
          <w:rFonts w:eastAsia="Times New Roman" w:cs="Times New Roman"/>
          <w:b/>
          <w:bCs/>
          <w:sz w:val="22"/>
          <w:szCs w:val="22"/>
        </w:rPr>
        <w:t xml:space="preserve">Tableau A3 : </w:t>
      </w:r>
      <w:r>
        <w:rPr>
          <w:rFonts w:eastAsia="Times New Roman" w:cs="Times New Roman"/>
          <w:sz w:val="22"/>
          <w:szCs w:val="22"/>
        </w:rPr>
        <w:t>Taux de réussite, de rattrapage et de renvoi par ENFPE et par sexe, en % (semestre 1, promotion 4)</w:t>
      </w:r>
    </w:p>
    <w:tbl>
      <w:tblPr>
        <w:tblW w:w="12760" w:type="dxa"/>
        <w:jc w:val="center"/>
        <w:tblInd w:w="0" w:type="dxa"/>
        <w:tblLayout w:type="fixed"/>
        <w:tblCellMar>
          <w:top w:w="40" w:type="dxa"/>
          <w:left w:w="60" w:type="dxa"/>
          <w:bottom w:w="40" w:type="dxa"/>
          <w:right w:w="60" w:type="dxa"/>
        </w:tblCellMar>
      </w:tblPr>
      <w:tblGrid>
        <w:gridCol w:w="2041"/>
        <w:gridCol w:w="1191"/>
        <w:gridCol w:w="1190"/>
        <w:gridCol w:w="1192"/>
        <w:gridCol w:w="1190"/>
        <w:gridCol w:w="1191"/>
        <w:gridCol w:w="1192"/>
        <w:gridCol w:w="1190"/>
        <w:gridCol w:w="1192"/>
        <w:gridCol w:w="1190"/>
      </w:tblGrid>
      <w:tr>
        <w:trPr>
          <w:tblHeader w:val="true"/>
        </w:trPr>
        <w:tc>
          <w:tcPr>
            <w:tcW w:w="204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ENFPE</w:t>
            </w:r>
          </w:p>
        </w:tc>
        <w:tc>
          <w:tcPr>
            <w:tcW w:w="3573" w:type="dxa"/>
            <w:gridSpan w:val="3"/>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Taux de réussite</w:t>
            </w:r>
          </w:p>
        </w:tc>
        <w:tc>
          <w:tcPr>
            <w:tcW w:w="3573" w:type="dxa"/>
            <w:gridSpan w:val="3"/>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Taux de rattrapage</w:t>
            </w:r>
          </w:p>
        </w:tc>
        <w:tc>
          <w:tcPr>
            <w:tcW w:w="3572" w:type="dxa"/>
            <w:gridSpan w:val="3"/>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Taux de renvoi</w:t>
            </w:r>
          </w:p>
        </w:tc>
      </w:tr>
      <w:tr>
        <w:trPr>
          <w:tblHeader w:val="true"/>
        </w:trPr>
        <w:tc>
          <w:tcPr>
            <w:tcW w:w="204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
          </w:p>
        </w:tc>
        <w:tc>
          <w:tcPr>
            <w:tcW w:w="119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H</w:t>
            </w:r>
          </w:p>
        </w:tc>
        <w:tc>
          <w:tcPr>
            <w:tcW w:w="119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F</w:t>
            </w:r>
          </w:p>
        </w:tc>
        <w:tc>
          <w:tcPr>
            <w:tcW w:w="119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T</w:t>
            </w:r>
          </w:p>
        </w:tc>
        <w:tc>
          <w:tcPr>
            <w:tcW w:w="119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H</w:t>
            </w:r>
          </w:p>
        </w:tc>
        <w:tc>
          <w:tcPr>
            <w:tcW w:w="119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F</w:t>
            </w:r>
          </w:p>
        </w:tc>
        <w:tc>
          <w:tcPr>
            <w:tcW w:w="119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T</w:t>
            </w:r>
          </w:p>
        </w:tc>
        <w:tc>
          <w:tcPr>
            <w:tcW w:w="119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H</w:t>
            </w:r>
          </w:p>
        </w:tc>
        <w:tc>
          <w:tcPr>
            <w:tcW w:w="1192"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F</w:t>
            </w:r>
          </w:p>
        </w:tc>
        <w:tc>
          <w:tcPr>
            <w:tcW w:w="119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spacing w:lineRule="auto" w:line="240" w:before="0" w:after="0"/>
              <w:jc w:val="center"/>
              <w:rPr/>
            </w:pPr>
            <w:r>
              <w:rPr>
                <w:rFonts w:eastAsia="Times New Roman" w:cs="Times New Roman"/>
                <w:b/>
                <w:bCs/>
                <w:sz w:val="22"/>
                <w:szCs w:val="22"/>
              </w:rPr>
              <w:t>T</w:t>
            </w:r>
          </w:p>
        </w:tc>
      </w:tr>
      <w:tr>
        <w:trPr>
          <w:cantSplit w:val="true"/>
        </w:trPr>
        <w:tc>
          <w:tcPr>
            <w:tcW w:w="20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Adéta</w:t>
            </w:r>
          </w:p>
        </w:tc>
        <w:tc>
          <w:tcPr>
            <w:tcW w:w="11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95,00</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78,75</w:t>
            </w:r>
          </w:p>
        </w:tc>
        <w:tc>
          <w:tcPr>
            <w:tcW w:w="11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79,80</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5,00</w:t>
            </w:r>
          </w:p>
        </w:tc>
        <w:tc>
          <w:tcPr>
            <w:tcW w:w="11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21,25</w:t>
            </w:r>
          </w:p>
        </w:tc>
        <w:tc>
          <w:tcPr>
            <w:tcW w:w="11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20,20</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5,00</w:t>
            </w:r>
          </w:p>
        </w:tc>
        <w:tc>
          <w:tcPr>
            <w:tcW w:w="11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1,74</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1,95</w:t>
            </w:r>
          </w:p>
        </w:tc>
      </w:tr>
      <w:tr>
        <w:trPr>
          <w:cantSplit w:val="true"/>
        </w:trPr>
        <w:tc>
          <w:tcPr>
            <w:tcW w:w="20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Mango</w:t>
            </w:r>
          </w:p>
        </w:tc>
        <w:tc>
          <w:tcPr>
            <w:tcW w:w="11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76,47</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87,40</w:t>
            </w:r>
          </w:p>
        </w:tc>
        <w:tc>
          <w:tcPr>
            <w:tcW w:w="11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86,69</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23,53</w:t>
            </w:r>
          </w:p>
        </w:tc>
        <w:tc>
          <w:tcPr>
            <w:tcW w:w="11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11,79</w:t>
            </w:r>
          </w:p>
        </w:tc>
        <w:tc>
          <w:tcPr>
            <w:tcW w:w="11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12,55</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w:t>
            </w:r>
          </w:p>
        </w:tc>
        <w:tc>
          <w:tcPr>
            <w:tcW w:w="11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0,81</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0,76</w:t>
            </w:r>
          </w:p>
        </w:tc>
      </w:tr>
      <w:tr>
        <w:trPr>
          <w:cantSplit w:val="true"/>
        </w:trPr>
        <w:tc>
          <w:tcPr>
            <w:tcW w:w="204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left"/>
              <w:rPr/>
            </w:pPr>
            <w:r>
              <w:rPr>
                <w:rFonts w:eastAsia="Times New Roman" w:cs="Times New Roman"/>
                <w:b/>
                <w:bCs/>
                <w:sz w:val="22"/>
                <w:szCs w:val="22"/>
              </w:rPr>
              <w:t>Total préscolaire</w:t>
            </w:r>
          </w:p>
        </w:tc>
        <w:tc>
          <w:tcPr>
            <w:tcW w:w="119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86,49</w:t>
            </w:r>
          </w:p>
        </w:tc>
        <w:tc>
          <w:tcPr>
            <w:tcW w:w="119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82,74</w:t>
            </w:r>
          </w:p>
        </w:tc>
        <w:tc>
          <w:tcPr>
            <w:tcW w:w="119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82,98</w:t>
            </w:r>
          </w:p>
        </w:tc>
        <w:tc>
          <w:tcPr>
            <w:tcW w:w="119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13,51</w:t>
            </w:r>
          </w:p>
        </w:tc>
        <w:tc>
          <w:tcPr>
            <w:tcW w:w="119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16,89</w:t>
            </w:r>
          </w:p>
        </w:tc>
        <w:tc>
          <w:tcPr>
            <w:tcW w:w="119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16,67</w:t>
            </w:r>
          </w:p>
        </w:tc>
        <w:tc>
          <w:tcPr>
            <w:tcW w:w="119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2,70</w:t>
            </w:r>
          </w:p>
        </w:tc>
        <w:tc>
          <w:tcPr>
            <w:tcW w:w="119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1,31</w:t>
            </w:r>
          </w:p>
        </w:tc>
        <w:tc>
          <w:tcPr>
            <w:tcW w:w="119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1,40</w:t>
            </w:r>
          </w:p>
        </w:tc>
      </w:tr>
      <w:tr>
        <w:trPr>
          <w:cantSplit w:val="true"/>
        </w:trPr>
        <w:tc>
          <w:tcPr>
            <w:tcW w:w="20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Dapaong</w:t>
            </w:r>
          </w:p>
        </w:tc>
        <w:tc>
          <w:tcPr>
            <w:tcW w:w="11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69,11</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65,00</w:t>
            </w:r>
          </w:p>
        </w:tc>
        <w:tc>
          <w:tcPr>
            <w:tcW w:w="11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67,08</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30,89</w:t>
            </w:r>
          </w:p>
        </w:tc>
        <w:tc>
          <w:tcPr>
            <w:tcW w:w="11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35,00</w:t>
            </w:r>
          </w:p>
        </w:tc>
        <w:tc>
          <w:tcPr>
            <w:tcW w:w="11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32,92</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w:t>
            </w:r>
          </w:p>
        </w:tc>
        <w:tc>
          <w:tcPr>
            <w:tcW w:w="11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w:t>
            </w:r>
          </w:p>
        </w:tc>
      </w:tr>
      <w:tr>
        <w:trPr>
          <w:cantSplit w:val="true"/>
        </w:trPr>
        <w:tc>
          <w:tcPr>
            <w:tcW w:w="20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Niamtougou</w:t>
            </w:r>
          </w:p>
        </w:tc>
        <w:tc>
          <w:tcPr>
            <w:tcW w:w="11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75,37</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65,55</w:t>
            </w:r>
          </w:p>
        </w:tc>
        <w:tc>
          <w:tcPr>
            <w:tcW w:w="11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70,75</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22,39</w:t>
            </w:r>
          </w:p>
        </w:tc>
        <w:tc>
          <w:tcPr>
            <w:tcW w:w="11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34,45</w:t>
            </w:r>
          </w:p>
        </w:tc>
        <w:tc>
          <w:tcPr>
            <w:tcW w:w="11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28,06</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2,24</w:t>
            </w:r>
          </w:p>
        </w:tc>
        <w:tc>
          <w:tcPr>
            <w:tcW w:w="11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1,19</w:t>
            </w:r>
          </w:p>
        </w:tc>
      </w:tr>
      <w:tr>
        <w:trPr>
          <w:cantSplit w:val="true"/>
        </w:trPr>
        <w:tc>
          <w:tcPr>
            <w:tcW w:w="20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Notsè</w:t>
            </w:r>
          </w:p>
        </w:tc>
        <w:tc>
          <w:tcPr>
            <w:tcW w:w="11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76,40</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79,70</w:t>
            </w:r>
          </w:p>
        </w:tc>
        <w:tc>
          <w:tcPr>
            <w:tcW w:w="11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77,89</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23,60</w:t>
            </w:r>
          </w:p>
        </w:tc>
        <w:tc>
          <w:tcPr>
            <w:tcW w:w="11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20,30</w:t>
            </w:r>
          </w:p>
        </w:tc>
        <w:tc>
          <w:tcPr>
            <w:tcW w:w="11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22,11</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0,00</w:t>
            </w:r>
          </w:p>
        </w:tc>
        <w:tc>
          <w:tcPr>
            <w:tcW w:w="11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0,00</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0,00</w:t>
            </w:r>
          </w:p>
        </w:tc>
      </w:tr>
      <w:tr>
        <w:trPr>
          <w:cantSplit w:val="true"/>
        </w:trPr>
        <w:tc>
          <w:tcPr>
            <w:tcW w:w="20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Sotouboua</w:t>
            </w:r>
          </w:p>
        </w:tc>
        <w:tc>
          <w:tcPr>
            <w:tcW w:w="11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69,17</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68,91</w:t>
            </w:r>
          </w:p>
        </w:tc>
        <w:tc>
          <w:tcPr>
            <w:tcW w:w="11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69,05</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28,57</w:t>
            </w:r>
          </w:p>
        </w:tc>
        <w:tc>
          <w:tcPr>
            <w:tcW w:w="11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29,41</w:t>
            </w:r>
          </w:p>
        </w:tc>
        <w:tc>
          <w:tcPr>
            <w:tcW w:w="11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28,97</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2,26</w:t>
            </w:r>
          </w:p>
        </w:tc>
        <w:tc>
          <w:tcPr>
            <w:tcW w:w="11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3,36</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2,78</w:t>
            </w:r>
          </w:p>
        </w:tc>
      </w:tr>
      <w:tr>
        <w:trPr>
          <w:cantSplit w:val="true"/>
        </w:trPr>
        <w:tc>
          <w:tcPr>
            <w:tcW w:w="204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Fonts w:eastAsia="Times New Roman" w:cs="Times New Roman"/>
                <w:b w:val="false"/>
                <w:bCs w:val="false"/>
                <w:sz w:val="22"/>
                <w:szCs w:val="22"/>
              </w:rPr>
              <w:t>Tabligbo</w:t>
            </w:r>
          </w:p>
        </w:tc>
        <w:tc>
          <w:tcPr>
            <w:tcW w:w="11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74,36</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66,94</w:t>
            </w:r>
          </w:p>
        </w:tc>
        <w:tc>
          <w:tcPr>
            <w:tcW w:w="11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70,59</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24,79</w:t>
            </w:r>
          </w:p>
        </w:tc>
        <w:tc>
          <w:tcPr>
            <w:tcW w:w="119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31,40</w:t>
            </w:r>
          </w:p>
        </w:tc>
        <w:tc>
          <w:tcPr>
            <w:tcW w:w="11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28,15</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0,85</w:t>
            </w:r>
          </w:p>
        </w:tc>
        <w:tc>
          <w:tcPr>
            <w:tcW w:w="11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1,65</w:t>
            </w:r>
          </w:p>
        </w:tc>
        <w:tc>
          <w:tcPr>
            <w:tcW w:w="11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pPr>
            <w:r>
              <w:rPr>
                <w:rFonts w:eastAsia="Times New Roman" w:cs="Times New Roman"/>
                <w:b w:val="false"/>
                <w:bCs w:val="false"/>
                <w:sz w:val="22"/>
                <w:szCs w:val="22"/>
              </w:rPr>
              <w:t>1,26</w:t>
            </w:r>
          </w:p>
        </w:tc>
      </w:tr>
      <w:tr>
        <w:trPr>
          <w:cantSplit w:val="true"/>
        </w:trPr>
        <w:tc>
          <w:tcPr>
            <w:tcW w:w="204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left"/>
              <w:rPr/>
            </w:pPr>
            <w:r>
              <w:rPr>
                <w:rFonts w:eastAsia="Times New Roman" w:cs="Times New Roman"/>
                <w:b/>
                <w:bCs/>
                <w:sz w:val="22"/>
                <w:szCs w:val="22"/>
              </w:rPr>
              <w:t>Total primaire</w:t>
            </w:r>
          </w:p>
        </w:tc>
        <w:tc>
          <w:tcPr>
            <w:tcW w:w="119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73,05</w:t>
            </w:r>
          </w:p>
        </w:tc>
        <w:tc>
          <w:tcPr>
            <w:tcW w:w="119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69,44</w:t>
            </w:r>
          </w:p>
        </w:tc>
        <w:tc>
          <w:tcPr>
            <w:tcW w:w="119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71,33</w:t>
            </w:r>
          </w:p>
        </w:tc>
        <w:tc>
          <w:tcPr>
            <w:tcW w:w="119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25,90</w:t>
            </w:r>
          </w:p>
        </w:tc>
        <w:tc>
          <w:tcPr>
            <w:tcW w:w="119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29,90</w:t>
            </w:r>
          </w:p>
        </w:tc>
        <w:tc>
          <w:tcPr>
            <w:tcW w:w="119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27,81</w:t>
            </w:r>
          </w:p>
        </w:tc>
        <w:tc>
          <w:tcPr>
            <w:tcW w:w="119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1,05</w:t>
            </w:r>
          </w:p>
        </w:tc>
        <w:tc>
          <w:tcPr>
            <w:tcW w:w="119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0,98</w:t>
            </w:r>
          </w:p>
        </w:tc>
        <w:tc>
          <w:tcPr>
            <w:tcW w:w="119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1,02</w:t>
            </w:r>
          </w:p>
        </w:tc>
      </w:tr>
      <w:tr>
        <w:trPr>
          <w:cantSplit w:val="true"/>
        </w:trPr>
        <w:tc>
          <w:tcPr>
            <w:tcW w:w="204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left"/>
              <w:rPr/>
            </w:pPr>
            <w:r>
              <w:rPr>
                <w:rFonts w:eastAsia="Times New Roman" w:cs="Times New Roman"/>
                <w:b/>
                <w:bCs/>
                <w:sz w:val="22"/>
                <w:szCs w:val="22"/>
              </w:rPr>
              <w:t>Ensemble</w:t>
            </w:r>
          </w:p>
        </w:tc>
        <w:tc>
          <w:tcPr>
            <w:tcW w:w="119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73,76</w:t>
            </w:r>
          </w:p>
        </w:tc>
        <w:tc>
          <w:tcPr>
            <w:tcW w:w="119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75,63</w:t>
            </w:r>
          </w:p>
        </w:tc>
        <w:tc>
          <w:tcPr>
            <w:tcW w:w="119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74,92</w:t>
            </w:r>
          </w:p>
        </w:tc>
        <w:tc>
          <w:tcPr>
            <w:tcW w:w="119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25,25</w:t>
            </w:r>
          </w:p>
        </w:tc>
        <w:tc>
          <w:tcPr>
            <w:tcW w:w="119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23,84</w:t>
            </w:r>
          </w:p>
        </w:tc>
        <w:tc>
          <w:tcPr>
            <w:tcW w:w="119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24,38</w:t>
            </w:r>
          </w:p>
        </w:tc>
        <w:tc>
          <w:tcPr>
            <w:tcW w:w="119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1,13</w:t>
            </w:r>
          </w:p>
        </w:tc>
        <w:tc>
          <w:tcPr>
            <w:tcW w:w="119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1,14</w:t>
            </w:r>
          </w:p>
        </w:tc>
        <w:tc>
          <w:tcPr>
            <w:tcW w:w="119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pPr>
            <w:r>
              <w:rPr>
                <w:rFonts w:eastAsia="Times New Roman" w:cs="Times New Roman"/>
                <w:b/>
                <w:bCs/>
                <w:sz w:val="22"/>
                <w:szCs w:val="22"/>
              </w:rPr>
              <w:t>1,14</w:t>
            </w:r>
          </w:p>
        </w:tc>
      </w:tr>
    </w:tbl>
    <w:p>
      <w:pPr>
        <w:pStyle w:val="Normal"/>
        <w:spacing w:lineRule="auto" w:line="240" w:before="60" w:after="240"/>
        <w:jc w:val="left"/>
        <w:rPr/>
        <w:sectPr>
          <w:footerReference w:type="even" r:id="rId21"/>
          <w:footerReference w:type="default" r:id="rId22"/>
          <w:footerReference w:type="first" r:id="rId23"/>
          <w:type w:val="nextPage"/>
          <w:pgSz w:orient="landscape" w:w="16838" w:h="11906"/>
          <w:pgMar w:left="1418" w:right="1418" w:gutter="0" w:header="0" w:top="1418" w:footer="567" w:bottom="1418"/>
          <w:pgNumType w:fmt="decimal"/>
          <w:formProt w:val="false"/>
          <w:textDirection w:val="lrTb"/>
          <w:docGrid w:type="default" w:linePitch="360" w:charSpace="0"/>
        </w:sectPr>
      </w:pPr>
      <w:r>
        <w:rPr>
          <w:rFonts w:eastAsia="Times New Roman" w:cs="Times New Roman"/>
          <w:i/>
          <w:iCs/>
          <w:sz w:val="22"/>
          <w:szCs w:val="22"/>
        </w:rPr>
        <w:t>Source : Direction des programmes et innovations pédagogiques (DPIP), coordination des ENFPE (2026).</w:t>
      </w:r>
      <w:r>
        <w:br w:type="page"/>
      </w:r>
    </w:p>
    <w:p>
      <w:pPr>
        <w:pStyle w:val="Titreliminaire"/>
        <w:rPr/>
      </w:pPr>
      <w:r>
        <w:rPr>
          <w:rFonts w:eastAsia="Times New Roman" w:cs="Times New Roman"/>
        </w:rPr>
        <w:t>TABLE DES MATIÈRES</w:t>
      </w:r>
    </w:p>
    <w:sdt>
      <w:sdtPr>
        <w:docPartObj>
          <w:docPartGallery w:val="Table of Contents"/>
          <w:docPartUnique w:val="true"/>
        </w:docPartObj>
      </w:sdtPr>
      <w:sdtContent>
        <w:p>
          <w:pPr>
            <w:pStyle w:val="TOC1"/>
            <w:tabs>
              <w:tab w:val="clear" w:pos="9070"/>
              <w:tab w:val="right" w:pos="9069" w:leader="dot"/>
            </w:tabs>
            <w:rPr/>
          </w:pPr>
          <w:r>
            <w:fldChar w:fldCharType="begin"/>
          </w:r>
          <w:r>
            <w:rPr>
              <w:rStyle w:val="IndexLink"/>
            </w:rPr>
            <w:instrText xml:space="preserve"> TOC \o "1-3" \h</w:instrText>
          </w:r>
          <w:r>
            <w:rPr>
              <w:rStyle w:val="IndexLink"/>
            </w:rPr>
            <w:fldChar w:fldCharType="separate"/>
          </w:r>
          <w:hyperlink w:anchor="__RefHeading___Toc49418_3411847120">
            <w:r>
              <w:rPr>
                <w:rStyle w:val="IndexLink"/>
              </w:rPr>
              <w:t>CHAPITRE 1 : CADRE DU STAGE, ACTIVITÉS RÉALISÉES, ACQUIS PROFESSIONNELS ET DIFFICULTÉS RENCONTRÉES</w:t>
              <w:tab/>
              <w:t>1</w:t>
            </w:r>
          </w:hyperlink>
        </w:p>
        <w:p>
          <w:pPr>
            <w:pStyle w:val="TOC2"/>
            <w:tabs>
              <w:tab w:val="clear" w:pos="8787"/>
              <w:tab w:val="right" w:pos="9069" w:leader="dot"/>
            </w:tabs>
            <w:rPr/>
          </w:pPr>
          <w:hyperlink w:anchor="__RefHeading___Toc49420_3411847120">
            <w:r>
              <w:rPr>
                <w:rStyle w:val="IndexLink"/>
              </w:rPr>
              <w:t>Introduction</w:t>
              <w:tab/>
              <w:t>1</w:t>
            </w:r>
          </w:hyperlink>
        </w:p>
        <w:p>
          <w:pPr>
            <w:pStyle w:val="TOC2"/>
            <w:tabs>
              <w:tab w:val="clear" w:pos="8787"/>
              <w:tab w:val="right" w:pos="9069" w:leader="dot"/>
            </w:tabs>
            <w:rPr/>
          </w:pPr>
          <w:hyperlink w:anchor="__RefHeading___Toc49422_3411847120">
            <w:r>
              <w:rPr>
                <w:rStyle w:val="IndexLink"/>
              </w:rPr>
              <w:t>1.1. Cadre institutionnel du stage</w:t>
              <w:tab/>
              <w:t>2</w:t>
            </w:r>
          </w:hyperlink>
        </w:p>
        <w:p>
          <w:pPr>
            <w:pStyle w:val="TOC3"/>
            <w:tabs>
              <w:tab w:val="clear" w:pos="8503"/>
              <w:tab w:val="right" w:pos="9069" w:leader="dot"/>
            </w:tabs>
            <w:rPr/>
          </w:pPr>
          <w:hyperlink w:anchor="__RefHeading___Toc49492_3411847120">
            <w:r>
              <w:rPr>
                <w:rStyle w:val="IndexLink"/>
              </w:rPr>
              <w:t>1.1.1. Bref historique</w:t>
              <w:tab/>
              <w:t>2</w:t>
            </w:r>
          </w:hyperlink>
        </w:p>
        <w:p>
          <w:pPr>
            <w:pStyle w:val="TOC3"/>
            <w:tabs>
              <w:tab w:val="clear" w:pos="8503"/>
              <w:tab w:val="right" w:pos="9069" w:leader="dot"/>
            </w:tabs>
            <w:rPr/>
          </w:pPr>
          <w:hyperlink w:anchor="__RefHeading___Toc49494_3411847120">
            <w:r>
              <w:rPr>
                <w:rStyle w:val="IndexLink"/>
              </w:rPr>
              <w:t>1.1.2. Personnel</w:t>
              <w:tab/>
              <w:t>2</w:t>
            </w:r>
          </w:hyperlink>
        </w:p>
        <w:p>
          <w:pPr>
            <w:pStyle w:val="TOC3"/>
            <w:tabs>
              <w:tab w:val="clear" w:pos="8503"/>
              <w:tab w:val="right" w:pos="9069" w:leader="dot"/>
            </w:tabs>
            <w:rPr/>
          </w:pPr>
          <w:hyperlink w:anchor="__RefHeading___Toc49496_3411847120">
            <w:r>
              <w:rPr>
                <w:rStyle w:val="IndexLink"/>
              </w:rPr>
              <w:t>1.1.3. Infrastructures</w:t>
              <w:tab/>
              <w:t>3</w:t>
            </w:r>
          </w:hyperlink>
        </w:p>
        <w:p>
          <w:pPr>
            <w:pStyle w:val="TOC2"/>
            <w:tabs>
              <w:tab w:val="clear" w:pos="8787"/>
              <w:tab w:val="right" w:pos="9069" w:leader="dot"/>
            </w:tabs>
            <w:rPr/>
          </w:pPr>
          <w:hyperlink w:anchor="__RefHeading___Toc49424_3411847120">
            <w:r>
              <w:rPr>
                <w:rStyle w:val="IndexLink"/>
              </w:rPr>
              <w:t>1.2. Compte rendu des activités menées</w:t>
              <w:tab/>
              <w:t>3</w:t>
            </w:r>
          </w:hyperlink>
        </w:p>
        <w:p>
          <w:pPr>
            <w:pStyle w:val="TOC3"/>
            <w:tabs>
              <w:tab w:val="clear" w:pos="8503"/>
              <w:tab w:val="right" w:pos="9069" w:leader="dot"/>
            </w:tabs>
            <w:rPr/>
          </w:pPr>
          <w:hyperlink w:anchor="__RefHeading___Toc49498_3411847120">
            <w:r>
              <w:rPr>
                <w:rStyle w:val="IndexLink"/>
              </w:rPr>
              <w:t>1.2.1. Prise de contact et intégration institutionnelle</w:t>
              <w:tab/>
              <w:t>3</w:t>
            </w:r>
          </w:hyperlink>
        </w:p>
        <w:p>
          <w:pPr>
            <w:pStyle w:val="TOC3"/>
            <w:tabs>
              <w:tab w:val="clear" w:pos="8503"/>
              <w:tab w:val="right" w:pos="9069" w:leader="dot"/>
            </w:tabs>
            <w:rPr/>
          </w:pPr>
          <w:hyperlink w:anchor="__RefHeading___Toc49500_3411847120">
            <w:r>
              <w:rPr>
                <w:rStyle w:val="IndexLink"/>
              </w:rPr>
              <w:t>1.2.2. Correction des copies de l’examen du semestre 1 de la promotion 4</w:t>
              <w:tab/>
              <w:t>4</w:t>
            </w:r>
          </w:hyperlink>
        </w:p>
        <w:p>
          <w:pPr>
            <w:pStyle w:val="TOC3"/>
            <w:tabs>
              <w:tab w:val="clear" w:pos="8503"/>
              <w:tab w:val="right" w:pos="9069" w:leader="dot"/>
            </w:tabs>
            <w:rPr/>
          </w:pPr>
          <w:hyperlink w:anchor="__RefHeading___Toc49502_3411847120">
            <w:r>
              <w:rPr>
                <w:rStyle w:val="IndexLink"/>
              </w:rPr>
              <w:t>1.2.3. Visites des autorités en charge de l’éducation nationale</w:t>
              <w:tab/>
              <w:t>4</w:t>
            </w:r>
          </w:hyperlink>
        </w:p>
        <w:p>
          <w:pPr>
            <w:pStyle w:val="TOC3"/>
            <w:tabs>
              <w:tab w:val="clear" w:pos="8503"/>
              <w:tab w:val="right" w:pos="9069" w:leader="dot"/>
            </w:tabs>
            <w:rPr/>
          </w:pPr>
          <w:hyperlink w:anchor="__RefHeading___Toc49504_3411847120">
            <w:r>
              <w:rPr>
                <w:rStyle w:val="IndexLink"/>
              </w:rPr>
              <w:t>1.2.4. Pratiques de classe</w:t>
              <w:tab/>
              <w:t>6</w:t>
            </w:r>
          </w:hyperlink>
        </w:p>
        <w:p>
          <w:pPr>
            <w:pStyle w:val="TOC3"/>
            <w:tabs>
              <w:tab w:val="clear" w:pos="8503"/>
              <w:tab w:val="right" w:pos="9069" w:leader="dot"/>
            </w:tabs>
            <w:rPr/>
          </w:pPr>
          <w:hyperlink w:anchor="__RefHeading___Toc49506_3411847120">
            <w:r>
              <w:rPr>
                <w:rStyle w:val="IndexLink"/>
              </w:rPr>
              <w:t>1.2.5. Retour de la promotion 3 et administration des unités d’enseignement libres</w:t>
              <w:tab/>
              <w:t>7</w:t>
            </w:r>
          </w:hyperlink>
        </w:p>
        <w:p>
          <w:pPr>
            <w:pStyle w:val="TOC3"/>
            <w:tabs>
              <w:tab w:val="clear" w:pos="8503"/>
              <w:tab w:val="right" w:pos="9069" w:leader="dot"/>
            </w:tabs>
            <w:rPr/>
          </w:pPr>
          <w:hyperlink w:anchor="__RefHeading___Toc49508_3411847120">
            <w:r>
              <w:rPr>
                <w:rStyle w:val="IndexLink"/>
              </w:rPr>
              <w:t>1.2.6. Suivi des élèves-professeurs en stage</w:t>
              <w:tab/>
              <w:t>7</w:t>
            </w:r>
          </w:hyperlink>
        </w:p>
        <w:p>
          <w:pPr>
            <w:pStyle w:val="TOC3"/>
            <w:tabs>
              <w:tab w:val="clear" w:pos="8503"/>
              <w:tab w:val="right" w:pos="9069" w:leader="dot"/>
            </w:tabs>
            <w:rPr/>
          </w:pPr>
          <w:hyperlink w:anchor="__RefHeading___Toc49510_3411847120">
            <w:r>
              <w:rPr>
                <w:rStyle w:val="IndexLink"/>
              </w:rPr>
              <w:t>1.2.7. Délibération des résultats du semestre 1 de la promotion 4</w:t>
              <w:tab/>
              <w:t>9</w:t>
            </w:r>
          </w:hyperlink>
        </w:p>
        <w:p>
          <w:pPr>
            <w:pStyle w:val="TOC3"/>
            <w:tabs>
              <w:tab w:val="clear" w:pos="8503"/>
              <w:tab w:val="right" w:pos="9069" w:leader="dot"/>
            </w:tabs>
            <w:rPr/>
          </w:pPr>
          <w:hyperlink w:anchor="__RefHeading___Toc49512_3411847120">
            <w:r>
              <w:rPr>
                <w:rStyle w:val="IndexLink"/>
              </w:rPr>
              <w:t>1.2.8. Réunions avec le personnel administratif et les formateurs</w:t>
              <w:tab/>
              <w:t>13</w:t>
            </w:r>
          </w:hyperlink>
        </w:p>
        <w:p>
          <w:pPr>
            <w:pStyle w:val="TOC3"/>
            <w:tabs>
              <w:tab w:val="clear" w:pos="8503"/>
              <w:tab w:val="right" w:pos="9069" w:leader="dot"/>
            </w:tabs>
            <w:rPr/>
          </w:pPr>
          <w:hyperlink w:anchor="__RefHeading___Toc49514_3411847120">
            <w:r>
              <w:rPr>
                <w:rStyle w:val="IndexLink"/>
              </w:rPr>
              <w:t>1.2.9. Participation à la remédiation</w:t>
              <w:tab/>
              <w:t>14</w:t>
            </w:r>
          </w:hyperlink>
        </w:p>
        <w:p>
          <w:pPr>
            <w:pStyle w:val="TOC3"/>
            <w:tabs>
              <w:tab w:val="clear" w:pos="8503"/>
              <w:tab w:val="right" w:pos="9069" w:leader="dot"/>
            </w:tabs>
            <w:rPr/>
          </w:pPr>
          <w:hyperlink w:anchor="__RefHeading___Toc49516_3411847120">
            <w:r>
              <w:rPr>
                <w:rStyle w:val="IndexLink"/>
              </w:rPr>
              <w:t>1.2.10. Participation à l’évaluation des EPE</w:t>
              <w:tab/>
              <w:t>14</w:t>
            </w:r>
          </w:hyperlink>
        </w:p>
        <w:p>
          <w:pPr>
            <w:pStyle w:val="TOC2"/>
            <w:tabs>
              <w:tab w:val="clear" w:pos="8787"/>
              <w:tab w:val="right" w:pos="9069" w:leader="dot"/>
            </w:tabs>
            <w:rPr/>
          </w:pPr>
          <w:hyperlink w:anchor="__RefHeading___Toc49426_3411847120">
            <w:r>
              <w:rPr>
                <w:rStyle w:val="IndexLink"/>
              </w:rPr>
              <w:t>1.3. Acquis professionnels : bonnes pratiques et expériences à capitaliser</w:t>
              <w:tab/>
              <w:t>14</w:t>
            </w:r>
          </w:hyperlink>
        </w:p>
        <w:p>
          <w:pPr>
            <w:pStyle w:val="TOC3"/>
            <w:tabs>
              <w:tab w:val="clear" w:pos="8503"/>
              <w:tab w:val="right" w:pos="9069" w:leader="dot"/>
            </w:tabs>
            <w:rPr/>
          </w:pPr>
          <w:hyperlink w:anchor="__RefHeading___Toc49518_3411847120">
            <w:r>
              <w:rPr>
                <w:rStyle w:val="IndexLink"/>
              </w:rPr>
              <w:t>1.3.1. Bonnes pratiques et expériences à capitaliser</w:t>
              <w:tab/>
              <w:t>14</w:t>
            </w:r>
          </w:hyperlink>
        </w:p>
        <w:p>
          <w:pPr>
            <w:pStyle w:val="TOC3"/>
            <w:tabs>
              <w:tab w:val="clear" w:pos="8503"/>
              <w:tab w:val="right" w:pos="9069" w:leader="dot"/>
            </w:tabs>
            <w:rPr/>
          </w:pPr>
          <w:hyperlink w:anchor="__RefHeading___Toc49520_3411847120">
            <w:r>
              <w:rPr>
                <w:rStyle w:val="IndexLink"/>
              </w:rPr>
              <w:t>1.3.2. Élaboration de fiches pédagogiques</w:t>
              <w:tab/>
              <w:t>15</w:t>
            </w:r>
          </w:hyperlink>
        </w:p>
        <w:p>
          <w:pPr>
            <w:pStyle w:val="TOC3"/>
            <w:tabs>
              <w:tab w:val="clear" w:pos="8503"/>
              <w:tab w:val="right" w:pos="9069" w:leader="dot"/>
            </w:tabs>
            <w:rPr/>
          </w:pPr>
          <w:hyperlink w:anchor="__RefHeading___Toc49522_3411847120">
            <w:r>
              <w:rPr>
                <w:rStyle w:val="IndexLink"/>
              </w:rPr>
              <w:t>1.3.3. Suivi et accompagnement pédagogiques</w:t>
              <w:tab/>
              <w:t>15</w:t>
            </w:r>
          </w:hyperlink>
        </w:p>
        <w:p>
          <w:pPr>
            <w:pStyle w:val="TOC2"/>
            <w:tabs>
              <w:tab w:val="clear" w:pos="8787"/>
              <w:tab w:val="right" w:pos="9069" w:leader="dot"/>
            </w:tabs>
            <w:rPr/>
          </w:pPr>
          <w:hyperlink w:anchor="__RefHeading___Toc49428_3411847120">
            <w:r>
              <w:rPr>
                <w:rStyle w:val="IndexLink"/>
              </w:rPr>
              <w:t>1.4. Difficultés rencontrées</w:t>
              <w:tab/>
              <w:t>16</w:t>
            </w:r>
          </w:hyperlink>
        </w:p>
        <w:p>
          <w:pPr>
            <w:pStyle w:val="TOC2"/>
            <w:tabs>
              <w:tab w:val="clear" w:pos="8787"/>
              <w:tab w:val="right" w:pos="9069" w:leader="dot"/>
            </w:tabs>
            <w:rPr/>
          </w:pPr>
          <w:hyperlink w:anchor="__RefHeading___Toc49430_3411847120">
            <w:r>
              <w:rPr>
                <w:rStyle w:val="IndexLink"/>
              </w:rPr>
              <w:t>1.5. Analyse des difficultés et suggestions</w:t>
              <w:tab/>
              <w:t>17</w:t>
            </w:r>
          </w:hyperlink>
        </w:p>
        <w:p>
          <w:pPr>
            <w:pStyle w:val="TOC3"/>
            <w:tabs>
              <w:tab w:val="clear" w:pos="8503"/>
              <w:tab w:val="right" w:pos="9069" w:leader="dot"/>
            </w:tabs>
            <w:rPr/>
          </w:pPr>
          <w:hyperlink w:anchor="__RefHeading___Toc49524_3411847120">
            <w:r>
              <w:rPr>
                <w:rStyle w:val="IndexLink"/>
              </w:rPr>
              <w:t>1.5.1. Analyse des difficultés</w:t>
              <w:tab/>
              <w:t>17</w:t>
            </w:r>
          </w:hyperlink>
        </w:p>
        <w:p>
          <w:pPr>
            <w:pStyle w:val="TOC3"/>
            <w:tabs>
              <w:tab w:val="clear" w:pos="8503"/>
              <w:tab w:val="right" w:pos="9069" w:leader="dot"/>
            </w:tabs>
            <w:rPr/>
          </w:pPr>
          <w:hyperlink w:anchor="__RefHeading___Toc49526_3411847120">
            <w:r>
              <w:rPr>
                <w:rStyle w:val="IndexLink"/>
              </w:rPr>
              <w:t>1.5.2. Suggestions</w:t>
              <w:tab/>
              <w:t>17</w:t>
            </w:r>
          </w:hyperlink>
        </w:p>
        <w:p>
          <w:pPr>
            <w:pStyle w:val="TOC2"/>
            <w:tabs>
              <w:tab w:val="clear" w:pos="8787"/>
              <w:tab w:val="right" w:pos="9069" w:leader="dot"/>
            </w:tabs>
            <w:rPr/>
          </w:pPr>
          <w:hyperlink w:anchor="__RefHeading___Toc49432_3411847120">
            <w:r>
              <w:rPr>
                <w:rStyle w:val="IndexLink"/>
              </w:rPr>
              <w:t>Conclusion</w:t>
              <w:tab/>
              <w:t>18</w:t>
            </w:r>
          </w:hyperlink>
        </w:p>
        <w:p>
          <w:pPr>
            <w:pStyle w:val="TOC1"/>
            <w:tabs>
              <w:tab w:val="clear" w:pos="9070"/>
              <w:tab w:val="right" w:pos="9069" w:leader="dot"/>
            </w:tabs>
            <w:rPr/>
          </w:pPr>
          <w:hyperlink w:anchor="__RefHeading___Toc49434_3411847120">
            <w:r>
              <w:rPr>
                <w:rStyle w:val="IndexLink"/>
              </w:rPr>
              <w:t>CHAPITRE 2 : PROBLÈME SOULEVÉ AU COURS DU STAGE</w:t>
              <w:tab/>
              <w:t>19</w:t>
            </w:r>
          </w:hyperlink>
        </w:p>
        <w:p>
          <w:pPr>
            <w:pStyle w:val="TOC2"/>
            <w:tabs>
              <w:tab w:val="clear" w:pos="8787"/>
              <w:tab w:val="right" w:pos="9069" w:leader="dot"/>
            </w:tabs>
            <w:rPr/>
          </w:pPr>
          <w:hyperlink w:anchor="__RefHeading___Toc49436_3411847120">
            <w:r>
              <w:rPr>
                <w:rStyle w:val="IndexLink"/>
              </w:rPr>
              <w:t>2.1. Introduction</w:t>
              <w:tab/>
              <w:t>19</w:t>
            </w:r>
          </w:hyperlink>
        </w:p>
        <w:p>
          <w:pPr>
            <w:pStyle w:val="TOC2"/>
            <w:tabs>
              <w:tab w:val="clear" w:pos="8787"/>
              <w:tab w:val="right" w:pos="9069" w:leader="dot"/>
            </w:tabs>
            <w:rPr/>
          </w:pPr>
          <w:hyperlink w:anchor="__RefHeading___Toc49438_3411847120">
            <w:r>
              <w:rPr>
                <w:rStyle w:val="IndexLink"/>
              </w:rPr>
              <w:t>2.2. Contexte et justification de l’étude</w:t>
              <w:tab/>
              <w:t>20</w:t>
            </w:r>
          </w:hyperlink>
        </w:p>
        <w:p>
          <w:pPr>
            <w:pStyle w:val="TOC3"/>
            <w:tabs>
              <w:tab w:val="clear" w:pos="8503"/>
              <w:tab w:val="right" w:pos="9069" w:leader="dot"/>
            </w:tabs>
            <w:rPr/>
          </w:pPr>
          <w:hyperlink w:anchor="__RefHeading___Toc49528_3411847120">
            <w:r>
              <w:rPr>
                <w:rStyle w:val="IndexLink"/>
              </w:rPr>
              <w:t>2.2.1. Contexte du problème</w:t>
              <w:tab/>
              <w:t>20</w:t>
            </w:r>
          </w:hyperlink>
        </w:p>
        <w:p>
          <w:pPr>
            <w:pStyle w:val="TOC3"/>
            <w:tabs>
              <w:tab w:val="clear" w:pos="8503"/>
              <w:tab w:val="right" w:pos="9069" w:leader="dot"/>
            </w:tabs>
            <w:rPr/>
          </w:pPr>
          <w:hyperlink w:anchor="__RefHeading___Toc49530_3411847120">
            <w:r>
              <w:rPr>
                <w:rStyle w:val="IndexLink"/>
              </w:rPr>
              <w:t>2.2.2. Justification du problème</w:t>
              <w:tab/>
              <w:t>20</w:t>
            </w:r>
          </w:hyperlink>
        </w:p>
        <w:p>
          <w:pPr>
            <w:pStyle w:val="TOC3"/>
            <w:tabs>
              <w:tab w:val="clear" w:pos="8503"/>
              <w:tab w:val="right" w:pos="9069" w:leader="dot"/>
            </w:tabs>
            <w:rPr/>
          </w:pPr>
          <w:hyperlink w:anchor="__RefHeading___Toc49532_3411847120">
            <w:r>
              <w:rPr>
                <w:rStyle w:val="IndexLink"/>
              </w:rPr>
              <w:t>2.2.3. Intérêt social</w:t>
              <w:tab/>
              <w:t>21</w:t>
            </w:r>
          </w:hyperlink>
        </w:p>
        <w:p>
          <w:pPr>
            <w:pStyle w:val="TOC3"/>
            <w:tabs>
              <w:tab w:val="clear" w:pos="8503"/>
              <w:tab w:val="right" w:pos="9069" w:leader="dot"/>
            </w:tabs>
            <w:rPr/>
          </w:pPr>
          <w:hyperlink w:anchor="__RefHeading___Toc49534_3411847120">
            <w:r>
              <w:rPr>
                <w:rStyle w:val="IndexLink"/>
              </w:rPr>
              <w:t>2.2.4. Intérêt pédagogique</w:t>
              <w:tab/>
              <w:t>21</w:t>
            </w:r>
          </w:hyperlink>
        </w:p>
        <w:p>
          <w:pPr>
            <w:pStyle w:val="TOC2"/>
            <w:tabs>
              <w:tab w:val="clear" w:pos="8787"/>
              <w:tab w:val="right" w:pos="9069" w:leader="dot"/>
            </w:tabs>
            <w:rPr/>
          </w:pPr>
          <w:hyperlink w:anchor="__RefHeading___Toc49440_3411847120">
            <w:r>
              <w:rPr>
                <w:rStyle w:val="IndexLink"/>
              </w:rPr>
              <w:t>2.3. Énoncé du problème</w:t>
              <w:tab/>
              <w:t>22</w:t>
            </w:r>
          </w:hyperlink>
        </w:p>
        <w:p>
          <w:pPr>
            <w:pStyle w:val="TOC2"/>
            <w:tabs>
              <w:tab w:val="clear" w:pos="8787"/>
              <w:tab w:val="right" w:pos="9069" w:leader="dot"/>
            </w:tabs>
            <w:rPr/>
          </w:pPr>
          <w:hyperlink w:anchor="__RefHeading___Toc49442_3411847120">
            <w:r>
              <w:rPr>
                <w:rStyle w:val="IndexLink"/>
              </w:rPr>
              <w:t>2.4. Questions de recherche</w:t>
              <w:tab/>
              <w:t>23</w:t>
            </w:r>
          </w:hyperlink>
        </w:p>
        <w:p>
          <w:pPr>
            <w:pStyle w:val="TOC3"/>
            <w:tabs>
              <w:tab w:val="clear" w:pos="8503"/>
              <w:tab w:val="right" w:pos="9069" w:leader="dot"/>
            </w:tabs>
            <w:rPr/>
          </w:pPr>
          <w:hyperlink w:anchor="__RefHeading___Toc49536_3411847120">
            <w:r>
              <w:rPr>
                <w:rStyle w:val="IndexLink"/>
              </w:rPr>
              <w:t>2.4.1. Question principale</w:t>
              <w:tab/>
              <w:t>23</w:t>
            </w:r>
          </w:hyperlink>
        </w:p>
        <w:p>
          <w:pPr>
            <w:pStyle w:val="TOC3"/>
            <w:tabs>
              <w:tab w:val="clear" w:pos="8503"/>
              <w:tab w:val="right" w:pos="9069" w:leader="dot"/>
            </w:tabs>
            <w:rPr/>
          </w:pPr>
          <w:hyperlink w:anchor="__RefHeading___Toc49538_3411847120">
            <w:r>
              <w:rPr>
                <w:rStyle w:val="IndexLink"/>
              </w:rPr>
              <w:t>2.4.2. Questions secondaires</w:t>
              <w:tab/>
              <w:t>23</w:t>
            </w:r>
          </w:hyperlink>
        </w:p>
        <w:p>
          <w:pPr>
            <w:pStyle w:val="TOC2"/>
            <w:tabs>
              <w:tab w:val="clear" w:pos="8787"/>
              <w:tab w:val="right" w:pos="9069" w:leader="dot"/>
            </w:tabs>
            <w:rPr/>
          </w:pPr>
          <w:hyperlink w:anchor="__RefHeading___Toc49444_3411847120">
            <w:r>
              <w:rPr>
                <w:rStyle w:val="IndexLink"/>
              </w:rPr>
              <w:t>2.5. Hypothèses de l’étude</w:t>
              <w:tab/>
              <w:t>24</w:t>
            </w:r>
          </w:hyperlink>
        </w:p>
        <w:p>
          <w:pPr>
            <w:pStyle w:val="TOC3"/>
            <w:tabs>
              <w:tab w:val="clear" w:pos="8503"/>
              <w:tab w:val="right" w:pos="9069" w:leader="dot"/>
            </w:tabs>
            <w:rPr/>
          </w:pPr>
          <w:hyperlink w:anchor="__RefHeading___Toc49540_3411847120">
            <w:r>
              <w:rPr>
                <w:rStyle w:val="IndexLink"/>
              </w:rPr>
              <w:t>2.5.1. Hypothèse générale</w:t>
              <w:tab/>
              <w:t>24</w:t>
            </w:r>
          </w:hyperlink>
        </w:p>
        <w:p>
          <w:pPr>
            <w:pStyle w:val="TOC3"/>
            <w:tabs>
              <w:tab w:val="clear" w:pos="8503"/>
              <w:tab w:val="right" w:pos="9069" w:leader="dot"/>
            </w:tabs>
            <w:rPr/>
          </w:pPr>
          <w:hyperlink w:anchor="__RefHeading___Toc49542_3411847120">
            <w:r>
              <w:rPr>
                <w:rStyle w:val="IndexLink"/>
              </w:rPr>
              <w:t>2.5.2. Hypothèses secondaires</w:t>
              <w:tab/>
              <w:t>24</w:t>
            </w:r>
          </w:hyperlink>
        </w:p>
        <w:p>
          <w:pPr>
            <w:pStyle w:val="TOC2"/>
            <w:tabs>
              <w:tab w:val="clear" w:pos="8787"/>
              <w:tab w:val="right" w:pos="9069" w:leader="dot"/>
            </w:tabs>
            <w:rPr/>
          </w:pPr>
          <w:hyperlink w:anchor="__RefHeading___Toc49446_3411847120">
            <w:r>
              <w:rPr>
                <w:rStyle w:val="IndexLink"/>
              </w:rPr>
              <w:t>2.6. Variables et indicateurs</w:t>
              <w:tab/>
              <w:t>24</w:t>
            </w:r>
          </w:hyperlink>
        </w:p>
        <w:p>
          <w:pPr>
            <w:pStyle w:val="TOC3"/>
            <w:tabs>
              <w:tab w:val="clear" w:pos="8503"/>
              <w:tab w:val="right" w:pos="9069" w:leader="dot"/>
            </w:tabs>
            <w:rPr/>
          </w:pPr>
          <w:hyperlink w:anchor="__RefHeading___Toc49544_3411847120">
            <w:r>
              <w:rPr>
                <w:rStyle w:val="IndexLink"/>
              </w:rPr>
              <w:t>2.6.1. Variable indépendante : les techniques d’évaluation</w:t>
              <w:tab/>
              <w:t>25</w:t>
            </w:r>
          </w:hyperlink>
        </w:p>
        <w:p>
          <w:pPr>
            <w:pStyle w:val="TOC3"/>
            <w:tabs>
              <w:tab w:val="clear" w:pos="8503"/>
              <w:tab w:val="right" w:pos="9069" w:leader="dot"/>
            </w:tabs>
            <w:rPr/>
          </w:pPr>
          <w:hyperlink w:anchor="__RefHeading___Toc49546_3411847120">
            <w:r>
              <w:rPr>
                <w:rStyle w:val="IndexLink"/>
              </w:rPr>
              <w:t>2.6.2. Variable dépendante : l’adéquation avec la notion de citoyenneté</w:t>
              <w:tab/>
              <w:t>25</w:t>
            </w:r>
          </w:hyperlink>
        </w:p>
        <w:p>
          <w:pPr>
            <w:pStyle w:val="TOC3"/>
            <w:tabs>
              <w:tab w:val="clear" w:pos="8503"/>
              <w:tab w:val="right" w:pos="9069" w:leader="dot"/>
            </w:tabs>
            <w:rPr/>
          </w:pPr>
          <w:hyperlink w:anchor="__RefHeading___Toc49548_3411847120">
            <w:r>
              <w:rPr>
                <w:rStyle w:val="IndexLink"/>
              </w:rPr>
              <w:t>2.6.3. Indicateurs</w:t>
              <w:tab/>
              <w:t>25</w:t>
            </w:r>
          </w:hyperlink>
        </w:p>
        <w:p>
          <w:pPr>
            <w:pStyle w:val="TOC2"/>
            <w:tabs>
              <w:tab w:val="clear" w:pos="8787"/>
              <w:tab w:val="right" w:pos="9069" w:leader="dot"/>
            </w:tabs>
            <w:rPr/>
          </w:pPr>
          <w:hyperlink w:anchor="__RefHeading___Toc49448_3411847120">
            <w:r>
              <w:rPr>
                <w:rStyle w:val="IndexLink"/>
              </w:rPr>
              <w:t>2.7. Objectifs de l’étude</w:t>
              <w:tab/>
              <w:t>25</w:t>
            </w:r>
          </w:hyperlink>
        </w:p>
        <w:p>
          <w:pPr>
            <w:pStyle w:val="TOC3"/>
            <w:tabs>
              <w:tab w:val="clear" w:pos="8503"/>
              <w:tab w:val="right" w:pos="9069" w:leader="dot"/>
            </w:tabs>
            <w:rPr/>
          </w:pPr>
          <w:hyperlink w:anchor="__RefHeading___Toc49550_3411847120">
            <w:r>
              <w:rPr>
                <w:rStyle w:val="IndexLink"/>
              </w:rPr>
              <w:t>2.7.1. Objectif général</w:t>
              <w:tab/>
              <w:t>25</w:t>
            </w:r>
          </w:hyperlink>
        </w:p>
        <w:p>
          <w:pPr>
            <w:pStyle w:val="TOC3"/>
            <w:tabs>
              <w:tab w:val="clear" w:pos="8503"/>
              <w:tab w:val="right" w:pos="9069" w:leader="dot"/>
            </w:tabs>
            <w:rPr/>
          </w:pPr>
          <w:hyperlink w:anchor="__RefHeading___Toc49552_3411847120">
            <w:r>
              <w:rPr>
                <w:rStyle w:val="IndexLink"/>
              </w:rPr>
              <w:t>2.7.2. Objectifs opérationnels</w:t>
              <w:tab/>
              <w:t>26</w:t>
            </w:r>
          </w:hyperlink>
        </w:p>
        <w:p>
          <w:pPr>
            <w:pStyle w:val="TOC1"/>
            <w:tabs>
              <w:tab w:val="clear" w:pos="9070"/>
              <w:tab w:val="right" w:pos="9069" w:leader="dot"/>
            </w:tabs>
            <w:rPr/>
          </w:pPr>
          <w:hyperlink w:anchor="__RefHeading___Toc49450_3411847120">
            <w:r>
              <w:rPr>
                <w:rStyle w:val="IndexLink"/>
              </w:rPr>
              <w:t>CHAPITRE 3 : APPROCHE THÉORIQUE ET MÉTHODOLOGIQUE</w:t>
              <w:tab/>
              <w:t>27</w:t>
            </w:r>
          </w:hyperlink>
        </w:p>
        <w:p>
          <w:pPr>
            <w:pStyle w:val="TOC2"/>
            <w:tabs>
              <w:tab w:val="clear" w:pos="8787"/>
              <w:tab w:val="right" w:pos="9069" w:leader="dot"/>
            </w:tabs>
            <w:rPr/>
          </w:pPr>
          <w:hyperlink w:anchor="__RefHeading___Toc49452_3411847120">
            <w:r>
              <w:rPr>
                <w:rStyle w:val="IndexLink"/>
              </w:rPr>
              <w:t>3.1. Clarification des concepts</w:t>
              <w:tab/>
              <w:t>27</w:t>
            </w:r>
          </w:hyperlink>
        </w:p>
        <w:p>
          <w:pPr>
            <w:pStyle w:val="TOC3"/>
            <w:tabs>
              <w:tab w:val="clear" w:pos="8503"/>
              <w:tab w:val="right" w:pos="9069" w:leader="dot"/>
            </w:tabs>
            <w:rPr/>
          </w:pPr>
          <w:hyperlink w:anchor="__RefHeading___Toc49554_3411847120">
            <w:r>
              <w:rPr>
                <w:rStyle w:val="IndexLink"/>
              </w:rPr>
              <w:t>3.1.1. Analyse</w:t>
              <w:tab/>
              <w:t>27</w:t>
            </w:r>
          </w:hyperlink>
        </w:p>
        <w:p>
          <w:pPr>
            <w:pStyle w:val="TOC3"/>
            <w:tabs>
              <w:tab w:val="clear" w:pos="8503"/>
              <w:tab w:val="right" w:pos="9069" w:leader="dot"/>
            </w:tabs>
            <w:rPr/>
          </w:pPr>
          <w:hyperlink w:anchor="__RefHeading___Toc49556_3411847120">
            <w:r>
              <w:rPr>
                <w:rStyle w:val="IndexLink"/>
              </w:rPr>
              <w:t>3.1.2. Techniques</w:t>
              <w:tab/>
              <w:t>27</w:t>
            </w:r>
          </w:hyperlink>
        </w:p>
        <w:p>
          <w:pPr>
            <w:pStyle w:val="TOC3"/>
            <w:tabs>
              <w:tab w:val="clear" w:pos="8503"/>
              <w:tab w:val="right" w:pos="9069" w:leader="dot"/>
            </w:tabs>
            <w:rPr/>
          </w:pPr>
          <w:hyperlink w:anchor="__RefHeading___Toc49558_3411847120">
            <w:r>
              <w:rPr>
                <w:rStyle w:val="IndexLink"/>
              </w:rPr>
              <w:t>3.1.3. Évaluation</w:t>
              <w:tab/>
              <w:t>27</w:t>
            </w:r>
          </w:hyperlink>
        </w:p>
        <w:p>
          <w:pPr>
            <w:pStyle w:val="TOC3"/>
            <w:tabs>
              <w:tab w:val="clear" w:pos="8503"/>
              <w:tab w:val="right" w:pos="9069" w:leader="dot"/>
            </w:tabs>
            <w:rPr/>
          </w:pPr>
          <w:hyperlink w:anchor="__RefHeading___Toc49560_3411847120">
            <w:r>
              <w:rPr>
                <w:rStyle w:val="IndexLink"/>
              </w:rPr>
              <w:t>3.1.4. Techniques d’évaluation</w:t>
              <w:tab/>
              <w:t>28</w:t>
            </w:r>
          </w:hyperlink>
        </w:p>
        <w:p>
          <w:pPr>
            <w:pStyle w:val="TOC3"/>
            <w:tabs>
              <w:tab w:val="clear" w:pos="8503"/>
              <w:tab w:val="right" w:pos="9069" w:leader="dot"/>
            </w:tabs>
            <w:rPr/>
          </w:pPr>
          <w:hyperlink w:anchor="__RefHeading___Toc49562_3411847120">
            <w:r>
              <w:rPr>
                <w:rStyle w:val="IndexLink"/>
              </w:rPr>
              <w:t>3.1.5. Éducation civique et morale (ECM)</w:t>
              <w:tab/>
              <w:t>29</w:t>
            </w:r>
          </w:hyperlink>
        </w:p>
        <w:p>
          <w:pPr>
            <w:pStyle w:val="TOC3"/>
            <w:tabs>
              <w:tab w:val="clear" w:pos="8503"/>
              <w:tab w:val="right" w:pos="9069" w:leader="dot"/>
            </w:tabs>
            <w:rPr/>
          </w:pPr>
          <w:hyperlink w:anchor="__RefHeading___Toc49564_3411847120">
            <w:r>
              <w:rPr>
                <w:rStyle w:val="IndexLink"/>
              </w:rPr>
              <w:t>3.1.6. Citoyenneté et notion de citoyenneté</w:t>
              <w:tab/>
              <w:t>29</w:t>
            </w:r>
          </w:hyperlink>
        </w:p>
        <w:p>
          <w:pPr>
            <w:pStyle w:val="TOC3"/>
            <w:tabs>
              <w:tab w:val="clear" w:pos="8503"/>
              <w:tab w:val="right" w:pos="9069" w:leader="dot"/>
            </w:tabs>
            <w:rPr/>
          </w:pPr>
          <w:hyperlink w:anchor="__RefHeading___Toc49566_3411847120">
            <w:r>
              <w:rPr>
                <w:rStyle w:val="IndexLink"/>
              </w:rPr>
              <w:t>3.1.7. École normale de formation des professeurs d’école (ENFPE)</w:t>
              <w:tab/>
              <w:t>29</w:t>
            </w:r>
          </w:hyperlink>
        </w:p>
        <w:p>
          <w:pPr>
            <w:pStyle w:val="TOC2"/>
            <w:tabs>
              <w:tab w:val="clear" w:pos="8787"/>
              <w:tab w:val="right" w:pos="9069" w:leader="dot"/>
            </w:tabs>
            <w:rPr/>
          </w:pPr>
          <w:hyperlink w:anchor="__RefHeading___Toc49454_3411847120">
            <w:r>
              <w:rPr>
                <w:rStyle w:val="IndexLink"/>
              </w:rPr>
              <w:t>3.2. Revue de la littérature</w:t>
              <w:tab/>
              <w:t>30</w:t>
            </w:r>
          </w:hyperlink>
        </w:p>
        <w:p>
          <w:pPr>
            <w:pStyle w:val="TOC2"/>
            <w:tabs>
              <w:tab w:val="clear" w:pos="8787"/>
              <w:tab w:val="right" w:pos="9069" w:leader="dot"/>
            </w:tabs>
            <w:rPr/>
          </w:pPr>
          <w:hyperlink w:anchor="__RefHeading___Toc49456_3411847120">
            <w:r>
              <w:rPr>
                <w:rStyle w:val="IndexLink"/>
              </w:rPr>
              <w:t>3.3. Cadre théorique</w:t>
              <w:tab/>
              <w:t>32</w:t>
            </w:r>
          </w:hyperlink>
        </w:p>
        <w:p>
          <w:pPr>
            <w:pStyle w:val="TOC3"/>
            <w:tabs>
              <w:tab w:val="clear" w:pos="8503"/>
              <w:tab w:val="right" w:pos="9069" w:leader="dot"/>
            </w:tabs>
            <w:rPr/>
          </w:pPr>
          <w:hyperlink w:anchor="__RefHeading___Toc49568_3411847120">
            <w:r>
              <w:rPr>
                <w:rStyle w:val="IndexLink"/>
              </w:rPr>
              <w:t>3.3.1. Théorie de l’évaluation pédagogique</w:t>
              <w:tab/>
              <w:t>32</w:t>
            </w:r>
          </w:hyperlink>
        </w:p>
        <w:p>
          <w:pPr>
            <w:pStyle w:val="TOC3"/>
            <w:tabs>
              <w:tab w:val="clear" w:pos="8503"/>
              <w:tab w:val="right" w:pos="9069" w:leader="dot"/>
            </w:tabs>
            <w:rPr/>
          </w:pPr>
          <w:hyperlink w:anchor="__RefHeading___Toc49570_3411847120">
            <w:r>
              <w:rPr>
                <w:rStyle w:val="IndexLink"/>
              </w:rPr>
              <w:t>3.3.2. Didactique de l’ECM</w:t>
              <w:tab/>
              <w:t>32</w:t>
            </w:r>
          </w:hyperlink>
        </w:p>
        <w:p>
          <w:pPr>
            <w:pStyle w:val="TOC3"/>
            <w:tabs>
              <w:tab w:val="clear" w:pos="8503"/>
              <w:tab w:val="right" w:pos="9069" w:leader="dot"/>
            </w:tabs>
            <w:rPr/>
          </w:pPr>
          <w:hyperlink w:anchor="__RefHeading___Toc49572_3411847120">
            <w:r>
              <w:rPr>
                <w:rStyle w:val="IndexLink"/>
              </w:rPr>
              <w:t>3.3.3. Approche par les compétences (APC)</w:t>
              <w:tab/>
              <w:t>33</w:t>
            </w:r>
          </w:hyperlink>
        </w:p>
        <w:p>
          <w:pPr>
            <w:pStyle w:val="TOC3"/>
            <w:tabs>
              <w:tab w:val="clear" w:pos="8503"/>
              <w:tab w:val="right" w:pos="9069" w:leader="dot"/>
            </w:tabs>
            <w:rPr/>
          </w:pPr>
          <w:hyperlink w:anchor="__RefHeading___Toc49574_3411847120">
            <w:r>
              <w:rPr>
                <w:rStyle w:val="IndexLink"/>
              </w:rPr>
              <w:t>3.3.4. Théories de la citoyenneté en éducation</w:t>
              <w:tab/>
              <w:t>33</w:t>
            </w:r>
          </w:hyperlink>
        </w:p>
        <w:p>
          <w:pPr>
            <w:pStyle w:val="TOC2"/>
            <w:tabs>
              <w:tab w:val="clear" w:pos="8787"/>
              <w:tab w:val="right" w:pos="9069" w:leader="dot"/>
            </w:tabs>
            <w:rPr/>
          </w:pPr>
          <w:hyperlink w:anchor="__RefHeading___Toc49458_3411847120">
            <w:r>
              <w:rPr>
                <w:rStyle w:val="IndexLink"/>
              </w:rPr>
              <w:t>3.4. Démarche méthodologique</w:t>
              <w:tab/>
              <w:t>34</w:t>
            </w:r>
          </w:hyperlink>
        </w:p>
        <w:p>
          <w:pPr>
            <w:pStyle w:val="TOC3"/>
            <w:tabs>
              <w:tab w:val="clear" w:pos="8503"/>
              <w:tab w:val="right" w:pos="9069" w:leader="dot"/>
            </w:tabs>
            <w:rPr/>
          </w:pPr>
          <w:hyperlink w:anchor="__RefHeading___Toc49576_3411847120">
            <w:r>
              <w:rPr>
                <w:rStyle w:val="IndexLink"/>
              </w:rPr>
              <w:t>3.4.1. Type de recherche</w:t>
              <w:tab/>
              <w:t>34</w:t>
            </w:r>
          </w:hyperlink>
        </w:p>
        <w:p>
          <w:pPr>
            <w:pStyle w:val="TOC3"/>
            <w:tabs>
              <w:tab w:val="clear" w:pos="8503"/>
              <w:tab w:val="right" w:pos="9069" w:leader="dot"/>
            </w:tabs>
            <w:rPr/>
          </w:pPr>
          <w:hyperlink w:anchor="__RefHeading___Toc49578_3411847120">
            <w:r>
              <w:rPr>
                <w:rStyle w:val="IndexLink"/>
              </w:rPr>
              <w:t>3.4.2. Cadre de l’étude</w:t>
              <w:tab/>
              <w:t>35</w:t>
            </w:r>
          </w:hyperlink>
        </w:p>
        <w:p>
          <w:pPr>
            <w:pStyle w:val="TOC3"/>
            <w:tabs>
              <w:tab w:val="clear" w:pos="8503"/>
              <w:tab w:val="right" w:pos="9069" w:leader="dot"/>
            </w:tabs>
            <w:rPr/>
          </w:pPr>
          <w:hyperlink w:anchor="__RefHeading___Toc49580_3411847120">
            <w:r>
              <w:rPr>
                <w:rStyle w:val="IndexLink"/>
              </w:rPr>
              <w:t>3.4.3. Population cible</w:t>
              <w:tab/>
              <w:t>35</w:t>
            </w:r>
          </w:hyperlink>
        </w:p>
        <w:p>
          <w:pPr>
            <w:pStyle w:val="TOC3"/>
            <w:tabs>
              <w:tab w:val="clear" w:pos="8503"/>
              <w:tab w:val="right" w:pos="9069" w:leader="dot"/>
            </w:tabs>
            <w:rPr/>
          </w:pPr>
          <w:hyperlink w:anchor="__RefHeading___Toc49582_3411847120">
            <w:r>
              <w:rPr>
                <w:rStyle w:val="IndexLink"/>
              </w:rPr>
              <w:t>3.4.4. Échantillonnage</w:t>
              <w:tab/>
              <w:t>35</w:t>
            </w:r>
          </w:hyperlink>
        </w:p>
        <w:p>
          <w:pPr>
            <w:pStyle w:val="TOC3"/>
            <w:tabs>
              <w:tab w:val="clear" w:pos="8503"/>
              <w:tab w:val="right" w:pos="9069" w:leader="dot"/>
            </w:tabs>
            <w:rPr/>
          </w:pPr>
          <w:hyperlink w:anchor="__RefHeading___Toc49584_3411847120">
            <w:r>
              <w:rPr>
                <w:rStyle w:val="IndexLink"/>
              </w:rPr>
              <w:t>3.4.5. Techniques et instruments de collecte des données</w:t>
              <w:tab/>
              <w:t>36</w:t>
            </w:r>
          </w:hyperlink>
        </w:p>
        <w:p>
          <w:pPr>
            <w:pStyle w:val="TOC3"/>
            <w:tabs>
              <w:tab w:val="clear" w:pos="8503"/>
              <w:tab w:val="right" w:pos="9069" w:leader="dot"/>
            </w:tabs>
            <w:rPr/>
          </w:pPr>
          <w:hyperlink w:anchor="__RefHeading___Toc49586_3411847120">
            <w:r>
              <w:rPr>
                <w:rStyle w:val="IndexLink"/>
              </w:rPr>
              <w:t>3.4.6. Traitement et analyse des données</w:t>
              <w:tab/>
              <w:t>37</w:t>
            </w:r>
          </w:hyperlink>
        </w:p>
        <w:p>
          <w:pPr>
            <w:pStyle w:val="TOC3"/>
            <w:tabs>
              <w:tab w:val="clear" w:pos="8503"/>
              <w:tab w:val="right" w:pos="9069" w:leader="dot"/>
            </w:tabs>
            <w:rPr/>
          </w:pPr>
          <w:hyperlink w:anchor="__RefHeading___Toc49588_3411847120">
            <w:r>
              <w:rPr>
                <w:rStyle w:val="IndexLink"/>
              </w:rPr>
              <w:t>3.4.7. Délimitation et limites de l’étude</w:t>
              <w:tab/>
              <w:t>37</w:t>
            </w:r>
          </w:hyperlink>
        </w:p>
        <w:p>
          <w:pPr>
            <w:pStyle w:val="TOC3"/>
            <w:tabs>
              <w:tab w:val="clear" w:pos="8503"/>
              <w:tab w:val="right" w:pos="9069" w:leader="dot"/>
            </w:tabs>
            <w:rPr/>
          </w:pPr>
          <w:hyperlink w:anchor="__RefHeading___Toc49590_3411847120">
            <w:r>
              <w:rPr>
                <w:rStyle w:val="IndexLink"/>
              </w:rPr>
              <w:t>3.4.8. Difficultés rencontrées</w:t>
              <w:tab/>
              <w:t>38</w:t>
            </w:r>
          </w:hyperlink>
        </w:p>
        <w:p>
          <w:pPr>
            <w:pStyle w:val="TOC1"/>
            <w:tabs>
              <w:tab w:val="clear" w:pos="9070"/>
              <w:tab w:val="right" w:pos="9069" w:leader="dot"/>
            </w:tabs>
            <w:rPr/>
          </w:pPr>
          <w:hyperlink w:anchor="__RefHeading___Toc49460_3411847120">
            <w:r>
              <w:rPr>
                <w:rStyle w:val="IndexLink"/>
              </w:rPr>
              <w:t>CHAPITRE 4 : PRÉSENTATION, ANALYSE ET INTERPRÉTATION DES RÉSULTATS</w:t>
              <w:tab/>
              <w:t>39</w:t>
            </w:r>
          </w:hyperlink>
        </w:p>
        <w:p>
          <w:pPr>
            <w:pStyle w:val="TOC2"/>
            <w:tabs>
              <w:tab w:val="clear" w:pos="8787"/>
              <w:tab w:val="right" w:pos="9069" w:leader="dot"/>
            </w:tabs>
            <w:rPr/>
          </w:pPr>
          <w:hyperlink w:anchor="__RefHeading___Toc49462_3411847120">
            <w:r>
              <w:rPr>
                <w:rStyle w:val="IndexLink"/>
              </w:rPr>
              <w:t>4.1. Résultats de l’enquête auprès des élèves-professeurs d’école</w:t>
              <w:tab/>
              <w:t>39</w:t>
            </w:r>
          </w:hyperlink>
        </w:p>
        <w:p>
          <w:pPr>
            <w:pStyle w:val="TOC3"/>
            <w:tabs>
              <w:tab w:val="clear" w:pos="8503"/>
              <w:tab w:val="right" w:pos="9069" w:leader="dot"/>
            </w:tabs>
            <w:rPr/>
          </w:pPr>
          <w:hyperlink w:anchor="__RefHeading___Toc49592_3411847120">
            <w:r>
              <w:rPr>
                <w:rStyle w:val="IndexLink"/>
              </w:rPr>
              <w:t>4.1.1. Profil des répondants</w:t>
              <w:tab/>
              <w:t>39</w:t>
            </w:r>
          </w:hyperlink>
        </w:p>
        <w:p>
          <w:pPr>
            <w:pStyle w:val="TOC3"/>
            <w:tabs>
              <w:tab w:val="clear" w:pos="8503"/>
              <w:tab w:val="right" w:pos="9069" w:leader="dot"/>
            </w:tabs>
            <w:rPr/>
          </w:pPr>
          <w:hyperlink w:anchor="__RefHeading___Toc49594_3411847120">
            <w:r>
              <w:rPr>
                <w:rStyle w:val="IndexLink"/>
              </w:rPr>
              <w:t>4.1.2. Techniques d’évaluation effectivement utilisées (OO1)</w:t>
              <w:tab/>
              <w:t>40</w:t>
            </w:r>
          </w:hyperlink>
        </w:p>
        <w:p>
          <w:pPr>
            <w:pStyle w:val="TOC3"/>
            <w:tabs>
              <w:tab w:val="clear" w:pos="8503"/>
              <w:tab w:val="right" w:pos="9069" w:leader="dot"/>
            </w:tabs>
            <w:rPr/>
          </w:pPr>
          <w:hyperlink w:anchor="__RefHeading___Toc49596_3411847120">
            <w:r>
              <w:rPr>
                <w:rStyle w:val="IndexLink"/>
              </w:rPr>
              <w:t>4.1.3. Pertinence perçue des techniques au regard des compétences citoyennes visées (OO2)</w:t>
              <w:tab/>
              <w:t>42</w:t>
            </w:r>
          </w:hyperlink>
        </w:p>
        <w:p>
          <w:pPr>
            <w:pStyle w:val="TOC3"/>
            <w:tabs>
              <w:tab w:val="clear" w:pos="8503"/>
              <w:tab w:val="right" w:pos="9069" w:leader="dot"/>
            </w:tabs>
            <w:rPr/>
          </w:pPr>
          <w:hyperlink w:anchor="__RefHeading___Toc49598_3411847120">
            <w:r>
              <w:rPr>
                <w:rStyle w:val="IndexLink"/>
              </w:rPr>
              <w:t>4.1.4. Efficacité perçue des techniques d’évaluation (OO3)</w:t>
              <w:tab/>
              <w:t>43</w:t>
            </w:r>
          </w:hyperlink>
        </w:p>
        <w:p>
          <w:pPr>
            <w:pStyle w:val="TOC3"/>
            <w:tabs>
              <w:tab w:val="clear" w:pos="8503"/>
              <w:tab w:val="right" w:pos="9069" w:leader="dot"/>
            </w:tabs>
            <w:rPr/>
          </w:pPr>
          <w:hyperlink w:anchor="__RefHeading___Toc49600_3411847120">
            <w:r>
              <w:rPr>
                <w:rStyle w:val="IndexLink"/>
              </w:rPr>
              <w:t>4.1.5. Contraintes et difficultés rencontrées (OO4)</w:t>
              <w:tab/>
              <w:t>45</w:t>
            </w:r>
          </w:hyperlink>
        </w:p>
        <w:p>
          <w:pPr>
            <w:pStyle w:val="TOC3"/>
            <w:tabs>
              <w:tab w:val="clear" w:pos="8503"/>
              <w:tab w:val="right" w:pos="9069" w:leader="dot"/>
            </w:tabs>
            <w:rPr/>
          </w:pPr>
          <w:hyperlink w:anchor="__RefHeading___Toc49602_3411847120">
            <w:r>
              <w:rPr>
                <w:rStyle w:val="IndexLink"/>
              </w:rPr>
              <w:t>4.1.6. Pistes d’amélioration suggérées par les EPE (OO5)</w:t>
              <w:tab/>
              <w:t>47</w:t>
            </w:r>
          </w:hyperlink>
        </w:p>
        <w:p>
          <w:pPr>
            <w:pStyle w:val="TOC2"/>
            <w:tabs>
              <w:tab w:val="clear" w:pos="8787"/>
              <w:tab w:val="right" w:pos="9069" w:leader="dot"/>
            </w:tabs>
            <w:rPr/>
          </w:pPr>
          <w:hyperlink w:anchor="__RefHeading___Toc49464_3411847120">
            <w:r>
              <w:rPr>
                <w:rStyle w:val="IndexLink"/>
              </w:rPr>
              <w:t>4.2. Résultats de l’enquête auprès des formateurs d’ECM</w:t>
              <w:tab/>
              <w:t>48</w:t>
            </w:r>
          </w:hyperlink>
        </w:p>
        <w:p>
          <w:pPr>
            <w:pStyle w:val="TOC2"/>
            <w:tabs>
              <w:tab w:val="clear" w:pos="8787"/>
              <w:tab w:val="right" w:pos="9069" w:leader="dot"/>
            </w:tabs>
            <w:rPr/>
          </w:pPr>
          <w:hyperlink w:anchor="__RefHeading___Toc49466_3411847120">
            <w:r>
              <w:rPr>
                <w:rStyle w:val="IndexLink"/>
              </w:rPr>
              <w:t>4.3. Discussion générale et vérification des hypothèses</w:t>
              <w:tab/>
              <w:t>52</w:t>
            </w:r>
          </w:hyperlink>
        </w:p>
        <w:p>
          <w:pPr>
            <w:pStyle w:val="TOC3"/>
            <w:tabs>
              <w:tab w:val="clear" w:pos="8503"/>
              <w:tab w:val="right" w:pos="9069" w:leader="dot"/>
            </w:tabs>
            <w:rPr/>
          </w:pPr>
          <w:hyperlink w:anchor="__RefHeading___Toc49604_3411847120">
            <w:r>
              <w:rPr>
                <w:rStyle w:val="IndexLink"/>
              </w:rPr>
              <w:t>4.3.1. Hypothèse générale</w:t>
              <w:tab/>
              <w:t>52</w:t>
            </w:r>
          </w:hyperlink>
        </w:p>
        <w:p>
          <w:pPr>
            <w:pStyle w:val="TOC3"/>
            <w:tabs>
              <w:tab w:val="clear" w:pos="8503"/>
              <w:tab w:val="right" w:pos="9069" w:leader="dot"/>
            </w:tabs>
            <w:rPr/>
          </w:pPr>
          <w:hyperlink w:anchor="__RefHeading___Toc49606_3411847120">
            <w:r>
              <w:rPr>
                <w:rStyle w:val="IndexLink"/>
              </w:rPr>
              <w:t>4.3.2. Hypothèses secondaires</w:t>
              <w:tab/>
              <w:t>52</w:t>
            </w:r>
          </w:hyperlink>
        </w:p>
        <w:p>
          <w:pPr>
            <w:pStyle w:val="TOC3"/>
            <w:tabs>
              <w:tab w:val="clear" w:pos="8503"/>
              <w:tab w:val="right" w:pos="9069" w:leader="dot"/>
            </w:tabs>
            <w:rPr/>
          </w:pPr>
          <w:hyperlink w:anchor="__RefHeading___Toc49608_3411847120">
            <w:r>
              <w:rPr>
                <w:rStyle w:val="IndexLink"/>
              </w:rPr>
              <w:t>4.3.3. Réponse à la question principale de recherche</w:t>
              <w:tab/>
              <w:t>54</w:t>
            </w:r>
          </w:hyperlink>
        </w:p>
        <w:p>
          <w:pPr>
            <w:pStyle w:val="TOC3"/>
            <w:tabs>
              <w:tab w:val="clear" w:pos="8503"/>
              <w:tab w:val="right" w:pos="9069" w:leader="dot"/>
            </w:tabs>
            <w:rPr/>
          </w:pPr>
          <w:hyperlink w:anchor="__RefHeading___Toc49610_3411847120">
            <w:r>
              <w:rPr>
                <w:rStyle w:val="IndexLink"/>
              </w:rPr>
              <w:t>4.3.4. Limites de l’enquête</w:t>
              <w:tab/>
              <w:t>55</w:t>
            </w:r>
          </w:hyperlink>
        </w:p>
        <w:p>
          <w:pPr>
            <w:pStyle w:val="TOC1"/>
            <w:tabs>
              <w:tab w:val="clear" w:pos="9070"/>
              <w:tab w:val="right" w:pos="9069" w:leader="dot"/>
            </w:tabs>
            <w:rPr/>
          </w:pPr>
          <w:hyperlink w:anchor="__RefHeading___Toc49468_3411847120">
            <w:r>
              <w:rPr>
                <w:rStyle w:val="IndexLink"/>
              </w:rPr>
              <w:t>CHAPITRE 5 : CONTRIBUTION PROFESSIONNELLE</w:t>
              <w:tab/>
              <w:t>56</w:t>
            </w:r>
          </w:hyperlink>
        </w:p>
        <w:p>
          <w:pPr>
            <w:pStyle w:val="TOC2"/>
            <w:tabs>
              <w:tab w:val="clear" w:pos="8787"/>
              <w:tab w:val="right" w:pos="9069" w:leader="dot"/>
            </w:tabs>
            <w:rPr/>
          </w:pPr>
          <w:hyperlink w:anchor="__RefHeading___Toc49470_3411847120">
            <w:r>
              <w:rPr>
                <w:rStyle w:val="IndexLink"/>
              </w:rPr>
              <w:t>5.1. Fondements d’une évaluation adaptée à la citoyenneté</w:t>
              <w:tab/>
              <w:t>56</w:t>
            </w:r>
          </w:hyperlink>
        </w:p>
        <w:p>
          <w:pPr>
            <w:pStyle w:val="TOC2"/>
            <w:tabs>
              <w:tab w:val="clear" w:pos="8787"/>
              <w:tab w:val="right" w:pos="9069" w:leader="dot"/>
            </w:tabs>
            <w:rPr/>
          </w:pPr>
          <w:hyperlink w:anchor="__RefHeading___Toc49472_3411847120">
            <w:r>
              <w:rPr>
                <w:rStyle w:val="IndexLink"/>
              </w:rPr>
              <w:t>5.2. Difficultés liées à l’évaluation de l’ECM</w:t>
              <w:tab/>
              <w:t>56</w:t>
            </w:r>
          </w:hyperlink>
        </w:p>
        <w:p>
          <w:pPr>
            <w:pStyle w:val="TOC2"/>
            <w:tabs>
              <w:tab w:val="clear" w:pos="8787"/>
              <w:tab w:val="right" w:pos="9069" w:leader="dot"/>
            </w:tabs>
            <w:rPr/>
          </w:pPr>
          <w:hyperlink w:anchor="__RefHeading___Toc49474_3411847120">
            <w:r>
              <w:rPr>
                <w:rStyle w:val="IndexLink"/>
              </w:rPr>
              <w:t>5.3. Propositions de techniques et d’outils d’évaluation</w:t>
              <w:tab/>
              <w:t>57</w:t>
            </w:r>
          </w:hyperlink>
        </w:p>
        <w:p>
          <w:pPr>
            <w:pStyle w:val="TOC2"/>
            <w:tabs>
              <w:tab w:val="clear" w:pos="8787"/>
              <w:tab w:val="right" w:pos="9069" w:leader="dot"/>
            </w:tabs>
            <w:rPr/>
          </w:pPr>
          <w:hyperlink w:anchor="__RefHeading___Toc49476_3411847120">
            <w:r>
              <w:rPr>
                <w:rStyle w:val="IndexLink"/>
              </w:rPr>
              <w:t>5.4. Recommandations</w:t>
              <w:tab/>
              <w:t>59</w:t>
            </w:r>
          </w:hyperlink>
        </w:p>
        <w:p>
          <w:pPr>
            <w:pStyle w:val="TOC1"/>
            <w:tabs>
              <w:tab w:val="clear" w:pos="9070"/>
              <w:tab w:val="right" w:pos="9069" w:leader="dot"/>
            </w:tabs>
            <w:rPr/>
          </w:pPr>
          <w:hyperlink w:anchor="__RefHeading___Toc49478_3411847120">
            <w:r>
              <w:rPr>
                <w:rStyle w:val="IndexLink"/>
              </w:rPr>
              <w:t>CONCLUSION GÉNÉRALE</w:t>
              <w:tab/>
              <w:t>61</w:t>
            </w:r>
          </w:hyperlink>
        </w:p>
        <w:p>
          <w:pPr>
            <w:pStyle w:val="TOC1"/>
            <w:tabs>
              <w:tab w:val="clear" w:pos="9070"/>
              <w:tab w:val="right" w:pos="9069" w:leader="dot"/>
            </w:tabs>
            <w:rPr/>
          </w:pPr>
          <w:hyperlink w:anchor="__RefHeading___Toc49480_3411847120">
            <w:r>
              <w:rPr>
                <w:rStyle w:val="IndexLink"/>
              </w:rPr>
              <w:t>RÉFÉRENCES BIBLIOGRAPHIQUES</w:t>
              <w:tab/>
              <w:t>63</w:t>
            </w:r>
          </w:hyperlink>
        </w:p>
        <w:p>
          <w:pPr>
            <w:pStyle w:val="TOC1"/>
            <w:tabs>
              <w:tab w:val="clear" w:pos="9070"/>
              <w:tab w:val="right" w:pos="9069" w:leader="dot"/>
            </w:tabs>
            <w:rPr/>
          </w:pPr>
          <w:hyperlink w:anchor="__RefHeading___Toc49482_3411847120">
            <w:r>
              <w:rPr>
                <w:rStyle w:val="IndexLink"/>
              </w:rPr>
              <w:t>ANNEXES</w:t>
              <w:tab/>
              <w:t>65</w:t>
            </w:r>
          </w:hyperlink>
        </w:p>
        <w:p>
          <w:pPr>
            <w:pStyle w:val="TOC2"/>
            <w:tabs>
              <w:tab w:val="clear" w:pos="8787"/>
              <w:tab w:val="right" w:pos="9069" w:leader="dot"/>
            </w:tabs>
            <w:rPr/>
          </w:pPr>
          <w:hyperlink w:anchor="__RefHeading___Toc49484_3411847120">
            <w:r>
              <w:rPr>
                <w:rStyle w:val="IndexLink"/>
              </w:rPr>
              <w:t>Annexe 1 : Guide d’entretien semi-directif avec les formateurs</w:t>
              <w:tab/>
              <w:t>65</w:t>
            </w:r>
          </w:hyperlink>
        </w:p>
        <w:p>
          <w:pPr>
            <w:pStyle w:val="TOC2"/>
            <w:tabs>
              <w:tab w:val="clear" w:pos="8787"/>
              <w:tab w:val="right" w:pos="9069" w:leader="dot"/>
            </w:tabs>
            <w:rPr/>
          </w:pPr>
          <w:hyperlink w:anchor="__RefHeading___Toc49486_3411847120">
            <w:r>
              <w:rPr>
                <w:rStyle w:val="IndexLink"/>
              </w:rPr>
              <w:t>Annexe 2 : Grille d’observation des séances d’ECM</w:t>
              <w:tab/>
              <w:t>65</w:t>
            </w:r>
          </w:hyperlink>
        </w:p>
        <w:p>
          <w:pPr>
            <w:pStyle w:val="TOC2"/>
            <w:tabs>
              <w:tab w:val="clear" w:pos="8787"/>
              <w:tab w:val="right" w:pos="9069" w:leader="dot"/>
            </w:tabs>
            <w:rPr/>
          </w:pPr>
          <w:hyperlink w:anchor="__RefHeading___Toc49488_3411847120">
            <w:r>
              <w:rPr>
                <w:rStyle w:val="IndexLink"/>
              </w:rPr>
              <w:t>Annexe 3 : Principaux items des questionnaires</w:t>
              <w:tab/>
              <w:t>66</w:t>
            </w:r>
          </w:hyperlink>
        </w:p>
        <w:p>
          <w:pPr>
            <w:pStyle w:val="TOC2"/>
            <w:tabs>
              <w:tab w:val="clear" w:pos="8787"/>
              <w:tab w:val="right" w:pos="9069" w:leader="dot"/>
            </w:tabs>
            <w:rPr/>
          </w:pPr>
          <w:hyperlink w:anchor="__RefHeading___Toc49490_3411847120">
            <w:r>
              <w:rPr>
                <w:rStyle w:val="IndexLink"/>
              </w:rPr>
              <w:t>Annexe 4 : Résultats détaillés du semestre 1 de la promotion 4 par ENFPE et par sexe</w:t>
              <w:tab/>
              <w:t>68</w:t>
            </w:r>
          </w:hyperlink>
          <w:r>
            <w:rPr>
              <w:rStyle w:val="IndexLink"/>
            </w:rPr>
            <w:fldChar w:fldCharType="end"/>
          </w:r>
        </w:p>
      </w:sdtContent>
    </w:sdt>
    <w:p>
      <w:pPr>
        <w:pStyle w:val="Normal"/>
        <w:rPr/>
      </w:pPr>
      <w:r>
        <w:rPr/>
      </w:r>
    </w:p>
    <w:sectPr>
      <w:footerReference w:type="even" r:id="rId24"/>
      <w:footerReference w:type="default" r:id="rId25"/>
      <w:footerReference w:type="first" r:id="rId26"/>
      <w:type w:val="nextPage"/>
      <w:pgSz w:w="11906" w:h="16838"/>
      <w:pgMar w:left="1418" w:right="1418" w:gutter="0" w:header="0" w:top="1418" w:footer="567"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swiss"/>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vii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67</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69</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73</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709" w:hanging="354"/>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lvl w:ilvl="0">
      <w:start w:val="1"/>
      <w:numFmt w:val="bullet"/>
      <w:lvlText w:val=""/>
      <w:lvlJc w:val="left"/>
      <w:pPr>
        <w:tabs>
          <w:tab w:val="num" w:pos="0"/>
        </w:tabs>
        <w:ind w:left="709" w:hanging="35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lvl w:ilvl="0">
      <w:start w:val="1"/>
      <w:numFmt w:val="decimal"/>
      <w:lvlText w:val="%1."/>
      <w:lvlJc w:val="left"/>
      <w:pPr>
        <w:tabs>
          <w:tab w:val="num" w:pos="0"/>
        </w:tabs>
        <w:ind w:left="709" w:hanging="354"/>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lvl w:ilvl="0">
      <w:start w:val="1"/>
      <w:numFmt w:val="decimal"/>
      <w:lvlText w:val="%1."/>
      <w:lvlJc w:val="left"/>
      <w:pPr>
        <w:tabs>
          <w:tab w:val="num" w:pos="0"/>
        </w:tabs>
        <w:ind w:left="709" w:hanging="354"/>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lvl w:ilvl="0">
      <w:start w:val="1"/>
      <w:numFmt w:val="decimal"/>
      <w:lvlText w:val="%1."/>
      <w:lvlJc w:val="left"/>
      <w:pPr>
        <w:tabs>
          <w:tab w:val="num" w:pos="0"/>
        </w:tabs>
        <w:ind w:left="709" w:hanging="354"/>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1"/>
    <w:lvlOverride w:ilvl="0">
      <w:startOverride w:val="1"/>
    </w:lvlOverride>
  </w:num>
  <w:num w:numId="42">
    <w:abstractNumId w:val="1"/>
    <w:lvlOverride w:ilvl="0">
      <w:startOverride w:val="1"/>
    </w:lvlOverride>
  </w:num>
  <w:num w:numId="43">
    <w:abstractNumId w:val="1"/>
  </w:num>
  <w:num w:numId="44">
    <w:abstractNumId w:val="1"/>
  </w:num>
  <w:num w:numId="45">
    <w:abstractNumId w:val="1"/>
  </w:num>
  <w:num w:numId="46">
    <w:abstractNumId w:val="1"/>
  </w:num>
  <w:num w:numId="47">
    <w:abstractNumId w:val="1"/>
  </w:num>
  <w:num w:numId="48">
    <w:abstractNumId w:val="1"/>
    <w:lvlOverride w:ilvl="0">
      <w:startOverride w:val="1"/>
    </w:lvlOverride>
  </w:num>
  <w:num w:numId="49">
    <w:abstractNumId w:val="1"/>
  </w:num>
  <w:num w:numId="50">
    <w:abstractNumId w:val="1"/>
    <w:lvlOverride w:ilvl="0">
      <w:startOverride w:val="1"/>
    </w:lvlOverride>
  </w:num>
  <w:num w:numId="51">
    <w:abstractNumId w:val="1"/>
  </w:num>
  <w:num w:numId="52">
    <w:abstractNumId w:val="1"/>
  </w:num>
  <w:num w:numId="53">
    <w:abstractNumId w:val="1"/>
  </w:num>
  <w:num w:numId="54">
    <w:abstractNumId w:val="1"/>
  </w:num>
  <w:num w:numId="55">
    <w:abstractNumId w:val="1"/>
  </w:num>
  <w:num w:numId="56">
    <w:abstractNumId w:val="1"/>
    <w:lvlOverride w:ilvl="0">
      <w:startOverride w:val="1"/>
    </w:lvlOverride>
  </w:num>
  <w:num w:numId="57">
    <w:abstractNumId w:val="1"/>
  </w:num>
  <w:num w:numId="58">
    <w:abstractNumId w:val="1"/>
  </w:num>
  <w:num w:numId="59">
    <w:abstractNumId w:val="1"/>
    <w:lvlOverride w:ilvl="0">
      <w:startOverride w:val="1"/>
    </w:lvlOverride>
  </w:num>
  <w:num w:numId="60">
    <w:abstractNumId w:val="1"/>
  </w:num>
  <w:num w:numId="61">
    <w:abstractNumId w:val="1"/>
  </w:num>
  <w:num w:numId="62">
    <w:abstractNumId w:val="1"/>
  </w:num>
  <w:num w:numId="63">
    <w:abstractNumId w:val="1"/>
    <w:lvlOverride w:ilvl="0">
      <w:startOverride w:val="1"/>
    </w:lvlOverride>
  </w:num>
  <w:num w:numId="64">
    <w:abstractNumId w:val="1"/>
  </w:num>
  <w:num w:numId="65">
    <w:abstractNumId w:val="1"/>
  </w:num>
  <w:num w:numId="66">
    <w:abstractNumId w:val="1"/>
  </w:num>
  <w:num w:numId="67">
    <w:abstractNumId w:val="1"/>
  </w:num>
  <w:num w:numId="68">
    <w:abstractNumId w:val="1"/>
  </w:num>
  <w:num w:numId="69">
    <w:abstractNumId w:val="1"/>
    <w:lvlOverride w:ilvl="0">
      <w:startOverride w:val="1"/>
    </w:lvlOverride>
  </w:num>
  <w:num w:numId="70">
    <w:abstractNumId w:val="1"/>
  </w:num>
  <w:num w:numId="71">
    <w:abstractNumId w:val="1"/>
  </w:num>
  <w:num w:numId="72">
    <w:abstractNumId w:val="1"/>
    <w:lvlOverride w:ilvl="0">
      <w:startOverride w:val="1"/>
    </w:lvlOverride>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lvlOverride w:ilvl="0">
      <w:startOverride w:val="1"/>
    </w:lvlOverride>
  </w:num>
  <w:num w:numId="80">
    <w:abstractNumId w:val="1"/>
  </w:num>
  <w:num w:numId="81">
    <w:abstractNumId w:val="1"/>
  </w:num>
  <w:num w:numId="82">
    <w:abstractNumId w:val="1"/>
  </w:num>
  <w:num w:numId="83">
    <w:abstractNumId w:val="11"/>
    <w:lvlOverride w:ilvl="0">
      <w:startOverride w:val="1"/>
    </w:lvlOverride>
  </w:num>
  <w:num w:numId="84">
    <w:abstractNumId w:val="1"/>
    <w:lvlOverride w:ilvl="0">
      <w:startOverride w:val="1"/>
    </w:lvlOverride>
  </w:num>
  <w:num w:numId="85">
    <w:abstractNumId w:val="1"/>
  </w:num>
  <w:num w:numId="86">
    <w:abstractNumId w:val="1"/>
  </w:num>
  <w:num w:numId="87">
    <w:abstractNumId w:val="1"/>
  </w:num>
  <w:num w:numId="88">
    <w:abstractNumId w:val="1"/>
    <w:lvlOverride w:ilvl="0">
      <w:startOverride w:val="1"/>
    </w:lvlOverride>
  </w:num>
  <w:num w:numId="89">
    <w:abstractNumId w:val="1"/>
  </w:num>
  <w:num w:numId="90">
    <w:abstractNumId w:val="1"/>
  </w:num>
  <w:num w:numId="91">
    <w:abstractNumId w:val="1"/>
  </w:num>
  <w:num w:numId="92">
    <w:abstractNumId w:val="1"/>
    <w:lvlOverride w:ilvl="0">
      <w:startOverride w:val="1"/>
    </w:lvlOverride>
  </w:num>
  <w:num w:numId="93">
    <w:abstractNumId w:val="1"/>
  </w:num>
  <w:num w:numId="94">
    <w:abstractNumId w:val="1"/>
  </w:num>
  <w:num w:numId="95">
    <w:abstractNumId w:val="1"/>
  </w:num>
  <w:num w:numId="96">
    <w:abstractNumId w:val="1"/>
  </w:num>
  <w:num w:numId="97">
    <w:abstractNumId w:val="1"/>
    <w:lvlOverride w:ilvl="0">
      <w:startOverride w:val="1"/>
    </w:lvlOverride>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lvlOverride w:ilvl="0">
      <w:startOverride w:val="1"/>
    </w:lvlOverride>
  </w:num>
  <w:num w:numId="106">
    <w:abstractNumId w:val="1"/>
  </w:num>
  <w:num w:numId="107">
    <w:abstractNumId w:val="1"/>
  </w:num>
  <w:num w:numId="108">
    <w:abstractNumId w:val="1"/>
  </w:num>
  <w:num w:numId="109">
    <w:abstractNumId w:val="1"/>
  </w:num>
  <w:num w:numId="110">
    <w:abstractNumId w:val="1"/>
    <w:lvlOverride w:ilvl="0">
      <w:startOverride w:val="1"/>
    </w:lvlOverride>
  </w:num>
  <w:num w:numId="111">
    <w:abstractNumId w:val="1"/>
  </w:num>
  <w:num w:numId="112">
    <w:abstractNumId w:val="1"/>
  </w:num>
  <w:num w:numId="113">
    <w:abstractNumId w:val="1"/>
  </w:num>
  <w:num w:numId="114">
    <w:abstractNumId w:val="1"/>
  </w:num>
  <w:num w:numId="115">
    <w:abstractNumId w:val="1"/>
    <w:lvlOverride w:ilvl="0">
      <w:startOverride w:val="1"/>
    </w:lvlOverride>
  </w:num>
  <w:num w:numId="116">
    <w:abstractNumId w:val="1"/>
  </w:num>
  <w:num w:numId="117">
    <w:abstractNumId w:val="1"/>
  </w:num>
  <w:num w:numId="118">
    <w:abstractNumId w:val="1"/>
  </w:num>
  <w:num w:numId="119">
    <w:abstractNumId w:val="1"/>
  </w:num>
  <w:num w:numId="120">
    <w:abstractNumId w:val="1"/>
  </w:num>
  <w:num w:numId="121">
    <w:abstractNumId w:val="1"/>
    <w:lvlOverride w:ilvl="0">
      <w:startOverride w:val="1"/>
    </w:lvlOverride>
  </w:num>
  <w:num w:numId="122">
    <w:abstractNumId w:val="1"/>
  </w:num>
  <w:num w:numId="123">
    <w:abstractNumId w:val="1"/>
  </w:num>
  <w:num w:numId="124">
    <w:abstractNumId w:val="1"/>
    <w:lvlOverride w:ilvl="0">
      <w:startOverride w:val="1"/>
    </w:lvlOverride>
  </w:num>
  <w:num w:numId="125">
    <w:abstractNumId w:val="1"/>
  </w:num>
  <w:num w:numId="126">
    <w:abstractNumId w:val="1"/>
  </w:num>
  <w:num w:numId="127">
    <w:abstractNumId w:val="1"/>
  </w:num>
  <w:num w:numId="128">
    <w:abstractNumId w:val="1"/>
  </w:num>
  <w:num w:numId="129">
    <w:abstractNumId w:val="1"/>
    <w:lvlOverride w:ilvl="0">
      <w:startOverride w:val="1"/>
    </w:lvlOverride>
  </w:num>
  <w:num w:numId="130">
    <w:abstractNumId w:val="1"/>
  </w:num>
  <w:num w:numId="131">
    <w:abstractNumId w:val="1"/>
  </w:num>
  <w:num w:numId="132">
    <w:abstractNumId w:val="1"/>
  </w:num>
  <w:num w:numId="133">
    <w:abstractNumId w:val="1"/>
  </w:num>
  <w:num w:numId="134">
    <w:abstractNumId w:val="1"/>
    <w:lvlOverride w:ilvl="0">
      <w:startOverride w:val="1"/>
    </w:lvlOverride>
  </w:num>
  <w:num w:numId="135">
    <w:abstractNumId w:val="1"/>
  </w:num>
  <w:num w:numId="136">
    <w:abstractNumId w:val="1"/>
  </w:num>
  <w:num w:numId="137">
    <w:abstractNumId w:val="1"/>
  </w:num>
  <w:num w:numId="138">
    <w:abstractNumId w:val="1"/>
  </w:num>
  <w:num w:numId="139">
    <w:abstractNumId w:val="1"/>
    <w:lvlOverride w:ilvl="0">
      <w:startOverride w:val="1"/>
    </w:lvlOverride>
  </w:num>
  <w:num w:numId="140">
    <w:abstractNumId w:val="1"/>
  </w:num>
  <w:num w:numId="141">
    <w:abstractNumId w:val="1"/>
    <w:lvlOverride w:ilvl="0">
      <w:startOverride w:val="1"/>
    </w:lvlOverride>
  </w:num>
  <w:num w:numId="142">
    <w:abstractNumId w:val="1"/>
  </w:num>
  <w:num w:numId="143">
    <w:abstractNumId w:val="1"/>
  </w:num>
  <w:num w:numId="144">
    <w:abstractNumId w:val="1"/>
    <w:lvlOverride w:ilvl="0">
      <w:startOverride w:val="1"/>
    </w:lvlOverride>
  </w:num>
  <w:num w:numId="145">
    <w:abstractNumId w:val="1"/>
  </w:num>
  <w:num w:numId="146">
    <w:abstractNumId w:val="1"/>
  </w:num>
  <w:num w:numId="147">
    <w:abstractNumId w:val="1"/>
    <w:lvlOverride w:ilvl="0">
      <w:startOverride w:val="1"/>
    </w:lvlOverride>
  </w:num>
  <w:num w:numId="148">
    <w:abstractNumId w:val="1"/>
  </w:num>
  <w:num w:numId="149">
    <w:abstractNumId w:val="1"/>
  </w:num>
  <w:num w:numId="150">
    <w:abstractNumId w:val="1"/>
    <w:lvlOverride w:ilvl="0">
      <w:startOverride w:val="1"/>
    </w:lvlOverride>
  </w:num>
  <w:num w:numId="151">
    <w:abstractNumId w:val="1"/>
  </w:num>
  <w:num w:numId="152">
    <w:abstractNumId w:val="1"/>
    <w:lvlOverride w:ilvl="0">
      <w:startOverride w:val="1"/>
    </w:lvlOverride>
  </w:num>
  <w:num w:numId="153">
    <w:abstractNumId w:val="1"/>
  </w:num>
  <w:num w:numId="154">
    <w:abstractNumId w:val="1"/>
  </w:num>
  <w:num w:numId="155">
    <w:abstractNumId w:val="1"/>
    <w:lvlOverride w:ilvl="0">
      <w:startOverride w:val="1"/>
    </w:lvlOverride>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lvlOverride w:ilvl="0">
      <w:startOverride w:val="1"/>
    </w:lvlOverride>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lvlOverride w:ilvl="0">
      <w:startOverride w:val="1"/>
    </w:lvlOverride>
  </w:num>
  <w:num w:numId="171">
    <w:abstractNumId w:val="1"/>
  </w:num>
  <w:num w:numId="172">
    <w:abstractNumId w:val="1"/>
  </w:num>
  <w:num w:numId="173">
    <w:abstractNumId w:val="1"/>
  </w:num>
  <w:num w:numId="174">
    <w:abstractNumId w:val="1"/>
    <w:lvlOverride w:ilvl="0">
      <w:startOverride w:val="1"/>
    </w:lvlOverride>
  </w:num>
  <w:num w:numId="175">
    <w:abstractNumId w:val="1"/>
  </w:num>
  <w:num w:numId="176">
    <w:abstractNumId w:val="1"/>
  </w:num>
  <w:num w:numId="177">
    <w:abstractNumId w:val="1"/>
    <w:lvlOverride w:ilvl="0">
      <w:startOverride w:val="1"/>
    </w:lvlOverride>
  </w:num>
  <w:num w:numId="178">
    <w:abstractNumId w:val="1"/>
  </w:num>
  <w:num w:numId="179">
    <w:abstractNumId w:val="1"/>
    <w:lvlOverride w:ilvl="0">
      <w:startOverride w:val="1"/>
    </w:lvlOverride>
  </w:num>
  <w:num w:numId="180">
    <w:abstractNumId w:val="1"/>
  </w:num>
  <w:num w:numId="181">
    <w:abstractNumId w:val="1"/>
  </w:num>
  <w:num w:numId="182">
    <w:abstractNumId w:val="1"/>
  </w:num>
  <w:num w:numId="183">
    <w:abstractNumId w:val="1"/>
  </w:num>
  <w:num w:numId="184">
    <w:abstractNumId w:val="1"/>
  </w:num>
  <w:num w:numId="185">
    <w:abstractNumId w:val="1"/>
    <w:lvlOverride w:ilvl="0">
      <w:startOverride w:val="1"/>
    </w:lvlOverride>
  </w:num>
  <w:num w:numId="186">
    <w:abstractNumId w:val="1"/>
  </w:num>
  <w:num w:numId="187">
    <w:abstractNumId w:val="1"/>
  </w:num>
  <w:num w:numId="188">
    <w:abstractNumId w:val="1"/>
    <w:lvlOverride w:ilvl="0">
      <w:startOverride w:val="1"/>
    </w:lvlOverride>
  </w:num>
  <w:num w:numId="189">
    <w:abstractNumId w:val="1"/>
  </w:num>
  <w:num w:numId="190">
    <w:abstractNumId w:val="1"/>
  </w:num>
  <w:num w:numId="191">
    <w:abstractNumId w:val="11"/>
    <w:lvlOverride w:ilvl="0">
      <w:startOverride w:val="1"/>
    </w:lvlOverride>
  </w:num>
  <w:num w:numId="192">
    <w:abstractNumId w:val="11"/>
  </w:num>
  <w:num w:numId="193">
    <w:abstractNumId w:val="11"/>
  </w:num>
  <w:num w:numId="194">
    <w:abstractNumId w:val="11"/>
  </w:num>
  <w:num w:numId="195">
    <w:abstractNumId w:val="11"/>
  </w:num>
  <w:num w:numId="196">
    <w:abstractNumId w:val="11"/>
    <w:lvlOverride w:ilvl="0">
      <w:startOverride w:val="1"/>
    </w:lvlOverride>
  </w:num>
  <w:num w:numId="197">
    <w:abstractNumId w:val="11"/>
  </w:num>
  <w:num w:numId="198">
    <w:abstractNumId w:val="11"/>
  </w:num>
  <w:num w:numId="199">
    <w:abstractNumId w:val="11"/>
  </w:num>
  <w:num w:numId="200">
    <w:abstractNumId w:val="11"/>
  </w:num>
  <w:num w:numId="201">
    <w:abstractNumId w:val="11"/>
  </w:num>
  <w:num w:numId="202">
    <w:abstractNumId w:val="11"/>
  </w:num>
  <w:num w:numId="203">
    <w:abstractNumId w:val="11"/>
  </w:num>
  <w:num w:numId="204">
    <w:abstractNumId w:val="11"/>
  </w:num>
  <w:num w:numId="205">
    <w:abstractNumId w:val="11"/>
    <w:lvlOverride w:ilvl="0">
      <w:startOverride w:val="1"/>
    </w:lvlOverride>
  </w:num>
  <w:num w:numId="206">
    <w:abstractNumId w:val="11"/>
  </w:num>
  <w:num w:numId="207">
    <w:abstractNumId w:val="11"/>
  </w:num>
  <w:num w:numId="208">
    <w:abstractNumId w:val="11"/>
  </w:num>
  <w:num w:numId="209">
    <w:abstractNumId w:val="11"/>
  </w:num>
  <w:num w:numId="210">
    <w:abstractNumId w:val="11"/>
  </w:num>
  <w:num w:numId="211">
    <w:abstractNumId w:val="1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keepNext w:val="true"/>
      <w:pageBreakBefore/>
      <w:spacing w:lineRule="auto" w:line="360" w:before="0" w:after="360"/>
      <w:jc w:val="center"/>
      <w:outlineLvl w:val="0"/>
    </w:pPr>
    <w:rPr>
      <w:rFonts w:ascii="Times New Roman" w:hAnsi="Times New Roman" w:eastAsia="Times New Roman" w:cs="Times New Roman"/>
      <w:b/>
      <w:bCs/>
      <w:color w:val="1F3864"/>
      <w:sz w:val="28"/>
      <w:szCs w:val="28"/>
    </w:rPr>
  </w:style>
  <w:style w:type="paragraph" w:styleId="Heading2">
    <w:name w:val="Heading 2"/>
    <w:basedOn w:val="Heading"/>
    <w:qFormat/>
    <w:pPr>
      <w:keepNext w:val="true"/>
      <w:keepLines/>
      <w:spacing w:lineRule="auto" w:line="360" w:before="360" w:after="120"/>
      <w:outlineLvl w:val="1"/>
    </w:pPr>
    <w:rPr>
      <w:rFonts w:ascii="Times New Roman" w:hAnsi="Times New Roman" w:eastAsia="Times New Roman" w:cs="Times New Roman"/>
      <w:b/>
      <w:bCs/>
      <w:color w:val="1F3864"/>
      <w:sz w:val="24"/>
      <w:szCs w:val="24"/>
    </w:rPr>
  </w:style>
  <w:style w:type="paragraph" w:styleId="Heading3">
    <w:name w:val="Heading 3"/>
    <w:basedOn w:val="Heading"/>
    <w:qFormat/>
    <w:pPr>
      <w:keepNext w:val="true"/>
      <w:keepLines/>
      <w:spacing w:lineRule="auto" w:line="360" w:before="240" w:after="120"/>
      <w:outlineLvl w:val="2"/>
    </w:pPr>
    <w:rPr>
      <w:rFonts w:ascii="Times New Roman" w:hAnsi="Times New Roman" w:eastAsia="Times New Roman" w:cs="Times New Roman"/>
      <w:b/>
      <w:bCs/>
      <w:i/>
      <w:i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rPr>
      <w:rFonts w:ascii="Times New Roman" w:hAnsi="Times New Roman" w:eastAsia="Times New Roman" w:cs="Times New Roman"/>
      <w:sz w:val="22"/>
      <w:szCs w:val="22"/>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360"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lineRule="auto" w:line="360"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itreliminaire">
    <w:name w:val="Titre liminaire"/>
    <w:qFormat/>
    <w:pPr>
      <w:widowControl/>
      <w:bidi w:val="0"/>
      <w:spacing w:lineRule="auto" w:line="360" w:before="0" w:after="480"/>
      <w:jc w:val="center"/>
    </w:pPr>
    <w:rPr>
      <w:rFonts w:ascii="Times New Roman" w:hAnsi="Times New Roman" w:eastAsia="Times New Roman" w:cs="Times New Roman"/>
      <w:b/>
      <w:bCs/>
      <w:color w:val="1F3864"/>
      <w:kern w:val="0"/>
      <w:sz w:val="28"/>
      <w:szCs w:val="28"/>
      <w:lang w:val="en-US" w:eastAsia="zh-CN" w:bidi="hi-IN"/>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070" w:leader="dot"/>
      </w:tabs>
      <w:ind w:hanging="0" w:left="0"/>
    </w:pPr>
    <w:rPr/>
  </w:style>
  <w:style w:type="paragraph" w:styleId="TOC2">
    <w:name w:val="TOC 2"/>
    <w:basedOn w:val="Index"/>
    <w:pPr>
      <w:tabs>
        <w:tab w:val="clear" w:pos="720"/>
        <w:tab w:val="right" w:pos="8787" w:leader="dot"/>
      </w:tabs>
      <w:ind w:hanging="0" w:left="283"/>
    </w:pPr>
    <w:rPr/>
  </w:style>
  <w:style w:type="paragraph" w:styleId="TableofFigures">
    <w:name w:val="Table of Figures"/>
    <w:basedOn w:val="Index"/>
    <w:pPr>
      <w:tabs>
        <w:tab w:val="clear" w:pos="720"/>
        <w:tab w:val="right" w:pos="9070" w:leader="dot"/>
      </w:tabs>
      <w:ind w:hanging="0" w:left="0"/>
    </w:pPr>
    <w:rPr/>
  </w:style>
  <w:style w:type="paragraph" w:styleId="TOC3">
    <w:name w:val="TOC 3"/>
    <w:basedOn w:val="Index"/>
    <w:pPr>
      <w:tabs>
        <w:tab w:val="clear" w:pos="720"/>
        <w:tab w:val="right" w:pos="8503"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footer" Target="footer3.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footer" Target="footer10.xml"/><Relationship Id="rId26" Type="http://schemas.openxmlformats.org/officeDocument/2006/relationships/footer" Target="footer11.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83</Pages>
  <Words>22116</Words>
  <Characters>125268</Characters>
  <CharactersWithSpaces>145576</CharactersWithSpaces>
  <Paragraphs>1693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2026-09-23T09:58:54Z</dcterms:created>
  <dc:creator>KOGNI Koffi Joseph</dc:creator>
  <dc:description/>
  <dc:language>en-US</dc:language>
  <cp:lastModifiedBy/>
  <dcterms:modified xsi:type="dcterms:W3CDTF">2026-09-23T09:58:57Z</dcterms:modified>
  <cp:revision>2</cp:revision>
  <dc:subject/>
  <dc:title>Analyse des techniques d’évaluation en ECM sur la notion de citoyenneté à l’ENFPE de Notsè</dc:title>
</cp:coreProperties>
</file>