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200"/>
        <w:gridCol w:w="3872"/>
      </w:tblGrid>
      <w:tr>
        <w:tc>
          <w:tcPr>
            <w:tcW w:type="dxa" w:w="5200"/>
            <w:tcBorders>
              <w:top w:val="none" w:color="FFFFFF" w:sz="0"/>
              <w:left w:val="none" w:color="FFFFFF" w:sz="0"/>
              <w:bottom w:val="none" w:color="FFFFFF" w:sz="0"/>
              <w:right w:val="none" w:color="FFFFFF" w:sz="0"/>
            </w:tcBorders>
          </w:tcPr>
          <w:p>
            <w:pPr>
              <w:spacing w:after="0" w:before="0" w:line="260"/>
              <w:jc w:val="center"/>
            </w:pPr>
            <w:r>
              <w:rPr>
                <w:rFonts w:ascii="Times New Roman" w:cs="Times New Roman" w:eastAsia="Times New Roman" w:hAnsi="Times New Roman"/>
                <w:b/>
                <w:bCs/>
                <w:sz w:val="20"/>
                <w:szCs w:val="20"/>
              </w:rPr>
              <w:t xml:space="preserve">MINISTÈRE DE L'ENSEIGNEMENT SUPÉRIEUR ET DE LA RECHERCHE</w:t>
            </w:r>
          </w:p>
          <w:p>
            <w:pPr>
              <w:spacing w:after="0" w:before="0" w:line="260"/>
              <w:jc w:val="center"/>
            </w:pPr>
            <w:r>
              <w:rPr>
                <w:rFonts w:ascii="Times New Roman" w:cs="Times New Roman" w:eastAsia="Times New Roman" w:hAnsi="Times New Roman"/>
                <w:sz w:val="18"/>
                <w:szCs w:val="18"/>
              </w:rPr>
              <w:t xml:space="preserve">********</w:t>
            </w:r>
          </w:p>
          <w:p>
            <w:pPr>
              <w:spacing w:after="0" w:before="0" w:line="260"/>
              <w:jc w:val="center"/>
            </w:pPr>
            <w:r>
              <w:rPr>
                <w:rFonts w:ascii="Times New Roman" w:cs="Times New Roman" w:eastAsia="Times New Roman" w:hAnsi="Times New Roman"/>
                <w:b/>
                <w:bCs/>
                <w:sz w:val="20"/>
                <w:szCs w:val="20"/>
              </w:rPr>
              <w:t xml:space="preserve">UNIVERSITÉ DE LOMÉ</w:t>
            </w:r>
          </w:p>
          <w:p>
            <w:pPr>
              <w:spacing w:after="0" w:before="0" w:line="260"/>
              <w:jc w:val="center"/>
            </w:pPr>
            <w:r>
              <w:rPr>
                <w:rFonts w:ascii="Times New Roman" w:cs="Times New Roman" w:eastAsia="Times New Roman" w:hAnsi="Times New Roman"/>
                <w:sz w:val="18"/>
                <w:szCs w:val="18"/>
              </w:rPr>
              <w:t xml:space="preserve">********</w:t>
            </w:r>
          </w:p>
          <w:p>
            <w:pPr>
              <w:spacing w:after="0" w:before="0" w:line="260"/>
              <w:jc w:val="center"/>
            </w:pPr>
            <w:r>
              <w:rPr>
                <w:rFonts w:ascii="Times New Roman" w:cs="Times New Roman" w:eastAsia="Times New Roman" w:hAnsi="Times New Roman"/>
                <w:b/>
                <w:bCs/>
                <w:sz w:val="20"/>
                <w:szCs w:val="20"/>
              </w:rPr>
              <w:t xml:space="preserve">INSTITUT NATIONAL DES SCIENCES DE L'ÉDUCATION (INSE)</w:t>
            </w:r>
          </w:p>
        </w:tc>
        <w:tc>
          <w:tcPr>
            <w:tcW w:type="dxa" w:w="3872"/>
            <w:tcBorders>
              <w:top w:val="none" w:color="FFFFFF" w:sz="0"/>
              <w:left w:val="none" w:color="FFFFFF" w:sz="0"/>
              <w:bottom w:val="none" w:color="FFFFFF" w:sz="0"/>
              <w:right w:val="none" w:color="FFFFFF" w:sz="0"/>
            </w:tcBorders>
          </w:tcPr>
          <w:p>
            <w:pPr>
              <w:spacing w:after="0" w:before="0" w:line="260"/>
              <w:jc w:val="center"/>
            </w:pPr>
            <w:r>
              <w:rPr>
                <w:rFonts w:ascii="Times New Roman" w:cs="Times New Roman" w:eastAsia="Times New Roman" w:hAnsi="Times New Roman"/>
                <w:b/>
                <w:bCs/>
                <w:sz w:val="20"/>
                <w:szCs w:val="20"/>
              </w:rPr>
              <w:t xml:space="preserve">RÉPUBLIQUE TOGOLAISE</w:t>
            </w:r>
          </w:p>
          <w:p>
            <w:pPr>
              <w:spacing w:after="0" w:before="0" w:line="260"/>
              <w:jc w:val="center"/>
            </w:pPr>
            <w:r>
              <w:rPr>
                <w:rFonts w:ascii="Times New Roman" w:cs="Times New Roman" w:eastAsia="Times New Roman" w:hAnsi="Times New Roman"/>
                <w:i/>
                <w:iCs/>
                <w:sz w:val="20"/>
                <w:szCs w:val="20"/>
              </w:rPr>
              <w:t xml:space="preserve">Travail – Liberté – Patrie</w:t>
            </w:r>
          </w:p>
        </w:tc>
      </w:tr>
    </w:tbl>
    <w:p>
      <w:pPr>
        <w:spacing w:after="0" w:before="700" w:line="260"/>
        <w:jc w:val="center"/>
      </w:pPr>
      <w:r>
        <w:rPr>
          <w:rFonts w:ascii="Times New Roman" w:cs="Times New Roman" w:eastAsia="Times New Roman" w:hAnsi="Times New Roman"/>
          <w:b/>
          <w:bCs/>
          <w:sz w:val="26"/>
          <w:szCs w:val="26"/>
        </w:rPr>
        <w:t xml:space="preserve">MASTER PROFESSIONNEL</w:t>
      </w:r>
    </w:p>
    <w:p>
      <w:pPr>
        <w:spacing w:after="0" w:before="60" w:line="260"/>
        <w:jc w:val="center"/>
      </w:pPr>
      <w:r>
        <w:rPr>
          <w:rFonts w:ascii="Times New Roman" w:cs="Times New Roman" w:eastAsia="Times New Roman" w:hAnsi="Times New Roman"/>
          <w:i/>
          <w:iCs/>
          <w:sz w:val="23"/>
          <w:szCs w:val="23"/>
        </w:rPr>
        <w:t xml:space="preserve">Formation des formateurs – Champ disciplinaire : Mathématiques</w:t>
      </w:r>
    </w:p>
    <w:p>
      <w:pPr>
        <w:spacing w:after="300" w:before="500" w:line="260"/>
        <w:jc w:val="center"/>
      </w:pPr>
      <w:r>
        <w:rPr>
          <w:rFonts w:ascii="Times New Roman" w:cs="Times New Roman" w:eastAsia="Times New Roman" w:hAnsi="Times New Roman"/>
          <w:b/>
          <w:bCs/>
          <w:sz w:val="28"/>
          <w:szCs w:val="28"/>
        </w:rPr>
        <w:t xml:space="preserve">MÉMOIRE PROFESSIONNEL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double" w:color="1F3864" w:sz="6"/>
              <w:left w:val="double" w:color="1F3864" w:sz="6"/>
              <w:bottom w:val="double" w:color="1F3864" w:sz="6"/>
              <w:right w:val="double" w:color="1F3864" w:sz="6"/>
            </w:tcBorders>
            <w:tcMar>
              <w:top w:type="dxa" w:w="200"/>
              <w:left w:type="dxa" w:w="250"/>
              <w:bottom w:type="dxa" w:w="200"/>
              <w:right w:type="dxa" w:w="250"/>
            </w:tcMar>
          </w:tcPr>
          <w:p>
            <w:pPr>
              <w:spacing w:after="0" w:before="0" w:line="340"/>
              <w:jc w:val="center"/>
            </w:pPr>
            <w:r>
              <w:rPr>
                <w:rFonts w:ascii="Times New Roman" w:cs="Times New Roman" w:eastAsia="Times New Roman" w:hAnsi="Times New Roman"/>
                <w:b/>
                <w:bCs/>
                <w:sz w:val="30"/>
                <w:szCs w:val="30"/>
              </w:rPr>
              <w:t xml:space="preserve">DIFFICULTÉS DES ÉLÈVES-PROFESSEURS DANS L'ENSEIGNEMENT DES FRACTIONS AU PRIMAIRE : ANALYSE DES PRATIQUES ET PROPOSITIONS DIDACTIQUES À L'ENFPE DE NOTSÈ</w:t>
            </w:r>
          </w:p>
        </w:tc>
      </w:tr>
    </w:tbl>
    <w:p>
      <w:pPr>
        <w:spacing w:after="700" w:before="300" w:line="260"/>
        <w:jc w:val="center"/>
      </w:pPr>
      <w:r>
        <w:rPr>
          <w:rFonts w:ascii="Times New Roman" w:cs="Times New Roman" w:eastAsia="Times New Roman" w:hAnsi="Times New Roman"/>
          <w:i/>
          <w:iCs/>
          <w:sz w:val="22"/>
          <w:szCs w:val="22"/>
        </w:rPr>
        <w:t xml:space="preserve">Lieu du stage : École Normale de Formation des Professeurs d'École (ENFPE) de Notsè</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Pr>
          <w:p>
            <w:pPr>
              <w:spacing w:after="0" w:before="0" w:line="260"/>
              <w:jc w:val="left"/>
            </w:pPr>
            <w:r>
              <w:rPr>
                <w:rFonts w:ascii="Times New Roman" w:cs="Times New Roman" w:eastAsia="Times New Roman" w:hAnsi="Times New Roman"/>
                <w:b/>
                <w:bCs/>
                <w:i/>
                <w:iCs/>
                <w:sz w:val="22"/>
                <w:szCs w:val="22"/>
              </w:rPr>
              <w:t xml:space="preserve">Présenté et soutenu par :</w:t>
            </w:r>
          </w:p>
          <w:p>
            <w:pPr>
              <w:spacing w:after="0" w:before="80" w:line="260"/>
              <w:jc w:val="left"/>
            </w:pPr>
            <w:r>
              <w:rPr>
                <w:rFonts w:ascii="Times New Roman" w:cs="Times New Roman" w:eastAsia="Times New Roman" w:hAnsi="Times New Roman"/>
                <w:b/>
                <w:bCs/>
                <w:sz w:val="24"/>
                <w:szCs w:val="24"/>
              </w:rPr>
              <w:t xml:space="preserve">M. AWI Abaloutu</w:t>
            </w:r>
          </w:p>
          <w:p>
            <w:pPr>
              <w:spacing w:after="0" w:before="40" w:line="260"/>
              <w:jc w:val="left"/>
            </w:pPr>
            <w:r>
              <w:rPr>
                <w:rFonts w:ascii="Times New Roman" w:cs="Times New Roman" w:eastAsia="Times New Roman" w:hAnsi="Times New Roman"/>
                <w:sz w:val="22"/>
                <w:szCs w:val="22"/>
              </w:rPr>
              <w:t xml:space="preserve">Étudiant-professeur en Master professionnel</w:t>
            </w:r>
          </w:p>
        </w:tc>
        <w:tc>
          <w:tcPr>
            <w:tcW w:type="dxa" w:w="4536"/>
            <w:tcBorders>
              <w:top w:val="none" w:color="FFFFFF" w:sz="0"/>
              <w:left w:val="none" w:color="FFFFFF" w:sz="0"/>
              <w:bottom w:val="none" w:color="FFFFFF" w:sz="0"/>
              <w:right w:val="none" w:color="FFFFFF" w:sz="0"/>
            </w:tcBorders>
          </w:tcPr>
          <w:p>
            <w:pPr>
              <w:spacing w:after="0" w:before="0" w:line="260"/>
              <w:jc w:val="left"/>
            </w:pPr>
            <w:r>
              <w:rPr>
                <w:rFonts w:ascii="Times New Roman" w:cs="Times New Roman" w:eastAsia="Times New Roman" w:hAnsi="Times New Roman"/>
                <w:b/>
                <w:bCs/>
                <w:i/>
                <w:iCs/>
                <w:sz w:val="22"/>
                <w:szCs w:val="22"/>
              </w:rPr>
              <w:t xml:space="preserve">Sous la direction de :</w:t>
            </w:r>
          </w:p>
          <w:p>
            <w:pPr>
              <w:spacing w:after="0" w:before="80" w:line="260"/>
              <w:jc w:val="left"/>
            </w:pPr>
            <w:r>
              <w:rPr>
                <w:rFonts w:ascii="Times New Roman" w:cs="Times New Roman" w:eastAsia="Times New Roman" w:hAnsi="Times New Roman"/>
                <w:sz w:val="22"/>
                <w:szCs w:val="22"/>
              </w:rPr>
              <w:t xml:space="preserve">[Nom et grade du Directeur], INSE</w:t>
            </w:r>
          </w:p>
          <w:p>
            <w:pPr>
              <w:spacing w:after="0" w:before="120" w:line="260"/>
              <w:jc w:val="left"/>
            </w:pPr>
            <w:r>
              <w:rPr>
                <w:rFonts w:ascii="Times New Roman" w:cs="Times New Roman" w:eastAsia="Times New Roman" w:hAnsi="Times New Roman"/>
                <w:b/>
                <w:bCs/>
                <w:i/>
                <w:iCs/>
                <w:sz w:val="22"/>
                <w:szCs w:val="22"/>
              </w:rPr>
              <w:t xml:space="preserve">Co-directeur :</w:t>
            </w:r>
          </w:p>
          <w:p>
            <w:pPr>
              <w:spacing w:after="0" w:before="80" w:line="260"/>
              <w:jc w:val="left"/>
            </w:pPr>
            <w:r>
              <w:rPr>
                <w:rFonts w:ascii="Times New Roman" w:cs="Times New Roman" w:eastAsia="Times New Roman" w:hAnsi="Times New Roman"/>
                <w:sz w:val="22"/>
                <w:szCs w:val="22"/>
              </w:rPr>
              <w:t xml:space="preserve">[Nom et grade du Co-directeur], ENFPE de Notsè</w:t>
            </w:r>
          </w:p>
        </w:tc>
      </w:tr>
    </w:tbl>
    <w:p>
      <w:pPr>
        <w:spacing w:after="0" w:before="1200" w:line="260"/>
        <w:jc w:val="center"/>
      </w:pPr>
      <w:r>
        <w:rPr>
          <w:rFonts w:ascii="Times New Roman" w:cs="Times New Roman" w:eastAsia="Times New Roman" w:hAnsi="Times New Roman"/>
          <w:b/>
          <w:bCs/>
          <w:sz w:val="24"/>
          <w:szCs w:val="24"/>
        </w:rPr>
        <w:t xml:space="preserve">Année académique : 2025 – 2026</w:t>
      </w:r>
    </w:p>
    <w:p>
      <w:pPr>
        <w:sectPr>
          <w:pgSz w:w="11906" w:h="16838" w:orient="portrait"/>
          <w:pgMar w:top="1417" w:right="1417" w:bottom="1417" w:left="1417" w:header="708" w:footer="600" w:gutter="0"/>
          <w:pgNumType w:fmt="decimal"/>
          <w:docGrid w:linePitch="360"/>
        </w:sectPr>
      </w:pPr>
    </w:p>
    <w:p>
      <w:pPr>
        <w:pStyle w:val="Heading1"/>
      </w:pPr>
      <w:r>
        <w:rPr>
          <w:rFonts w:ascii="Times New Roman" w:cs="Times New Roman" w:eastAsia="Times New Roman" w:hAnsi="Times New Roman"/>
        </w:rPr>
        <w:t xml:space="preserve">SOMMAIRE</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DÉDICACE</w:t>
      </w:r>
      <w:r>
        <w:rPr>
          <w:rFonts w:ascii="Times New Roman" w:cs="Times New Roman" w:eastAsia="Times New Roman" w:hAnsi="Times New Roman"/>
          <w:b/>
          <w:bCs/>
          <w:sz w:val="22"/>
          <w:szCs w:val="22"/>
        </w:rPr>
        <w:t xml:space="preserve">	iii</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REMERCIEMENTS</w:t>
      </w:r>
      <w:r>
        <w:rPr>
          <w:rFonts w:ascii="Times New Roman" w:cs="Times New Roman" w:eastAsia="Times New Roman" w:hAnsi="Times New Roman"/>
          <w:b/>
          <w:bCs/>
          <w:sz w:val="22"/>
          <w:szCs w:val="22"/>
        </w:rPr>
        <w:t xml:space="preserve">	iv</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RÉSUMÉ</w:t>
      </w:r>
      <w:r>
        <w:rPr>
          <w:rFonts w:ascii="Times New Roman" w:cs="Times New Roman" w:eastAsia="Times New Roman" w:hAnsi="Times New Roman"/>
          <w:b/>
          <w:bCs/>
          <w:sz w:val="22"/>
          <w:szCs w:val="22"/>
        </w:rPr>
        <w:t xml:space="preserve">	v</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b/>
          <w:bCs/>
          <w:sz w:val="22"/>
          <w:szCs w:val="22"/>
        </w:rPr>
        <w:t xml:space="preserve">	vi</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SIGLES ET ABRÉVIATIONS</w:t>
      </w:r>
      <w:r>
        <w:rPr>
          <w:rFonts w:ascii="Times New Roman" w:cs="Times New Roman" w:eastAsia="Times New Roman" w:hAnsi="Times New Roman"/>
          <w:b/>
          <w:bCs/>
          <w:sz w:val="22"/>
          <w:szCs w:val="22"/>
        </w:rPr>
        <w:t xml:space="preserve">	vii</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INTRODUCTION GÉNÉRALE</w:t>
      </w:r>
      <w:r>
        <w:rPr>
          <w:rFonts w:ascii="Times New Roman" w:cs="Times New Roman" w:eastAsia="Times New Roman" w:hAnsi="Times New Roman"/>
          <w:b/>
          <w:bCs/>
          <w:sz w:val="22"/>
          <w:szCs w:val="22"/>
        </w:rPr>
        <w:t xml:space="preserve">	1</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CHAPITRE 1 : CADRE DU STAGE, ACTIVITÉS RÉALISÉES, ACQUIS PROFESSIONNELS ET DIFFICULTÉS RENCONTRÉES</w:t>
      </w:r>
      <w:r>
        <w:rPr>
          <w:rFonts w:ascii="Times New Roman" w:cs="Times New Roman" w:eastAsia="Times New Roman" w:hAnsi="Times New Roman"/>
          <w:b/>
          <w:bCs/>
          <w:sz w:val="22"/>
          <w:szCs w:val="22"/>
        </w:rPr>
        <w:t xml:space="preserve">	3</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Introduction</w:t>
      </w:r>
      <w:r>
        <w:rPr>
          <w:rFonts w:ascii="Times New Roman" w:cs="Times New Roman" w:eastAsia="Times New Roman" w:hAnsi="Times New Roman"/>
          <w:b w:val="false"/>
          <w:bCs w:val="false"/>
          <w:sz w:val="22"/>
          <w:szCs w:val="22"/>
        </w:rPr>
        <w:t xml:space="preserve">	3</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1.1. Présentation du cadre du stage</w:t>
      </w:r>
      <w:r>
        <w:rPr>
          <w:rFonts w:ascii="Times New Roman" w:cs="Times New Roman" w:eastAsia="Times New Roman" w:hAnsi="Times New Roman"/>
          <w:b w:val="false"/>
          <w:bCs w:val="false"/>
          <w:sz w:val="22"/>
          <w:szCs w:val="22"/>
        </w:rPr>
        <w:t xml:space="preserve">	3</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1.2. Activités réalisées au cours du stage</w:t>
      </w:r>
      <w:r>
        <w:rPr>
          <w:rFonts w:ascii="Times New Roman" w:cs="Times New Roman" w:eastAsia="Times New Roman" w:hAnsi="Times New Roman"/>
          <w:b w:val="false"/>
          <w:bCs w:val="false"/>
          <w:sz w:val="22"/>
          <w:szCs w:val="22"/>
        </w:rPr>
        <w:t xml:space="preserve">	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1.3. Acquis professionnels</w:t>
      </w:r>
      <w:r>
        <w:rPr>
          <w:rFonts w:ascii="Times New Roman" w:cs="Times New Roman" w:eastAsia="Times New Roman" w:hAnsi="Times New Roman"/>
          <w:b w:val="false"/>
          <w:bCs w:val="false"/>
          <w:sz w:val="22"/>
          <w:szCs w:val="22"/>
        </w:rPr>
        <w:t xml:space="preserve">	11</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1.4. Difficultés rencontrées et stratégies développées</w:t>
      </w:r>
      <w:r>
        <w:rPr>
          <w:rFonts w:ascii="Times New Roman" w:cs="Times New Roman" w:eastAsia="Times New Roman" w:hAnsi="Times New Roman"/>
          <w:b w:val="false"/>
          <w:bCs w:val="false"/>
          <w:sz w:val="22"/>
          <w:szCs w:val="22"/>
        </w:rPr>
        <w:t xml:space="preserve">	13</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1.5. Difficulté retenue comme problème de recherche</w:t>
      </w:r>
      <w:r>
        <w:rPr>
          <w:rFonts w:ascii="Times New Roman" w:cs="Times New Roman" w:eastAsia="Times New Roman" w:hAnsi="Times New Roman"/>
          <w:b w:val="false"/>
          <w:bCs w:val="false"/>
          <w:sz w:val="22"/>
          <w:szCs w:val="22"/>
        </w:rPr>
        <w:t xml:space="preserve">	15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Conclusion</w:t>
      </w:r>
      <w:r>
        <w:rPr>
          <w:rFonts w:ascii="Times New Roman" w:cs="Times New Roman" w:eastAsia="Times New Roman" w:hAnsi="Times New Roman"/>
          <w:b w:val="false"/>
          <w:bCs w:val="false"/>
          <w:sz w:val="22"/>
          <w:szCs w:val="22"/>
        </w:rPr>
        <w:t xml:space="preserve">	16</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CHAPITRE 2 : PROBLÈME RELEVÉ AU COURS DU STAGE</w:t>
      </w:r>
      <w:r>
        <w:rPr>
          <w:rFonts w:ascii="Times New Roman" w:cs="Times New Roman" w:eastAsia="Times New Roman" w:hAnsi="Times New Roman"/>
          <w:b/>
          <w:bCs/>
          <w:sz w:val="22"/>
          <w:szCs w:val="22"/>
        </w:rPr>
        <w:t xml:space="preserve">	17</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Introduction</w:t>
      </w:r>
      <w:r>
        <w:rPr>
          <w:rFonts w:ascii="Times New Roman" w:cs="Times New Roman" w:eastAsia="Times New Roman" w:hAnsi="Times New Roman"/>
          <w:b w:val="false"/>
          <w:bCs w:val="false"/>
          <w:sz w:val="22"/>
          <w:szCs w:val="22"/>
        </w:rPr>
        <w:t xml:space="preserve">	17</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2.1. Contexte et justification du problème</w:t>
      </w:r>
      <w:r>
        <w:rPr>
          <w:rFonts w:ascii="Times New Roman" w:cs="Times New Roman" w:eastAsia="Times New Roman" w:hAnsi="Times New Roman"/>
          <w:b w:val="false"/>
          <w:bCs w:val="false"/>
          <w:sz w:val="22"/>
          <w:szCs w:val="22"/>
        </w:rPr>
        <w:t xml:space="preserve">	17</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2.2. Énoncé du problème</w:t>
      </w:r>
      <w:r>
        <w:rPr>
          <w:rFonts w:ascii="Times New Roman" w:cs="Times New Roman" w:eastAsia="Times New Roman" w:hAnsi="Times New Roman"/>
          <w:b w:val="false"/>
          <w:bCs w:val="false"/>
          <w:sz w:val="22"/>
          <w:szCs w:val="22"/>
        </w:rPr>
        <w:t xml:space="preserve">	21</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2.3. Questions de recherche</w:t>
      </w:r>
      <w:r>
        <w:rPr>
          <w:rFonts w:ascii="Times New Roman" w:cs="Times New Roman" w:eastAsia="Times New Roman" w:hAnsi="Times New Roman"/>
          <w:b w:val="false"/>
          <w:bCs w:val="false"/>
          <w:sz w:val="22"/>
          <w:szCs w:val="22"/>
        </w:rPr>
        <w:t xml:space="preserve">	21</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2.4. Hypothèses de recherche</w:t>
      </w:r>
      <w:r>
        <w:rPr>
          <w:rFonts w:ascii="Times New Roman" w:cs="Times New Roman" w:eastAsia="Times New Roman" w:hAnsi="Times New Roman"/>
          <w:b w:val="false"/>
          <w:bCs w:val="false"/>
          <w:sz w:val="22"/>
          <w:szCs w:val="22"/>
        </w:rPr>
        <w:t xml:space="preserve">	22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2.5. Objectifs de la recherche</w:t>
      </w:r>
      <w:r>
        <w:rPr>
          <w:rFonts w:ascii="Times New Roman" w:cs="Times New Roman" w:eastAsia="Times New Roman" w:hAnsi="Times New Roman"/>
          <w:b w:val="false"/>
          <w:bCs w:val="false"/>
          <w:sz w:val="22"/>
          <w:szCs w:val="22"/>
        </w:rPr>
        <w:t xml:space="preserve">	22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2.6. Pertinence de l'étude</w:t>
      </w:r>
      <w:r>
        <w:rPr>
          <w:rFonts w:ascii="Times New Roman" w:cs="Times New Roman" w:eastAsia="Times New Roman" w:hAnsi="Times New Roman"/>
          <w:b w:val="false"/>
          <w:bCs w:val="false"/>
          <w:sz w:val="22"/>
          <w:szCs w:val="22"/>
        </w:rPr>
        <w:t xml:space="preserve">	23</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2.7. Délimitation de l'étude</w:t>
      </w:r>
      <w:r>
        <w:rPr>
          <w:rFonts w:ascii="Times New Roman" w:cs="Times New Roman" w:eastAsia="Times New Roman" w:hAnsi="Times New Roman"/>
          <w:b w:val="false"/>
          <w:bCs w:val="false"/>
          <w:sz w:val="22"/>
          <w:szCs w:val="22"/>
        </w:rPr>
        <w:t xml:space="preserve">	24</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Conclusion</w:t>
      </w:r>
      <w:r>
        <w:rPr>
          <w:rFonts w:ascii="Times New Roman" w:cs="Times New Roman" w:eastAsia="Times New Roman" w:hAnsi="Times New Roman"/>
          <w:b w:val="false"/>
          <w:bCs w:val="false"/>
          <w:sz w:val="22"/>
          <w:szCs w:val="22"/>
        </w:rPr>
        <w:t xml:space="preserve">	24</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CHAPITRE 3 : APPROCHE THÉORIQUE ET MÉTHODOLOGIQUE</w:t>
      </w:r>
      <w:r>
        <w:rPr>
          <w:rFonts w:ascii="Times New Roman" w:cs="Times New Roman" w:eastAsia="Times New Roman" w:hAnsi="Times New Roman"/>
          <w:b/>
          <w:bCs/>
          <w:sz w:val="22"/>
          <w:szCs w:val="22"/>
        </w:rPr>
        <w:t xml:space="preserve">	25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Introduction</w:t>
      </w:r>
      <w:r>
        <w:rPr>
          <w:rFonts w:ascii="Times New Roman" w:cs="Times New Roman" w:eastAsia="Times New Roman" w:hAnsi="Times New Roman"/>
          <w:b w:val="false"/>
          <w:bCs w:val="false"/>
          <w:sz w:val="22"/>
          <w:szCs w:val="22"/>
        </w:rPr>
        <w:t xml:space="preserve">	25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3.1. État de la question</w:t>
      </w:r>
      <w:r>
        <w:rPr>
          <w:rFonts w:ascii="Times New Roman" w:cs="Times New Roman" w:eastAsia="Times New Roman" w:hAnsi="Times New Roman"/>
          <w:b w:val="false"/>
          <w:bCs w:val="false"/>
          <w:sz w:val="22"/>
          <w:szCs w:val="22"/>
        </w:rPr>
        <w:t xml:space="preserve">	25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3.2. Approche théorique</w:t>
      </w:r>
      <w:r>
        <w:rPr>
          <w:rFonts w:ascii="Times New Roman" w:cs="Times New Roman" w:eastAsia="Times New Roman" w:hAnsi="Times New Roman"/>
          <w:b w:val="false"/>
          <w:bCs w:val="false"/>
          <w:sz w:val="22"/>
          <w:szCs w:val="22"/>
        </w:rPr>
        <w:t xml:space="preserve">	29</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3.3. Clarification des concepts</w:t>
      </w:r>
      <w:r>
        <w:rPr>
          <w:rFonts w:ascii="Times New Roman" w:cs="Times New Roman" w:eastAsia="Times New Roman" w:hAnsi="Times New Roman"/>
          <w:b w:val="false"/>
          <w:bCs w:val="false"/>
          <w:sz w:val="22"/>
          <w:szCs w:val="22"/>
        </w:rPr>
        <w:t xml:space="preserve">	33</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3.4. Variables et indicateurs</w:t>
      </w:r>
      <w:r>
        <w:rPr>
          <w:rFonts w:ascii="Times New Roman" w:cs="Times New Roman" w:eastAsia="Times New Roman" w:hAnsi="Times New Roman"/>
          <w:b w:val="false"/>
          <w:bCs w:val="false"/>
          <w:sz w:val="22"/>
          <w:szCs w:val="22"/>
        </w:rPr>
        <w:t xml:space="preserve">	34</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3.5. Démarche méthodologique</w:t>
      </w:r>
      <w:r>
        <w:rPr>
          <w:rFonts w:ascii="Times New Roman" w:cs="Times New Roman" w:eastAsia="Times New Roman" w:hAnsi="Times New Roman"/>
          <w:b w:val="false"/>
          <w:bCs w:val="false"/>
          <w:sz w:val="22"/>
          <w:szCs w:val="22"/>
        </w:rPr>
        <w:t xml:space="preserve">	36</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Conclusion</w:t>
      </w:r>
      <w:r>
        <w:rPr>
          <w:rFonts w:ascii="Times New Roman" w:cs="Times New Roman" w:eastAsia="Times New Roman" w:hAnsi="Times New Roman"/>
          <w:b w:val="false"/>
          <w:bCs w:val="false"/>
          <w:sz w:val="22"/>
          <w:szCs w:val="22"/>
        </w:rPr>
        <w:t xml:space="preserve">	41</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CHAPITRE 4 : PRÉSENTATION, ANALYSE, INTERPRÉTATION ET DISCUSSION DES RÉSULTATS</w:t>
      </w:r>
      <w:r>
        <w:rPr>
          <w:rFonts w:ascii="Times New Roman" w:cs="Times New Roman" w:eastAsia="Times New Roman" w:hAnsi="Times New Roman"/>
          <w:b/>
          <w:bCs/>
          <w:sz w:val="22"/>
          <w:szCs w:val="22"/>
        </w:rPr>
        <w:t xml:space="preserve">	42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Introduction</w:t>
      </w:r>
      <w:r>
        <w:rPr>
          <w:rFonts w:ascii="Times New Roman" w:cs="Times New Roman" w:eastAsia="Times New Roman" w:hAnsi="Times New Roman"/>
          <w:b w:val="false"/>
          <w:bCs w:val="false"/>
          <w:sz w:val="22"/>
          <w:szCs w:val="22"/>
        </w:rPr>
        <w:t xml:space="preserve">	42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4.1. Caractéristiques de l'échantillon</w:t>
      </w:r>
      <w:r>
        <w:rPr>
          <w:rFonts w:ascii="Times New Roman" w:cs="Times New Roman" w:eastAsia="Times New Roman" w:hAnsi="Times New Roman"/>
          <w:b w:val="false"/>
          <w:bCs w:val="false"/>
          <w:sz w:val="22"/>
          <w:szCs w:val="22"/>
        </w:rPr>
        <w:t xml:space="preserve">	42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4.2. Résultats relatifs à la maîtrise conceptuelle des fractions</w:t>
      </w:r>
      <w:r>
        <w:rPr>
          <w:rFonts w:ascii="Times New Roman" w:cs="Times New Roman" w:eastAsia="Times New Roman" w:hAnsi="Times New Roman"/>
          <w:b w:val="false"/>
          <w:bCs w:val="false"/>
          <w:sz w:val="22"/>
          <w:szCs w:val="22"/>
        </w:rPr>
        <w:t xml:space="preserve">	44</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4.3. Résultats relatifs aux pratiques de préparation des leçons</w:t>
      </w:r>
      <w:r>
        <w:rPr>
          <w:rFonts w:ascii="Times New Roman" w:cs="Times New Roman" w:eastAsia="Times New Roman" w:hAnsi="Times New Roman"/>
          <w:b w:val="false"/>
          <w:bCs w:val="false"/>
          <w:sz w:val="22"/>
          <w:szCs w:val="22"/>
        </w:rPr>
        <w:t xml:space="preserve">	52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4.4. Résultats relatifs au dispositif de formation et d'encadrement</w:t>
      </w:r>
      <w:r>
        <w:rPr>
          <w:rFonts w:ascii="Times New Roman" w:cs="Times New Roman" w:eastAsia="Times New Roman" w:hAnsi="Times New Roman"/>
          <w:b w:val="false"/>
          <w:bCs w:val="false"/>
          <w:sz w:val="22"/>
          <w:szCs w:val="22"/>
        </w:rPr>
        <w:t xml:space="preserve">	56</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4.5. Vérification des hypothèses</w:t>
      </w:r>
      <w:r>
        <w:rPr>
          <w:rFonts w:ascii="Times New Roman" w:cs="Times New Roman" w:eastAsia="Times New Roman" w:hAnsi="Times New Roman"/>
          <w:b w:val="false"/>
          <w:bCs w:val="false"/>
          <w:sz w:val="22"/>
          <w:szCs w:val="22"/>
        </w:rPr>
        <w:t xml:space="preserve">	62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4.6. Discussion des résultats</w:t>
      </w:r>
      <w:r>
        <w:rPr>
          <w:rFonts w:ascii="Times New Roman" w:cs="Times New Roman" w:eastAsia="Times New Roman" w:hAnsi="Times New Roman"/>
          <w:b w:val="false"/>
          <w:bCs w:val="false"/>
          <w:sz w:val="22"/>
          <w:szCs w:val="22"/>
        </w:rPr>
        <w:t xml:space="preserve">	64</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Conclusion</w:t>
      </w:r>
      <w:r>
        <w:rPr>
          <w:rFonts w:ascii="Times New Roman" w:cs="Times New Roman" w:eastAsia="Times New Roman" w:hAnsi="Times New Roman"/>
          <w:b w:val="false"/>
          <w:bCs w:val="false"/>
          <w:sz w:val="22"/>
          <w:szCs w:val="22"/>
        </w:rPr>
        <w:t xml:space="preserve">	66</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CHAPITRE 5 : CONTRIBUTION PROFESSIONNELLE : LA DÉMARCHE P-M-R-S-R POUR ENSEIGNER LES FRACTIONS AU PRIMAIRE</w:t>
      </w:r>
      <w:r>
        <w:rPr>
          <w:rFonts w:ascii="Times New Roman" w:cs="Times New Roman" w:eastAsia="Times New Roman" w:hAnsi="Times New Roman"/>
          <w:b/>
          <w:bCs/>
          <w:sz w:val="22"/>
          <w:szCs w:val="22"/>
        </w:rPr>
        <w:t xml:space="preserve">	67</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Introduction</w:t>
      </w:r>
      <w:r>
        <w:rPr>
          <w:rFonts w:ascii="Times New Roman" w:cs="Times New Roman" w:eastAsia="Times New Roman" w:hAnsi="Times New Roman"/>
          <w:b w:val="false"/>
          <w:bCs w:val="false"/>
          <w:sz w:val="22"/>
          <w:szCs w:val="22"/>
        </w:rPr>
        <w:t xml:space="preserve">	67</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5.1. Fondements et principes de la démarche</w:t>
      </w:r>
      <w:r>
        <w:rPr>
          <w:rFonts w:ascii="Times New Roman" w:cs="Times New Roman" w:eastAsia="Times New Roman" w:hAnsi="Times New Roman"/>
          <w:b w:val="false"/>
          <w:bCs w:val="false"/>
          <w:sz w:val="22"/>
          <w:szCs w:val="22"/>
        </w:rPr>
        <w:t xml:space="preserve">	67</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5.2. Présentation de la démarche P-M-R-S-R</w:t>
      </w:r>
      <w:r>
        <w:rPr>
          <w:rFonts w:ascii="Times New Roman" w:cs="Times New Roman" w:eastAsia="Times New Roman" w:hAnsi="Times New Roman"/>
          <w:b w:val="false"/>
          <w:bCs w:val="false"/>
          <w:sz w:val="22"/>
          <w:szCs w:val="22"/>
        </w:rPr>
        <w:t xml:space="preserve">	68</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5.3. Le kit de matériel didactique local pour les fractions</w:t>
      </w:r>
      <w:r>
        <w:rPr>
          <w:rFonts w:ascii="Times New Roman" w:cs="Times New Roman" w:eastAsia="Times New Roman" w:hAnsi="Times New Roman"/>
          <w:b w:val="false"/>
          <w:bCs w:val="false"/>
          <w:sz w:val="22"/>
          <w:szCs w:val="22"/>
        </w:rPr>
        <w:t xml:space="preserve">	70</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5.4. Progression des apprentissages sur les fractions du CE1 au CM2</w:t>
      </w:r>
      <w:r>
        <w:rPr>
          <w:rFonts w:ascii="Times New Roman" w:cs="Times New Roman" w:eastAsia="Times New Roman" w:hAnsi="Times New Roman"/>
          <w:b w:val="false"/>
          <w:bCs w:val="false"/>
          <w:sz w:val="22"/>
          <w:szCs w:val="22"/>
        </w:rPr>
        <w:t xml:space="preserve">	71</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5.5. Démonstration : trois fiches pédagogiques conçues selon la démarche</w:t>
      </w:r>
      <w:r>
        <w:rPr>
          <w:rFonts w:ascii="Times New Roman" w:cs="Times New Roman" w:eastAsia="Times New Roman" w:hAnsi="Times New Roman"/>
          <w:b w:val="false"/>
          <w:bCs w:val="false"/>
          <w:sz w:val="22"/>
          <w:szCs w:val="22"/>
        </w:rPr>
        <w:t xml:space="preserve">	71</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5.6. Le dispositif de remédiation des erreurs typiques</w:t>
      </w:r>
      <w:r>
        <w:rPr>
          <w:rFonts w:ascii="Times New Roman" w:cs="Times New Roman" w:eastAsia="Times New Roman" w:hAnsi="Times New Roman"/>
          <w:b w:val="false"/>
          <w:bCs w:val="false"/>
          <w:sz w:val="22"/>
          <w:szCs w:val="22"/>
        </w:rPr>
        <w:t xml:space="preserve">	75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5.7. L'atelier de formation des EPE à la double transposition</w:t>
      </w:r>
      <w:r>
        <w:rPr>
          <w:rFonts w:ascii="Times New Roman" w:cs="Times New Roman" w:eastAsia="Times New Roman" w:hAnsi="Times New Roman"/>
          <w:b w:val="false"/>
          <w:bCs w:val="false"/>
          <w:sz w:val="22"/>
          <w:szCs w:val="22"/>
        </w:rPr>
        <w:t xml:space="preserve">	76</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5.8. La grille d'auto-analyse des fiches pédagogiques</w:t>
      </w:r>
      <w:r>
        <w:rPr>
          <w:rFonts w:ascii="Times New Roman" w:cs="Times New Roman" w:eastAsia="Times New Roman" w:hAnsi="Times New Roman"/>
          <w:b w:val="false"/>
          <w:bCs w:val="false"/>
          <w:sz w:val="22"/>
          <w:szCs w:val="22"/>
        </w:rPr>
        <w:t xml:space="preserve">	76</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5.9. La fiche d'observation pour l'accompagnement des stagiaires</w:t>
      </w:r>
      <w:r>
        <w:rPr>
          <w:rFonts w:ascii="Times New Roman" w:cs="Times New Roman" w:eastAsia="Times New Roman" w:hAnsi="Times New Roman"/>
          <w:b w:val="false"/>
          <w:bCs w:val="false"/>
          <w:sz w:val="22"/>
          <w:szCs w:val="22"/>
        </w:rPr>
        <w:t xml:space="preserve">	77</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5.10. Planification de la mise en œuvre</w:t>
      </w:r>
      <w:r>
        <w:rPr>
          <w:rFonts w:ascii="Times New Roman" w:cs="Times New Roman" w:eastAsia="Times New Roman" w:hAnsi="Times New Roman"/>
          <w:b w:val="false"/>
          <w:bCs w:val="false"/>
          <w:sz w:val="22"/>
          <w:szCs w:val="22"/>
        </w:rPr>
        <w:t xml:space="preserve">	78</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5.11. Conditions de mise en œuvre et évaluation de la contribution</w:t>
      </w:r>
      <w:r>
        <w:rPr>
          <w:rFonts w:ascii="Times New Roman" w:cs="Times New Roman" w:eastAsia="Times New Roman" w:hAnsi="Times New Roman"/>
          <w:b w:val="false"/>
          <w:bCs w:val="false"/>
          <w:sz w:val="22"/>
          <w:szCs w:val="22"/>
        </w:rPr>
        <w:t xml:space="preserve">	78</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Conclusion</w:t>
      </w:r>
      <w:r>
        <w:rPr>
          <w:rFonts w:ascii="Times New Roman" w:cs="Times New Roman" w:eastAsia="Times New Roman" w:hAnsi="Times New Roman"/>
          <w:b w:val="false"/>
          <w:bCs w:val="false"/>
          <w:sz w:val="22"/>
          <w:szCs w:val="22"/>
        </w:rPr>
        <w:t xml:space="preserve">	79</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CONCLUSION GÉNÉRALE</w:t>
      </w:r>
      <w:r>
        <w:rPr>
          <w:rFonts w:ascii="Times New Roman" w:cs="Times New Roman" w:eastAsia="Times New Roman" w:hAnsi="Times New Roman"/>
          <w:b/>
          <w:bCs/>
          <w:sz w:val="22"/>
          <w:szCs w:val="22"/>
        </w:rPr>
        <w:t xml:space="preserve">	80</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RÉFÉRENCES BIBLIOGRAPHIQUES</w:t>
      </w:r>
      <w:r>
        <w:rPr>
          <w:rFonts w:ascii="Times New Roman" w:cs="Times New Roman" w:eastAsia="Times New Roman" w:hAnsi="Times New Roman"/>
          <w:b/>
          <w:bCs/>
          <w:sz w:val="22"/>
          <w:szCs w:val="22"/>
        </w:rPr>
        <w:t xml:space="preserve">	82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Ouvrages, articles et rapports</w:t>
      </w:r>
      <w:r>
        <w:rPr>
          <w:rFonts w:ascii="Times New Roman" w:cs="Times New Roman" w:eastAsia="Times New Roman" w:hAnsi="Times New Roman"/>
          <w:b w:val="false"/>
          <w:bCs w:val="false"/>
          <w:sz w:val="22"/>
          <w:szCs w:val="22"/>
        </w:rPr>
        <w:t xml:space="preserve">	82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Textes officiels et documents institutionnels</w:t>
      </w:r>
      <w:r>
        <w:rPr>
          <w:rFonts w:ascii="Times New Roman" w:cs="Times New Roman" w:eastAsia="Times New Roman" w:hAnsi="Times New Roman"/>
          <w:b w:val="false"/>
          <w:bCs w:val="false"/>
          <w:sz w:val="22"/>
          <w:szCs w:val="22"/>
        </w:rPr>
        <w:t xml:space="preserve">	85</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TABLE DES MATIÈRES</w:t>
      </w:r>
      <w:r>
        <w:rPr>
          <w:rFonts w:ascii="Times New Roman" w:cs="Times New Roman" w:eastAsia="Times New Roman" w:hAnsi="Times New Roman"/>
          <w:b/>
          <w:bCs/>
          <w:sz w:val="22"/>
          <w:szCs w:val="22"/>
        </w:rPr>
        <w:t xml:space="preserve">	86</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ANNEXES</w:t>
      </w:r>
      <w:r>
        <w:rPr>
          <w:rFonts w:ascii="Times New Roman" w:cs="Times New Roman" w:eastAsia="Times New Roman" w:hAnsi="Times New Roman"/>
          <w:b/>
          <w:bCs/>
          <w:sz w:val="22"/>
          <w:szCs w:val="22"/>
        </w:rPr>
        <w:t xml:space="preserve">	90</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Annexe 1 : Grille d'analyse documentaire des fiches pédagogiques (Outil 1)</w:t>
      </w:r>
      <w:r>
        <w:rPr>
          <w:rFonts w:ascii="Times New Roman" w:cs="Times New Roman" w:eastAsia="Times New Roman" w:hAnsi="Times New Roman"/>
          <w:b w:val="false"/>
          <w:bCs w:val="false"/>
          <w:sz w:val="22"/>
          <w:szCs w:val="22"/>
        </w:rPr>
        <w:t xml:space="preserve">	90</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Annexe 2 : Grille de dépouillement et d'analyse des copies (Outil 2)</w:t>
      </w:r>
      <w:r>
        <w:rPr>
          <w:rFonts w:ascii="Times New Roman" w:cs="Times New Roman" w:eastAsia="Times New Roman" w:hAnsi="Times New Roman"/>
          <w:b w:val="false"/>
          <w:bCs w:val="false"/>
          <w:sz w:val="22"/>
          <w:szCs w:val="22"/>
        </w:rPr>
        <w:t xml:space="preserve">	90</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Annexe 3 : Guide d'entretien rétrospectif et semi-directif (Outil 3)</w:t>
      </w:r>
      <w:r>
        <w:rPr>
          <w:rFonts w:ascii="Times New Roman" w:cs="Times New Roman" w:eastAsia="Times New Roman" w:hAnsi="Times New Roman"/>
          <w:b w:val="false"/>
          <w:bCs w:val="false"/>
          <w:sz w:val="22"/>
          <w:szCs w:val="22"/>
        </w:rPr>
        <w:t xml:space="preserve">	91</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Annexe 4 : Modèle de bande-unité et de mur des fractions</w:t>
      </w:r>
      <w:r>
        <w:rPr>
          <w:rFonts w:ascii="Times New Roman" w:cs="Times New Roman" w:eastAsia="Times New Roman" w:hAnsi="Times New Roman"/>
          <w:b w:val="false"/>
          <w:bCs w:val="false"/>
          <w:sz w:val="22"/>
          <w:szCs w:val="22"/>
        </w:rPr>
        <w:t xml:space="preserve">	92</w:t>
      </w:r>
    </w:p>
    <w:p>
      <w:pPr>
        <w:pStyle w:val="Heading1"/>
        <w:keepNext/>
        <w:keepLines/>
        <w:pageBreakBefore/>
      </w:pPr>
      <w:r>
        <w:rPr>
          <w:rFonts w:ascii="Times New Roman" w:cs="Times New Roman" w:eastAsia="Times New Roman" w:hAnsi="Times New Roman"/>
        </w:rPr>
        <w:t xml:space="preserve">DÉDICACE</w:t>
      </w:r>
    </w:p>
    <w:p>
      <w:pPr>
        <w:spacing w:before="3600"/>
      </w:pPr>
    </w:p>
    <w:p>
      <w:pPr>
        <w:spacing w:after="120" w:before="0" w:line="360"/>
        <w:jc w:val="right"/>
      </w:pPr>
      <w:r>
        <w:rPr>
          <w:rFonts w:ascii="Times New Roman" w:cs="Times New Roman" w:eastAsia="Times New Roman" w:hAnsi="Times New Roman"/>
          <w:i/>
          <w:iCs/>
        </w:rPr>
        <w:t xml:space="preserve">À mes parents, pour leur soutien indéfectible et leurs sacrifices ;</w:t>
      </w:r>
    </w:p>
    <w:p>
      <w:pPr>
        <w:spacing w:after="120" w:before="0" w:line="360"/>
        <w:jc w:val="right"/>
      </w:pPr>
      <w:r>
        <w:rPr>
          <w:rFonts w:ascii="Times New Roman" w:cs="Times New Roman" w:eastAsia="Times New Roman" w:hAnsi="Times New Roman"/>
          <w:i/>
          <w:iCs/>
        </w:rPr>
        <w:t xml:space="preserve">À mon épouse et à mes enfants, pour leur patience et leurs encouragements ;</w:t>
      </w:r>
    </w:p>
    <w:p>
      <w:pPr>
        <w:spacing w:after="120" w:before="0" w:line="360"/>
        <w:jc w:val="right"/>
      </w:pPr>
      <w:r>
        <w:rPr>
          <w:rFonts w:ascii="Times New Roman" w:cs="Times New Roman" w:eastAsia="Times New Roman" w:hAnsi="Times New Roman"/>
          <w:i/>
          <w:iCs/>
        </w:rPr>
        <w:t xml:space="preserve">À tous les élèves-professeurs d'école du Togo, qui portent l'avenir de l'école primaire.</w:t>
      </w:r>
    </w:p>
    <w:p>
      <w:pPr>
        <w:pStyle w:val="Heading1"/>
        <w:keepNext/>
        <w:keepLines/>
        <w:pageBreakBefore/>
      </w:pPr>
      <w:r>
        <w:rPr>
          <w:rFonts w:ascii="Times New Roman" w:cs="Times New Roman" w:eastAsia="Times New Roman" w:hAnsi="Times New Roman"/>
        </w:rPr>
        <w:t xml:space="preserve">REMERCIEMENTS</w:t>
      </w:r>
    </w:p>
    <w:p>
      <w:pPr>
        <w:spacing w:after="120" w:before="0" w:line="360"/>
        <w:ind w:firstLine="709"/>
        <w:jc w:val="both"/>
      </w:pPr>
      <w:r>
        <w:rPr>
          <w:rFonts w:ascii="Times New Roman" w:cs="Times New Roman" w:eastAsia="Times New Roman" w:hAnsi="Times New Roman"/>
        </w:rPr>
        <w:t xml:space="preserve">Ce mémoire professionnel est le fruit d'un parcours de formation qui n'aurait pu aboutir sans le concours de nombreuses personnes, auxquelles nous tenons à exprimer notre profonde gratitude.</w:t>
      </w:r>
    </w:p>
    <w:p>
      <w:pPr>
        <w:spacing w:after="120" w:before="0" w:line="360"/>
        <w:ind w:firstLine="709"/>
        <w:jc w:val="both"/>
      </w:pPr>
      <w:r>
        <w:rPr>
          <w:rFonts w:ascii="Times New Roman" w:cs="Times New Roman" w:eastAsia="Times New Roman" w:hAnsi="Times New Roman"/>
        </w:rPr>
        <w:t xml:space="preserve">Nos remerciements s'adressent en premier lieu à notre Directeur de mémoire de l'Institut National des Sciences de l'Éducation (INSE) et à notre Co-directeur, pour leur disponibilité, leur rigueur scientifique et leurs orientations constantes, qui ont permis de donner forme et cohérence à ce travail.</w:t>
      </w:r>
    </w:p>
    <w:p>
      <w:pPr>
        <w:spacing w:after="120" w:before="0" w:line="360"/>
        <w:ind w:firstLine="709"/>
        <w:jc w:val="both"/>
      </w:pPr>
      <w:r>
        <w:rPr>
          <w:rFonts w:ascii="Times New Roman" w:cs="Times New Roman" w:eastAsia="Times New Roman" w:hAnsi="Times New Roman"/>
        </w:rPr>
        <w:t xml:space="preserve">Nous remercions le Directeur de l'INSE ainsi que l'ensemble du corps enseignant et administratif de l'Institut pour la qualité de la formation reçue durant notre cursus de Master professionnel.</w:t>
      </w:r>
    </w:p>
    <w:p>
      <w:pPr>
        <w:spacing w:after="120" w:before="0" w:line="360"/>
        <w:ind w:firstLine="709"/>
        <w:jc w:val="both"/>
      </w:pPr>
      <w:r>
        <w:rPr>
          <w:rFonts w:ascii="Times New Roman" w:cs="Times New Roman" w:eastAsia="Times New Roman" w:hAnsi="Times New Roman"/>
        </w:rPr>
        <w:t xml:space="preserve">Nous exprimons notre reconnaissance à Monsieur ADANGLO Kouami, Directeur de l'ENFPE de Notsè, ainsi qu'au Directeur Adjoint chargé des Études et du Personnel (DACE), pour l'accueil chaleureux qui nous a été réservé et pour les facilités accordées tout au long de notre stage en responsabilité.</w:t>
      </w:r>
    </w:p>
    <w:p>
      <w:pPr>
        <w:spacing w:after="120" w:before="0" w:line="360"/>
        <w:ind w:firstLine="709"/>
        <w:jc w:val="both"/>
      </w:pPr>
      <w:r>
        <w:rPr>
          <w:rFonts w:ascii="Times New Roman" w:cs="Times New Roman" w:eastAsia="Times New Roman" w:hAnsi="Times New Roman"/>
        </w:rPr>
        <w:t xml:space="preserve">Nos remerciements particuliers vont à Monsieur MANI Kondé, délégué du champ mathématique, et à Monsieur TAGNAMI Hodabalo, professeurs titulaires, dont l'encadrement exigeant, les entretiens-conseils et la générosité pédagogique ont profondément enrichi notre pratique de formateur.</w:t>
      </w:r>
    </w:p>
    <w:p>
      <w:pPr>
        <w:spacing w:after="120" w:before="0" w:line="360"/>
        <w:ind w:firstLine="709"/>
        <w:jc w:val="both"/>
      </w:pPr>
      <w:r>
        <w:rPr>
          <w:rFonts w:ascii="Times New Roman" w:cs="Times New Roman" w:eastAsia="Times New Roman" w:hAnsi="Times New Roman"/>
        </w:rPr>
        <w:t xml:space="preserve">Nous remercions également nos collègues stagiaires du champ mathématique, Messieurs ADESU Sélom Attikpo, AZOUGO Kossi Mawuli et BLEWUSSI Dotsè, pour l'esprit d'équipe, la co-construction des fiches et les échanges fructueux qui ont marqué notre séjour.</w:t>
      </w:r>
    </w:p>
    <w:p>
      <w:pPr>
        <w:spacing w:after="120" w:before="0" w:line="360"/>
        <w:ind w:firstLine="709"/>
        <w:jc w:val="both"/>
      </w:pPr>
      <w:r>
        <w:rPr>
          <w:rFonts w:ascii="Times New Roman" w:cs="Times New Roman" w:eastAsia="Times New Roman" w:hAnsi="Times New Roman"/>
        </w:rPr>
        <w:t xml:space="preserve">Enfin, nous adressons nos sincères remerciements aux élèves-professeurs d'école de la Promotion 3 qui ont accepté de participer à cette étude, aux directeurs et enseignants de l'EPP Zongo et de l'EPP Kpota Groupe E, ainsi qu'à toutes les personnes qui, de près ou de loin, ont contribué à la réalisation de ce mémoire.</w:t>
      </w:r>
    </w:p>
    <w:p>
      <w:pPr>
        <w:pStyle w:val="Heading1"/>
        <w:keepNext/>
        <w:keepLines/>
        <w:pageBreakBefore/>
      </w:pPr>
      <w:r>
        <w:rPr>
          <w:rFonts w:ascii="Times New Roman" w:cs="Times New Roman" w:eastAsia="Times New Roman" w:hAnsi="Times New Roman"/>
        </w:rPr>
        <w:t xml:space="preserve">RÉSUMÉ</w:t>
      </w:r>
    </w:p>
    <w:p>
      <w:pPr>
        <w:spacing w:after="120" w:before="0" w:line="360"/>
        <w:ind w:firstLine="709"/>
        <w:jc w:val="both"/>
      </w:pPr>
      <w:r>
        <w:rPr>
          <w:rFonts w:ascii="Times New Roman" w:cs="Times New Roman" w:eastAsia="Times New Roman" w:hAnsi="Times New Roman"/>
        </w:rPr>
        <w:t xml:space="preserve">Ce mémoire professionnel, réalisé à l'issue d'un stage en responsabilité à l'École Normale de Formation des Professeurs d'École (ENFPE) de Notsè, étudie les difficultés des élèves-professeurs d'école (EPE) dans l'enseignement des fractions au primaire. Le point de départ est un constat institutionnel : à l'exercice consacré aux fractions (Notion B, noté sur 1,5 point), 35,85 % des 385 EPE de la Promotion 3 n'ont pas validé la notion. L'étude vise à analyser les causes de ces difficultés et à proposer une démarche didactique de remédiation. Elle mobilise la théorie des obstacles épistémologiques, la Théorie des Situations Didactiques, la dialectique outil-objet, les registres de représentation sémiotique et la double transposition didactique. Une approche mixte a été adoptée auprès d'un échantillon de 100 EPE tirés au hasard, au moyen de trois outils : une grille d'analyse des copies, une grille d'analyse de 100 fiches pédagogiques et des entretiens semi-directifs avec 4 formateurs et 20 EPE. Les résultats montrent que 71 % des copies présentent au moins une erreur liée à un obstacle épistémologique ou sémiotique, en particulier l'addition terme à terme des numérateurs et des dénominateurs (47 %) et l'interférence du modèle des nombres entiers (42 %). Par ailleurs, 69 % des fiches introduisent la fraction par une définition formelle et 74 % ne prévoient aucune manipulation. Le niveau de maîtrise est significativement lié à la série du baccalauréat (χ² = 11,50 ; p = 0,003) et à la qualité des fiches (ρ = 0,45 ; p &lt; 0,001). Les entretiens mettent en cause le volume horaire, le caractère transmissif de la formation et un encadrement didactique limité sur le terrain. En réponse, le mémoire propose la démarche P-M-R-S-R (Problématiser, Manipuler, Représenter, Symboliser, Réinvestir), un kit de matériel local, des fiches pédagogiques modèles et un atelier de formation à la double transposition.</w:t>
      </w:r>
    </w:p>
    <w:p>
      <w:pPr>
        <w:spacing w:after="120" w:before="0" w:line="360"/>
        <w:jc w:val="both"/>
      </w:pPr>
      <w:r>
        <w:rPr>
          <w:rFonts w:ascii="Times New Roman" w:cs="Times New Roman" w:eastAsia="Times New Roman" w:hAnsi="Times New Roman"/>
          <w:b/>
          <w:bCs/>
        </w:rPr>
        <w:t xml:space="preserve">Mots clés :</w:t>
      </w:r>
      <w:r>
        <w:rPr>
          <w:rFonts w:ascii="Times New Roman" w:cs="Times New Roman" w:eastAsia="Times New Roman" w:hAnsi="Times New Roman"/>
        </w:rPr>
        <w:t xml:space="preserve"> fractions, élève-professeur d'école, obstacle épistémologique, pratiques enseignantes, transposition didactique, registres sémiotiques, ENFPE de Notsè.</w:t>
      </w:r>
    </w:p>
    <w:p>
      <w:pPr>
        <w:pStyle w:val="Heading1"/>
        <w:keepNext/>
        <w:keepLines/>
        <w:pageBreakBefore/>
      </w:pPr>
      <w:r>
        <w:rPr>
          <w:rFonts w:ascii="Times New Roman" w:cs="Times New Roman" w:eastAsia="Times New Roman" w:hAnsi="Times New Roman"/>
        </w:rPr>
        <w:t xml:space="preserve">ABSTRACT</w:t>
      </w:r>
    </w:p>
    <w:p>
      <w:pPr>
        <w:spacing w:after="120" w:before="0" w:line="360"/>
        <w:ind w:firstLine="709"/>
        <w:jc w:val="both"/>
      </w:pPr>
      <w:r>
        <w:rPr>
          <w:rFonts w:ascii="Times New Roman" w:cs="Times New Roman" w:eastAsia="Times New Roman" w:hAnsi="Times New Roman"/>
        </w:rPr>
        <w:t xml:space="preserve">This professional dissertation, written after a teaching internship at the Teacher Training College (ENFPE) of Notsè, Togo, examines the difficulties that student teachers (EPE) face when teaching fractions in primary school. The starting point is an institutional finding: on the fractions exercise (Notion B, marked out of 1.5 points), 35.85% of the 385 student teachers of Cohort 3 failed to master the notion. The study aims to identify the causes of these difficulties and to propose a remedial teaching approach. It draws on the theory of epistemological obstacles, the Theory of Didactical Situations, the tool-object dialectic, semiotic representation registers and double didactic transposition. A mixed-methods design was used with a random sample of 100 student teachers and three instruments: an exam-script analysis grid, an analysis grid applied to 100 lesson plans, and semi-structured interviews with 4 teacher educators and 20 student teachers. Results show that 71% of scripts contain at least one error linked to an epistemological or semiotic obstacle, mainly adding numerators and denominators separately (47%) and whole-number bias (42%). Moreover, 69% of lesson plans introduce fractions through a formal definition and 74% plan no hands-on activity. Mastery is significantly associated with the type of baccalaureate (χ² = 11.50; p = .003) and with lesson-plan quality (ρ = .45; p &lt; .001). Interviews point to limited teaching time, transmissive training practices and weak didactic supervision during field placements. In response, the dissertation proposes the P-M-R-S-R approach (Problematise, Manipulate, Represent, Symbolise, Reinvest), a kit of locally made materials, model lesson plans and a training workshop on double didactic transposition.</w:t>
      </w:r>
    </w:p>
    <w:p>
      <w:pPr>
        <w:spacing w:after="120" w:before="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fractions, student teachers, epistemological obstacle, teaching practices, didactic transposition, semiotic registers, ENFPE of Notsè.</w:t>
      </w:r>
    </w:p>
    <w:p>
      <w:pPr>
        <w:pStyle w:val="Heading1"/>
        <w:keepNext/>
        <w:keepLines/>
        <w:pageBreakBefore/>
      </w:pPr>
      <w:r>
        <w:rPr>
          <w:rFonts w:ascii="Times New Roman" w:cs="Times New Roman" w:eastAsia="Times New Roman" w:hAnsi="Times New Roman"/>
        </w:rPr>
        <w:t xml:space="preserve">SIGLES ET ABRÉVIATIONS</w:t>
      </w:r>
    </w:p>
    <w:p>
      <w:pPr>
        <w:tabs>
          <w:tab w:val="left" w:pos="1900"/>
        </w:tabs>
        <w:spacing w:after="60" w:line="300"/>
        <w:ind w:left="1900" w:hanging="1900"/>
      </w:pPr>
      <w:r>
        <w:rPr>
          <w:rFonts w:ascii="Times New Roman" w:cs="Times New Roman" w:eastAsia="Times New Roman" w:hAnsi="Times New Roman"/>
          <w:b/>
          <w:bCs/>
        </w:rPr>
        <w:t xml:space="preserve">A</w:t>
      </w:r>
      <w:r>
        <w:rPr>
          <w:rFonts w:ascii="Times New Roman" w:cs="Times New Roman" w:eastAsia="Times New Roman" w:hAnsi="Times New Roman"/>
        </w:rPr>
        <w:t xml:space="preserve">	Acquis (niveau de maîtrise)</w:t>
      </w:r>
    </w:p>
    <w:p>
      <w:pPr>
        <w:tabs>
          <w:tab w:val="left" w:pos="1900"/>
        </w:tabs>
        <w:spacing w:after="60" w:line="300"/>
        <w:ind w:left="1900" w:hanging="1900"/>
      </w:pPr>
      <w:r>
        <w:rPr>
          <w:rFonts w:ascii="Times New Roman" w:cs="Times New Roman" w:eastAsia="Times New Roman" w:hAnsi="Times New Roman"/>
          <w:b/>
          <w:bCs/>
        </w:rPr>
        <w:t xml:space="preserve">APA</w:t>
      </w:r>
      <w:r>
        <w:rPr>
          <w:rFonts w:ascii="Times New Roman" w:cs="Times New Roman" w:eastAsia="Times New Roman" w:hAnsi="Times New Roman"/>
        </w:rPr>
        <w:t xml:space="preserve">	American Psychological Association</w:t>
      </w:r>
    </w:p>
    <w:p>
      <w:pPr>
        <w:tabs>
          <w:tab w:val="left" w:pos="1900"/>
        </w:tabs>
        <w:spacing w:after="60" w:line="300"/>
        <w:ind w:left="1900" w:hanging="1900"/>
      </w:pPr>
      <w:r>
        <w:rPr>
          <w:rFonts w:ascii="Times New Roman" w:cs="Times New Roman" w:eastAsia="Times New Roman" w:hAnsi="Times New Roman"/>
          <w:b/>
          <w:bCs/>
        </w:rPr>
        <w:t xml:space="preserve">CE</w:t>
      </w:r>
      <w:r>
        <w:rPr>
          <w:rFonts w:ascii="Times New Roman" w:cs="Times New Roman" w:eastAsia="Times New Roman" w:hAnsi="Times New Roman"/>
        </w:rPr>
        <w:t xml:space="preserve">	Cours Élémentaire</w:t>
      </w:r>
    </w:p>
    <w:p>
      <w:pPr>
        <w:tabs>
          <w:tab w:val="left" w:pos="1900"/>
        </w:tabs>
        <w:spacing w:after="60" w:line="300"/>
        <w:ind w:left="1900" w:hanging="1900"/>
      </w:pPr>
      <w:r>
        <w:rPr>
          <w:rFonts w:ascii="Times New Roman" w:cs="Times New Roman" w:eastAsia="Times New Roman" w:hAnsi="Times New Roman"/>
          <w:b/>
          <w:bCs/>
        </w:rPr>
        <w:t xml:space="preserve">CM</w:t>
      </w:r>
      <w:r>
        <w:rPr>
          <w:rFonts w:ascii="Times New Roman" w:cs="Times New Roman" w:eastAsia="Times New Roman" w:hAnsi="Times New Roman"/>
        </w:rPr>
        <w:t xml:space="preserve">	Cours Moyen</w:t>
      </w:r>
    </w:p>
    <w:p>
      <w:pPr>
        <w:tabs>
          <w:tab w:val="left" w:pos="1900"/>
        </w:tabs>
        <w:spacing w:after="60" w:line="300"/>
        <w:ind w:left="1900" w:hanging="1900"/>
      </w:pPr>
      <w:r>
        <w:rPr>
          <w:rFonts w:ascii="Times New Roman" w:cs="Times New Roman" w:eastAsia="Times New Roman" w:hAnsi="Times New Roman"/>
          <w:b/>
          <w:bCs/>
        </w:rPr>
        <w:t xml:space="preserve">CP</w:t>
      </w:r>
      <w:r>
        <w:rPr>
          <w:rFonts w:ascii="Times New Roman" w:cs="Times New Roman" w:eastAsia="Times New Roman" w:hAnsi="Times New Roman"/>
        </w:rPr>
        <w:t xml:space="preserve">	Cours Préparatoire</w:t>
      </w:r>
    </w:p>
    <w:p>
      <w:pPr>
        <w:tabs>
          <w:tab w:val="left" w:pos="1900"/>
        </w:tabs>
        <w:spacing w:after="60" w:line="300"/>
        <w:ind w:left="1900" w:hanging="1900"/>
      </w:pPr>
      <w:r>
        <w:rPr>
          <w:rFonts w:ascii="Times New Roman" w:cs="Times New Roman" w:eastAsia="Times New Roman" w:hAnsi="Times New Roman"/>
          <w:b/>
          <w:bCs/>
        </w:rPr>
        <w:t xml:space="preserve">DACE</w:t>
      </w:r>
      <w:r>
        <w:rPr>
          <w:rFonts w:ascii="Times New Roman" w:cs="Times New Roman" w:eastAsia="Times New Roman" w:hAnsi="Times New Roman"/>
        </w:rPr>
        <w:t xml:space="preserve">	Directeur Adjoint chargé des Études et du Personnel</w:t>
      </w:r>
    </w:p>
    <w:p>
      <w:pPr>
        <w:tabs>
          <w:tab w:val="left" w:pos="1900"/>
        </w:tabs>
        <w:spacing w:after="60" w:line="300"/>
        <w:ind w:left="1900" w:hanging="1900"/>
      </w:pPr>
      <w:r>
        <w:rPr>
          <w:rFonts w:ascii="Times New Roman" w:cs="Times New Roman" w:eastAsia="Times New Roman" w:hAnsi="Times New Roman"/>
          <w:b/>
          <w:bCs/>
        </w:rPr>
        <w:t xml:space="preserve">DRE</w:t>
      </w:r>
      <w:r>
        <w:rPr>
          <w:rFonts w:ascii="Times New Roman" w:cs="Times New Roman" w:eastAsia="Times New Roman" w:hAnsi="Times New Roman"/>
        </w:rPr>
        <w:t xml:space="preserve">	Direction Régionale de l'Éducation</w:t>
      </w:r>
    </w:p>
    <w:p>
      <w:pPr>
        <w:tabs>
          <w:tab w:val="left" w:pos="1900"/>
        </w:tabs>
        <w:spacing w:after="60" w:line="300"/>
        <w:ind w:left="1900" w:hanging="1900"/>
      </w:pPr>
      <w:r>
        <w:rPr>
          <w:rFonts w:ascii="Times New Roman" w:cs="Times New Roman" w:eastAsia="Times New Roman" w:hAnsi="Times New Roman"/>
          <w:b/>
          <w:bCs/>
        </w:rPr>
        <w:t xml:space="preserve">ECA</w:t>
      </w:r>
      <w:r>
        <w:rPr>
          <w:rFonts w:ascii="Times New Roman" w:cs="Times New Roman" w:eastAsia="Times New Roman" w:hAnsi="Times New Roman"/>
        </w:rPr>
        <w:t xml:space="preserve">	En cours d'acquisition (niveau de maîtrise)</w:t>
      </w:r>
    </w:p>
    <w:p>
      <w:pPr>
        <w:tabs>
          <w:tab w:val="left" w:pos="1900"/>
        </w:tabs>
        <w:spacing w:after="60" w:line="300"/>
        <w:ind w:left="1900" w:hanging="1900"/>
      </w:pPr>
      <w:r>
        <w:rPr>
          <w:rFonts w:ascii="Times New Roman" w:cs="Times New Roman" w:eastAsia="Times New Roman" w:hAnsi="Times New Roman"/>
          <w:b/>
          <w:bCs/>
        </w:rPr>
        <w:t xml:space="preserve">ENFPE</w:t>
      </w:r>
      <w:r>
        <w:rPr>
          <w:rFonts w:ascii="Times New Roman" w:cs="Times New Roman" w:eastAsia="Times New Roman" w:hAnsi="Times New Roman"/>
        </w:rPr>
        <w:t xml:space="preserve">	École Normale de Formation des Professeurs d'École</w:t>
      </w:r>
    </w:p>
    <w:p>
      <w:pPr>
        <w:tabs>
          <w:tab w:val="left" w:pos="1900"/>
        </w:tabs>
        <w:spacing w:after="60" w:line="300"/>
        <w:ind w:left="1900" w:hanging="1900"/>
      </w:pPr>
      <w:r>
        <w:rPr>
          <w:rFonts w:ascii="Times New Roman" w:cs="Times New Roman" w:eastAsia="Times New Roman" w:hAnsi="Times New Roman"/>
          <w:b/>
          <w:bCs/>
        </w:rPr>
        <w:t xml:space="preserve">ENI</w:t>
      </w:r>
      <w:r>
        <w:rPr>
          <w:rFonts w:ascii="Times New Roman" w:cs="Times New Roman" w:eastAsia="Times New Roman" w:hAnsi="Times New Roman"/>
        </w:rPr>
        <w:t xml:space="preserve">	École Normale d'Instituteurs</w:t>
      </w:r>
    </w:p>
    <w:p>
      <w:pPr>
        <w:tabs>
          <w:tab w:val="left" w:pos="1900"/>
        </w:tabs>
        <w:spacing w:after="60" w:line="300"/>
        <w:ind w:left="1900" w:hanging="1900"/>
      </w:pPr>
      <w:r>
        <w:rPr>
          <w:rFonts w:ascii="Times New Roman" w:cs="Times New Roman" w:eastAsia="Times New Roman" w:hAnsi="Times New Roman"/>
          <w:b/>
          <w:bCs/>
        </w:rPr>
        <w:t xml:space="preserve">EPA</w:t>
      </w:r>
      <w:r>
        <w:rPr>
          <w:rFonts w:ascii="Times New Roman" w:cs="Times New Roman" w:eastAsia="Times New Roman" w:hAnsi="Times New Roman"/>
        </w:rPr>
        <w:t xml:space="preserve">	École Primaire d'Application</w:t>
      </w:r>
    </w:p>
    <w:p>
      <w:pPr>
        <w:tabs>
          <w:tab w:val="left" w:pos="1900"/>
        </w:tabs>
        <w:spacing w:after="60" w:line="300"/>
        <w:ind w:left="1900" w:hanging="1900"/>
      </w:pPr>
      <w:r>
        <w:rPr>
          <w:rFonts w:ascii="Times New Roman" w:cs="Times New Roman" w:eastAsia="Times New Roman" w:hAnsi="Times New Roman"/>
          <w:b/>
          <w:bCs/>
        </w:rPr>
        <w:t xml:space="preserve">EPE</w:t>
      </w:r>
      <w:r>
        <w:rPr>
          <w:rFonts w:ascii="Times New Roman" w:cs="Times New Roman" w:eastAsia="Times New Roman" w:hAnsi="Times New Roman"/>
        </w:rPr>
        <w:t xml:space="preserve">	Élève-Professeur d'École</w:t>
      </w:r>
    </w:p>
    <w:p>
      <w:pPr>
        <w:tabs>
          <w:tab w:val="left" w:pos="1900"/>
        </w:tabs>
        <w:spacing w:after="60" w:line="300"/>
        <w:ind w:left="1900" w:hanging="1900"/>
      </w:pPr>
      <w:r>
        <w:rPr>
          <w:rFonts w:ascii="Times New Roman" w:cs="Times New Roman" w:eastAsia="Times New Roman" w:hAnsi="Times New Roman"/>
          <w:b/>
          <w:bCs/>
        </w:rPr>
        <w:t xml:space="preserve">EPP</w:t>
      </w:r>
      <w:r>
        <w:rPr>
          <w:rFonts w:ascii="Times New Roman" w:cs="Times New Roman" w:eastAsia="Times New Roman" w:hAnsi="Times New Roman"/>
        </w:rPr>
        <w:t xml:space="preserve">	École Primaire Publique</w:t>
      </w:r>
    </w:p>
    <w:p>
      <w:pPr>
        <w:tabs>
          <w:tab w:val="left" w:pos="1900"/>
        </w:tabs>
        <w:spacing w:after="60" w:line="300"/>
        <w:ind w:left="1900" w:hanging="1900"/>
      </w:pPr>
      <w:r>
        <w:rPr>
          <w:rFonts w:ascii="Times New Roman" w:cs="Times New Roman" w:eastAsia="Times New Roman" w:hAnsi="Times New Roman"/>
          <w:b/>
          <w:bCs/>
        </w:rPr>
        <w:t xml:space="preserve">GC</w:t>
      </w:r>
      <w:r>
        <w:rPr>
          <w:rFonts w:ascii="Times New Roman" w:cs="Times New Roman" w:eastAsia="Times New Roman" w:hAnsi="Times New Roman"/>
        </w:rPr>
        <w:t xml:space="preserve">	Groupe-Classe</w:t>
      </w:r>
    </w:p>
    <w:p>
      <w:pPr>
        <w:tabs>
          <w:tab w:val="left" w:pos="1900"/>
        </w:tabs>
        <w:spacing w:after="60" w:line="300"/>
        <w:ind w:left="1900" w:hanging="1900"/>
      </w:pPr>
      <w:r>
        <w:rPr>
          <w:rFonts w:ascii="Times New Roman" w:cs="Times New Roman" w:eastAsia="Times New Roman" w:hAnsi="Times New Roman"/>
          <w:b/>
          <w:bCs/>
        </w:rPr>
        <w:t xml:space="preserve">HP / HS</w:t>
      </w:r>
      <w:r>
        <w:rPr>
          <w:rFonts w:ascii="Times New Roman" w:cs="Times New Roman" w:eastAsia="Times New Roman" w:hAnsi="Times New Roman"/>
        </w:rPr>
        <w:t xml:space="preserve">	Hypothèse principale / Hypothèse secondaire</w:t>
      </w:r>
    </w:p>
    <w:p>
      <w:pPr>
        <w:tabs>
          <w:tab w:val="left" w:pos="1900"/>
        </w:tabs>
        <w:spacing w:after="60" w:line="300"/>
        <w:ind w:left="1900" w:hanging="1900"/>
      </w:pPr>
      <w:r>
        <w:rPr>
          <w:rFonts w:ascii="Times New Roman" w:cs="Times New Roman" w:eastAsia="Times New Roman" w:hAnsi="Times New Roman"/>
          <w:b/>
          <w:bCs/>
        </w:rPr>
        <w:t xml:space="preserve">IEPP</w:t>
      </w:r>
      <w:r>
        <w:rPr>
          <w:rFonts w:ascii="Times New Roman" w:cs="Times New Roman" w:eastAsia="Times New Roman" w:hAnsi="Times New Roman"/>
        </w:rPr>
        <w:t xml:space="preserve">	Inspection de l'Enseignement Préscolaire et Primaire</w:t>
      </w:r>
    </w:p>
    <w:p>
      <w:pPr>
        <w:tabs>
          <w:tab w:val="left" w:pos="1900"/>
        </w:tabs>
        <w:spacing w:after="60" w:line="300"/>
        <w:ind w:left="1900" w:hanging="1900"/>
      </w:pPr>
      <w:r>
        <w:rPr>
          <w:rFonts w:ascii="Times New Roman" w:cs="Times New Roman" w:eastAsia="Times New Roman" w:hAnsi="Times New Roman"/>
          <w:b/>
          <w:bCs/>
        </w:rPr>
        <w:t xml:space="preserve">INSE</w:t>
      </w:r>
      <w:r>
        <w:rPr>
          <w:rFonts w:ascii="Times New Roman" w:cs="Times New Roman" w:eastAsia="Times New Roman" w:hAnsi="Times New Roman"/>
        </w:rPr>
        <w:t xml:space="preserve">	Institut National des Sciences de l'Éducation</w:t>
      </w:r>
    </w:p>
    <w:p>
      <w:pPr>
        <w:tabs>
          <w:tab w:val="left" w:pos="1900"/>
        </w:tabs>
        <w:spacing w:after="60" w:line="300"/>
        <w:ind w:left="1900" w:hanging="1900"/>
      </w:pPr>
      <w:r>
        <w:rPr>
          <w:rFonts w:ascii="Times New Roman" w:cs="Times New Roman" w:eastAsia="Times New Roman" w:hAnsi="Times New Roman"/>
          <w:b/>
          <w:bCs/>
        </w:rPr>
        <w:t xml:space="preserve">NA</w:t>
      </w:r>
      <w:r>
        <w:rPr>
          <w:rFonts w:ascii="Times New Roman" w:cs="Times New Roman" w:eastAsia="Times New Roman" w:hAnsi="Times New Roman"/>
        </w:rPr>
        <w:t xml:space="preserve">	Non acquis (niveau de maîtrise)</w:t>
      </w:r>
    </w:p>
    <w:p>
      <w:pPr>
        <w:tabs>
          <w:tab w:val="left" w:pos="1900"/>
        </w:tabs>
        <w:spacing w:after="60" w:line="300"/>
        <w:ind w:left="1900" w:hanging="1900"/>
      </w:pPr>
      <w:r>
        <w:rPr>
          <w:rFonts w:ascii="Times New Roman" w:cs="Times New Roman" w:eastAsia="Times New Roman" w:hAnsi="Times New Roman"/>
          <w:b/>
          <w:bCs/>
        </w:rPr>
        <w:t xml:space="preserve">OG / OS</w:t>
      </w:r>
      <w:r>
        <w:rPr>
          <w:rFonts w:ascii="Times New Roman" w:cs="Times New Roman" w:eastAsia="Times New Roman" w:hAnsi="Times New Roman"/>
        </w:rPr>
        <w:t xml:space="preserve">	Objectif général / Objectif spécifique</w:t>
      </w:r>
    </w:p>
    <w:p>
      <w:pPr>
        <w:tabs>
          <w:tab w:val="left" w:pos="1900"/>
        </w:tabs>
        <w:spacing w:after="60" w:line="300"/>
        <w:ind w:left="1900" w:hanging="1900"/>
      </w:pPr>
      <w:r>
        <w:rPr>
          <w:rFonts w:ascii="Times New Roman" w:cs="Times New Roman" w:eastAsia="Times New Roman" w:hAnsi="Times New Roman"/>
          <w:b/>
          <w:bCs/>
        </w:rPr>
        <w:t xml:space="preserve">PASEC</w:t>
      </w:r>
      <w:r>
        <w:rPr>
          <w:rFonts w:ascii="Times New Roman" w:cs="Times New Roman" w:eastAsia="Times New Roman" w:hAnsi="Times New Roman"/>
        </w:rPr>
        <w:t xml:space="preserve">	Programme d'Analyse des Systèmes Éducatifs de la CONFEMEN</w:t>
      </w:r>
    </w:p>
    <w:p>
      <w:pPr>
        <w:tabs>
          <w:tab w:val="left" w:pos="1900"/>
        </w:tabs>
        <w:spacing w:after="60" w:line="300"/>
        <w:ind w:left="1900" w:hanging="1900"/>
      </w:pPr>
      <w:r>
        <w:rPr>
          <w:rFonts w:ascii="Times New Roman" w:cs="Times New Roman" w:eastAsia="Times New Roman" w:hAnsi="Times New Roman"/>
          <w:b/>
          <w:bCs/>
        </w:rPr>
        <w:t xml:space="preserve">P-ENI</w:t>
      </w:r>
      <w:r>
        <w:rPr>
          <w:rFonts w:ascii="Times New Roman" w:cs="Times New Roman" w:eastAsia="Times New Roman" w:hAnsi="Times New Roman"/>
        </w:rPr>
        <w:t xml:space="preserve">	Professeur d'École Normale d'Instituteurs</w:t>
      </w:r>
    </w:p>
    <w:p>
      <w:pPr>
        <w:tabs>
          <w:tab w:val="left" w:pos="1900"/>
        </w:tabs>
        <w:spacing w:after="60" w:line="300"/>
        <w:ind w:left="1900" w:hanging="1900"/>
      </w:pPr>
      <w:r>
        <w:rPr>
          <w:rFonts w:ascii="Times New Roman" w:cs="Times New Roman" w:eastAsia="Times New Roman" w:hAnsi="Times New Roman"/>
          <w:b/>
          <w:bCs/>
        </w:rPr>
        <w:t xml:space="preserve">P-M-R-S-R</w:t>
      </w:r>
      <w:r>
        <w:rPr>
          <w:rFonts w:ascii="Times New Roman" w:cs="Times New Roman" w:eastAsia="Times New Roman" w:hAnsi="Times New Roman"/>
        </w:rPr>
        <w:t xml:space="preserve">	Problématiser – Manipuler – Représenter – Symboliser – Réinvestir</w:t>
      </w:r>
    </w:p>
    <w:p>
      <w:pPr>
        <w:tabs>
          <w:tab w:val="left" w:pos="1900"/>
        </w:tabs>
        <w:spacing w:after="60" w:line="300"/>
        <w:ind w:left="1900" w:hanging="1900"/>
      </w:pPr>
      <w:r>
        <w:rPr>
          <w:rFonts w:ascii="Times New Roman" w:cs="Times New Roman" w:eastAsia="Times New Roman" w:hAnsi="Times New Roman"/>
          <w:b/>
          <w:bCs/>
        </w:rPr>
        <w:t xml:space="preserve">QP / QS</w:t>
      </w:r>
      <w:r>
        <w:rPr>
          <w:rFonts w:ascii="Times New Roman" w:cs="Times New Roman" w:eastAsia="Times New Roman" w:hAnsi="Times New Roman"/>
        </w:rPr>
        <w:t xml:space="preserve">	Question principale / Question secondaire</w:t>
      </w:r>
    </w:p>
    <w:p>
      <w:pPr>
        <w:tabs>
          <w:tab w:val="left" w:pos="1900"/>
        </w:tabs>
        <w:spacing w:after="60" w:line="300"/>
        <w:ind w:left="1900" w:hanging="1900"/>
      </w:pPr>
      <w:r>
        <w:rPr>
          <w:rFonts w:ascii="Times New Roman" w:cs="Times New Roman" w:eastAsia="Times New Roman" w:hAnsi="Times New Roman"/>
          <w:b/>
          <w:bCs/>
        </w:rPr>
        <w:t xml:space="preserve">ST</w:t>
      </w:r>
      <w:r>
        <w:rPr>
          <w:rFonts w:ascii="Times New Roman" w:cs="Times New Roman" w:eastAsia="Times New Roman" w:hAnsi="Times New Roman"/>
        </w:rPr>
        <w:t xml:space="preserve">	Sciences et Technologie (champ disciplinaire)</w:t>
      </w:r>
    </w:p>
    <w:p>
      <w:pPr>
        <w:tabs>
          <w:tab w:val="left" w:pos="1900"/>
        </w:tabs>
        <w:spacing w:after="60" w:line="300"/>
        <w:ind w:left="1900" w:hanging="1900"/>
      </w:pPr>
      <w:r>
        <w:rPr>
          <w:rFonts w:ascii="Times New Roman" w:cs="Times New Roman" w:eastAsia="Times New Roman" w:hAnsi="Times New Roman"/>
          <w:b/>
          <w:bCs/>
        </w:rPr>
        <w:t xml:space="preserve">TSD</w:t>
      </w:r>
      <w:r>
        <w:rPr>
          <w:rFonts w:ascii="Times New Roman" w:cs="Times New Roman" w:eastAsia="Times New Roman" w:hAnsi="Times New Roman"/>
        </w:rPr>
        <w:t xml:space="preserve">	Théorie des Situations Didactiques</w:t>
      </w:r>
    </w:p>
    <w:p>
      <w:pPr>
        <w:tabs>
          <w:tab w:val="left" w:pos="1900"/>
        </w:tabs>
        <w:spacing w:after="60" w:line="300"/>
        <w:ind w:left="1900" w:hanging="1900"/>
      </w:pPr>
      <w:r>
        <w:rPr>
          <w:rFonts w:ascii="Times New Roman" w:cs="Times New Roman" w:eastAsia="Times New Roman" w:hAnsi="Times New Roman"/>
          <w:b/>
          <w:bCs/>
        </w:rPr>
        <w:t xml:space="preserve">UE</w:t>
      </w:r>
      <w:r>
        <w:rPr>
          <w:rFonts w:ascii="Times New Roman" w:cs="Times New Roman" w:eastAsia="Times New Roman" w:hAnsi="Times New Roman"/>
        </w:rPr>
        <w:t xml:space="preserve">	Unité d'Enseignement</w:t>
      </w:r>
    </w:p>
    <w:p>
      <w:pPr>
        <w:tabs>
          <w:tab w:val="left" w:pos="1900"/>
        </w:tabs>
        <w:spacing w:after="60" w:line="300"/>
        <w:ind w:left="1900" w:hanging="1900"/>
      </w:pPr>
      <w:r>
        <w:rPr>
          <w:rFonts w:ascii="Times New Roman" w:cs="Times New Roman" w:eastAsia="Times New Roman" w:hAnsi="Times New Roman"/>
          <w:b/>
          <w:bCs/>
        </w:rPr>
        <w:t xml:space="preserve">VD / VI</w:t>
      </w:r>
      <w:r>
        <w:rPr>
          <w:rFonts w:ascii="Times New Roman" w:cs="Times New Roman" w:eastAsia="Times New Roman" w:hAnsi="Times New Roman"/>
        </w:rPr>
        <w:t xml:space="preserve">	Variable dépendante / Variable indépendante</w:t>
      </w:r>
    </w:p>
    <w:p>
      <w:pPr>
        <w:pStyle w:val="Heading1"/>
        <w:pageBreakBefore/>
      </w:pPr>
      <w:r>
        <w:rPr>
          <w:rFonts w:ascii="Times New Roman" w:cs="Times New Roman" w:eastAsia="Times New Roman" w:hAnsi="Times New Roman"/>
        </w:rPr>
        <w:t xml:space="preserve">LISTE DES TABLEAUX</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1 : Infrastructures de l'ENFPE de Notsè</w:t>
      </w:r>
      <w:r>
        <w:rPr>
          <w:rFonts w:ascii="Times New Roman" w:cs="Times New Roman" w:eastAsia="Times New Roman" w:hAnsi="Times New Roman"/>
          <w:sz w:val="22"/>
          <w:szCs w:val="22"/>
        </w:rPr>
        <w:t xml:space="preserve">	5</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2 : Chronogramme des principales activités du stage</w:t>
      </w:r>
      <w:r>
        <w:rPr>
          <w:rFonts w:ascii="Times New Roman" w:cs="Times New Roman" w:eastAsia="Times New Roman" w:hAnsi="Times New Roman"/>
          <w:sz w:val="22"/>
          <w:szCs w:val="22"/>
        </w:rPr>
        <w:t xml:space="preserve">	5</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3 : Séances assurées dans le groupe-classe GC3</w:t>
      </w:r>
      <w:r>
        <w:rPr>
          <w:rFonts w:ascii="Times New Roman" w:cs="Times New Roman" w:eastAsia="Times New Roman" w:hAnsi="Times New Roman"/>
          <w:sz w:val="22"/>
          <w:szCs w:val="22"/>
        </w:rPr>
        <w:t xml:space="preserve">	8</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4 : Structure du tableau d'analyse notionnelle utilisé dans le champ mathématique</w:t>
      </w:r>
      <w:r>
        <w:rPr>
          <w:rFonts w:ascii="Times New Roman" w:cs="Times New Roman" w:eastAsia="Times New Roman" w:hAnsi="Times New Roman"/>
          <w:sz w:val="22"/>
          <w:szCs w:val="22"/>
        </w:rPr>
        <w:t xml:space="preserve">	9</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5 : Pertinence des activités du stage pour la professionnalisation</w:t>
      </w:r>
      <w:r>
        <w:rPr>
          <w:rFonts w:ascii="Times New Roman" w:cs="Times New Roman" w:eastAsia="Times New Roman" w:hAnsi="Times New Roman"/>
          <w:sz w:val="22"/>
          <w:szCs w:val="22"/>
        </w:rPr>
        <w:t xml:space="preserve">	11</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6 : Synthèse des acquis professionnels du stage</w:t>
      </w:r>
      <w:r>
        <w:rPr>
          <w:rFonts w:ascii="Times New Roman" w:cs="Times New Roman" w:eastAsia="Times New Roman" w:hAnsi="Times New Roman"/>
          <w:sz w:val="22"/>
          <w:szCs w:val="22"/>
        </w:rPr>
        <w:t xml:space="preserve">	13</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7 : Synthèse des difficultés rencontrées et des stratégies développées</w:t>
      </w:r>
      <w:r>
        <w:rPr>
          <w:rFonts w:ascii="Times New Roman" w:cs="Times New Roman" w:eastAsia="Times New Roman" w:hAnsi="Times New Roman"/>
          <w:sz w:val="22"/>
          <w:szCs w:val="22"/>
        </w:rPr>
        <w:t xml:space="preserve">	15</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8 : Répartition des EPE de la Promotion 3 selon le niveau de maîtrise de la Notion B (fractions)</w:t>
      </w:r>
      <w:r>
        <w:rPr>
          <w:rFonts w:ascii="Times New Roman" w:cs="Times New Roman" w:eastAsia="Times New Roman" w:hAnsi="Times New Roman"/>
          <w:sz w:val="22"/>
          <w:szCs w:val="22"/>
        </w:rPr>
        <w:t xml:space="preserve">	19</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9 : Arbre à problèmes : causes présumées et conséquences des difficultés des EPE</w:t>
      </w:r>
      <w:r>
        <w:rPr>
          <w:rFonts w:ascii="Times New Roman" w:cs="Times New Roman" w:eastAsia="Times New Roman" w:hAnsi="Times New Roman"/>
          <w:sz w:val="22"/>
          <w:szCs w:val="22"/>
        </w:rPr>
        <w:t xml:space="preserve">	20</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10 : Matrice de cohérence de la recherche</w:t>
      </w:r>
      <w:r>
        <w:rPr>
          <w:rFonts w:ascii="Times New Roman" w:cs="Times New Roman" w:eastAsia="Times New Roman" w:hAnsi="Times New Roman"/>
          <w:sz w:val="22"/>
          <w:szCs w:val="22"/>
        </w:rPr>
        <w:t xml:space="preserve">	23</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11 : Synthèse des principaux travaux de la revue de la littérature</w:t>
      </w:r>
      <w:r>
        <w:rPr>
          <w:rFonts w:ascii="Times New Roman" w:cs="Times New Roman" w:eastAsia="Times New Roman" w:hAnsi="Times New Roman"/>
          <w:sz w:val="22"/>
          <w:szCs w:val="22"/>
        </w:rPr>
        <w:t xml:space="preserve">	28</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12 : Variables, dimensions, indicateurs et outils de collecte</w:t>
      </w:r>
      <w:r>
        <w:rPr>
          <w:rFonts w:ascii="Times New Roman" w:cs="Times New Roman" w:eastAsia="Times New Roman" w:hAnsi="Times New Roman"/>
          <w:sz w:val="22"/>
          <w:szCs w:val="22"/>
        </w:rPr>
        <w:t xml:space="preserve">	35</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13 : Composition de l'échantillon de l'étude</w:t>
      </w:r>
      <w:r>
        <w:rPr>
          <w:rFonts w:ascii="Times New Roman" w:cs="Times New Roman" w:eastAsia="Times New Roman" w:hAnsi="Times New Roman"/>
          <w:sz w:val="22"/>
          <w:szCs w:val="22"/>
        </w:rPr>
        <w:t xml:space="preserve">	37</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14 : Structure de l'exercice de la Notion B et facettes de la fraction évaluées</w:t>
      </w:r>
      <w:r>
        <w:rPr>
          <w:rFonts w:ascii="Times New Roman" w:cs="Times New Roman" w:eastAsia="Times New Roman" w:hAnsi="Times New Roman"/>
          <w:sz w:val="22"/>
          <w:szCs w:val="22"/>
        </w:rPr>
        <w:t xml:space="preserve">	38</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15 : Critères de vérification des hypothèses</w:t>
      </w:r>
      <w:r>
        <w:rPr>
          <w:rFonts w:ascii="Times New Roman" w:cs="Times New Roman" w:eastAsia="Times New Roman" w:hAnsi="Times New Roman"/>
          <w:sz w:val="22"/>
          <w:szCs w:val="22"/>
        </w:rPr>
        <w:t xml:space="preserve">	40</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16 : Caractéristiques des EPE de l'échantillon (n = 100)</w:t>
      </w:r>
      <w:r>
        <w:rPr>
          <w:rFonts w:ascii="Times New Roman" w:cs="Times New Roman" w:eastAsia="Times New Roman" w:hAnsi="Times New Roman"/>
          <w:sz w:val="22"/>
          <w:szCs w:val="22"/>
        </w:rPr>
        <w:t xml:space="preserve">	42</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17 : Comparaison de la répartition par niveau de maîtrise dans la population et dans l'échantillon</w:t>
      </w:r>
      <w:r>
        <w:rPr>
          <w:rFonts w:ascii="Times New Roman" w:cs="Times New Roman" w:eastAsia="Times New Roman" w:hAnsi="Times New Roman"/>
          <w:sz w:val="22"/>
          <w:szCs w:val="22"/>
        </w:rPr>
        <w:t xml:space="preserve">	43</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18 : Distribution des notes des EPE à l'exercice de la Notion B (/1,5)</w:t>
      </w:r>
      <w:r>
        <w:rPr>
          <w:rFonts w:ascii="Times New Roman" w:cs="Times New Roman" w:eastAsia="Times New Roman" w:hAnsi="Times New Roman"/>
          <w:sz w:val="22"/>
          <w:szCs w:val="22"/>
        </w:rPr>
        <w:t xml:space="preserve">	44</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19 : Indicateurs statistiques des notes à l'exercice de la Notion B</w:t>
      </w:r>
      <w:r>
        <w:rPr>
          <w:rFonts w:ascii="Times New Roman" w:cs="Times New Roman" w:eastAsia="Times New Roman" w:hAnsi="Times New Roman"/>
          <w:sz w:val="22"/>
          <w:szCs w:val="22"/>
        </w:rPr>
        <w:t xml:space="preserve">	44</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20 : Taux de réussite des EPE aux différents items de l'exercice de la Notion B</w:t>
      </w:r>
      <w:r>
        <w:rPr>
          <w:rFonts w:ascii="Times New Roman" w:cs="Times New Roman" w:eastAsia="Times New Roman" w:hAnsi="Times New Roman"/>
          <w:sz w:val="22"/>
          <w:szCs w:val="22"/>
        </w:rPr>
        <w:t xml:space="preserve">	46</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21 : Fréquence des types d'erreurs relevés dans les copies (n = 100)</w:t>
      </w:r>
      <w:r>
        <w:rPr>
          <w:rFonts w:ascii="Times New Roman" w:cs="Times New Roman" w:eastAsia="Times New Roman" w:hAnsi="Times New Roman"/>
          <w:sz w:val="22"/>
          <w:szCs w:val="22"/>
        </w:rPr>
        <w:t xml:space="preserve">	47</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22 : Répartition des copies selon le nombre de types d'erreurs relevés</w:t>
      </w:r>
      <w:r>
        <w:rPr>
          <w:rFonts w:ascii="Times New Roman" w:cs="Times New Roman" w:eastAsia="Times New Roman" w:hAnsi="Times New Roman"/>
          <w:sz w:val="22"/>
          <w:szCs w:val="22"/>
        </w:rPr>
        <w:t xml:space="preserve">	48</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23 : Fréquence des types d'erreurs selon le niveau de maîtrise (en % des EPE de chaque niveau)</w:t>
      </w:r>
      <w:r>
        <w:rPr>
          <w:rFonts w:ascii="Times New Roman" w:cs="Times New Roman" w:eastAsia="Times New Roman" w:hAnsi="Times New Roman"/>
          <w:sz w:val="22"/>
          <w:szCs w:val="22"/>
        </w:rPr>
        <w:t xml:space="preserve">	48</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24 : Niveau de maîtrise de la Notion B selon la série du baccalauréat</w:t>
      </w:r>
      <w:r>
        <w:rPr>
          <w:rFonts w:ascii="Times New Roman" w:cs="Times New Roman" w:eastAsia="Times New Roman" w:hAnsi="Times New Roman"/>
          <w:sz w:val="22"/>
          <w:szCs w:val="22"/>
        </w:rPr>
        <w:t xml:space="preserve">	50</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25 : Niveau de maîtrise de la Notion B selon le sexe</w:t>
      </w:r>
      <w:r>
        <w:rPr>
          <w:rFonts w:ascii="Times New Roman" w:cs="Times New Roman" w:eastAsia="Times New Roman" w:hAnsi="Times New Roman"/>
          <w:sz w:val="22"/>
          <w:szCs w:val="22"/>
        </w:rPr>
        <w:t xml:space="preserve">	50</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26 : Répartition des fiches pédagogiques selon les critères d'analyse (n = 100)</w:t>
      </w:r>
      <w:r>
        <w:rPr>
          <w:rFonts w:ascii="Times New Roman" w:cs="Times New Roman" w:eastAsia="Times New Roman" w:hAnsi="Times New Roman"/>
          <w:sz w:val="22"/>
          <w:szCs w:val="22"/>
        </w:rPr>
        <w:t xml:space="preserve">	52</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27 : Répartition des fiches selon leur qualité globale</w:t>
      </w:r>
      <w:r>
        <w:rPr>
          <w:rFonts w:ascii="Times New Roman" w:cs="Times New Roman" w:eastAsia="Times New Roman" w:hAnsi="Times New Roman"/>
          <w:sz w:val="22"/>
          <w:szCs w:val="22"/>
        </w:rPr>
        <w:t xml:space="preserve">	54</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28 : Qualité des fiches selon le niveau de maîtrise de la Notion B</w:t>
      </w:r>
      <w:r>
        <w:rPr>
          <w:rFonts w:ascii="Times New Roman" w:cs="Times New Roman" w:eastAsia="Times New Roman" w:hAnsi="Times New Roman"/>
          <w:sz w:val="22"/>
          <w:szCs w:val="22"/>
        </w:rPr>
        <w:t xml:space="preserve">	54</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29 : Score moyen (/2) à chaque critère selon le niveau de maîtrise de la Notion B</w:t>
      </w:r>
      <w:r>
        <w:rPr>
          <w:rFonts w:ascii="Times New Roman" w:cs="Times New Roman" w:eastAsia="Times New Roman" w:hAnsi="Times New Roman"/>
          <w:sz w:val="22"/>
          <w:szCs w:val="22"/>
        </w:rPr>
        <w:t xml:space="preserve">	55</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30 : Thèmes évoqués par les formateurs (n = 4)</w:t>
      </w:r>
      <w:r>
        <w:rPr>
          <w:rFonts w:ascii="Times New Roman" w:cs="Times New Roman" w:eastAsia="Times New Roman" w:hAnsi="Times New Roman"/>
          <w:sz w:val="22"/>
          <w:szCs w:val="22"/>
        </w:rPr>
        <w:t xml:space="preserve">	56</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31 : Auto-évaluation de la maîtrise des fractions selon le niveau effectif (n = 20)</w:t>
      </w:r>
      <w:r>
        <w:rPr>
          <w:rFonts w:ascii="Times New Roman" w:cs="Times New Roman" w:eastAsia="Times New Roman" w:hAnsi="Times New Roman"/>
          <w:sz w:val="22"/>
          <w:szCs w:val="22"/>
        </w:rPr>
        <w:t xml:space="preserve">	58</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32 : Aspects des fractions jugés les plus complexes à expliquer aux élèves (n = 20)</w:t>
      </w:r>
      <w:r>
        <w:rPr>
          <w:rFonts w:ascii="Times New Roman" w:cs="Times New Roman" w:eastAsia="Times New Roman" w:hAnsi="Times New Roman"/>
          <w:sz w:val="22"/>
          <w:szCs w:val="22"/>
        </w:rPr>
        <w:t xml:space="preserve">	58</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33 : Appréciation par les EPE des outils méthodologiques reçus à l'ENFPE (n = 20)</w:t>
      </w:r>
      <w:r>
        <w:rPr>
          <w:rFonts w:ascii="Times New Roman" w:cs="Times New Roman" w:eastAsia="Times New Roman" w:hAnsi="Times New Roman"/>
          <w:sz w:val="22"/>
          <w:szCs w:val="22"/>
        </w:rPr>
        <w:t xml:space="preserve">	59</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34 : Principaux thèmes évoqués selon le niveau de maîtrise des EPE interviewés</w:t>
      </w:r>
      <w:r>
        <w:rPr>
          <w:rFonts w:ascii="Times New Roman" w:cs="Times New Roman" w:eastAsia="Times New Roman" w:hAnsi="Times New Roman"/>
          <w:sz w:val="22"/>
          <w:szCs w:val="22"/>
        </w:rPr>
        <w:t xml:space="preserve">	60</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35 : Triangulation des résultats issus des trois outils</w:t>
      </w:r>
      <w:r>
        <w:rPr>
          <w:rFonts w:ascii="Times New Roman" w:cs="Times New Roman" w:eastAsia="Times New Roman" w:hAnsi="Times New Roman"/>
          <w:sz w:val="22"/>
          <w:szCs w:val="22"/>
        </w:rPr>
        <w:t xml:space="preserve">	61</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36 : Synthèse de la vérification des hypothèses</w:t>
      </w:r>
      <w:r>
        <w:rPr>
          <w:rFonts w:ascii="Times New Roman" w:cs="Times New Roman" w:eastAsia="Times New Roman" w:hAnsi="Times New Roman"/>
          <w:sz w:val="22"/>
          <w:szCs w:val="22"/>
        </w:rPr>
        <w:t xml:space="preserve">	62</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37 : Correspondance entre les résultats de l'étude et les choix de la démarche P-M-R-S-R</w:t>
      </w:r>
      <w:r>
        <w:rPr>
          <w:rFonts w:ascii="Times New Roman" w:cs="Times New Roman" w:eastAsia="Times New Roman" w:hAnsi="Times New Roman"/>
          <w:sz w:val="22"/>
          <w:szCs w:val="22"/>
        </w:rPr>
        <w:t xml:space="preserve">	67</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38 : Déroulement des phases de la démarche P-M-R-S-R</w:t>
      </w:r>
      <w:r>
        <w:rPr>
          <w:rFonts w:ascii="Times New Roman" w:cs="Times New Roman" w:eastAsia="Times New Roman" w:hAnsi="Times New Roman"/>
          <w:sz w:val="22"/>
          <w:szCs w:val="22"/>
        </w:rPr>
        <w:t xml:space="preserve">	69</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39 : Composition, confection et usages du kit de matériel pour les fractions</w:t>
      </w:r>
      <w:r>
        <w:rPr>
          <w:rFonts w:ascii="Times New Roman" w:cs="Times New Roman" w:eastAsia="Times New Roman" w:hAnsi="Times New Roman"/>
          <w:sz w:val="22"/>
          <w:szCs w:val="22"/>
        </w:rPr>
        <w:t xml:space="preserve">	70</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40 : Progression proposée pour l'enseignement des fractions au primaire</w:t>
      </w:r>
      <w:r>
        <w:rPr>
          <w:rFonts w:ascii="Times New Roman" w:cs="Times New Roman" w:eastAsia="Times New Roman" w:hAnsi="Times New Roman"/>
          <w:sz w:val="22"/>
          <w:szCs w:val="22"/>
        </w:rPr>
        <w:t xml:space="preserve">	71</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41 : Fiche n°1 : renseignements généraux</w:t>
      </w:r>
      <w:r>
        <w:rPr>
          <w:rFonts w:ascii="Times New Roman" w:cs="Times New Roman" w:eastAsia="Times New Roman" w:hAnsi="Times New Roman"/>
          <w:sz w:val="22"/>
          <w:szCs w:val="22"/>
        </w:rPr>
        <w:t xml:space="preserve">	71</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42 : Fiche n°1 : déroulement de la séance selon la démarche P-M-R-S-R</w:t>
      </w:r>
      <w:r>
        <w:rPr>
          <w:rFonts w:ascii="Times New Roman" w:cs="Times New Roman" w:eastAsia="Times New Roman" w:hAnsi="Times New Roman"/>
          <w:sz w:val="22"/>
          <w:szCs w:val="22"/>
        </w:rPr>
        <w:t xml:space="preserve">	72</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43 : Fiche n°2 : déroulement synthétique de la séance</w:t>
      </w:r>
      <w:r>
        <w:rPr>
          <w:rFonts w:ascii="Times New Roman" w:cs="Times New Roman" w:eastAsia="Times New Roman" w:hAnsi="Times New Roman"/>
          <w:sz w:val="22"/>
          <w:szCs w:val="22"/>
        </w:rPr>
        <w:t xml:space="preserve">	74</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44 : Fiche n°3 : déroulement synthétique de la séance</w:t>
      </w:r>
      <w:r>
        <w:rPr>
          <w:rFonts w:ascii="Times New Roman" w:cs="Times New Roman" w:eastAsia="Times New Roman" w:hAnsi="Times New Roman"/>
          <w:sz w:val="22"/>
          <w:szCs w:val="22"/>
        </w:rPr>
        <w:t xml:space="preserve">	74</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45 : Dispositif de remédiation des erreurs typiques relatives aux fractions</w:t>
      </w:r>
      <w:r>
        <w:rPr>
          <w:rFonts w:ascii="Times New Roman" w:cs="Times New Roman" w:eastAsia="Times New Roman" w:hAnsi="Times New Roman"/>
          <w:sz w:val="22"/>
          <w:szCs w:val="22"/>
        </w:rPr>
        <w:t xml:space="preserve">	75</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46 : Organisation de l'atelier de formation à la double transposition (8 heures)</w:t>
      </w:r>
      <w:r>
        <w:rPr>
          <w:rFonts w:ascii="Times New Roman" w:cs="Times New Roman" w:eastAsia="Times New Roman" w:hAnsi="Times New Roman"/>
          <w:sz w:val="22"/>
          <w:szCs w:val="22"/>
        </w:rPr>
        <w:t xml:space="preserve">	76</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47 : Grille d'auto-analyse d'une fiche pédagogique sur les fractions</w:t>
      </w:r>
      <w:r>
        <w:rPr>
          <w:rFonts w:ascii="Times New Roman" w:cs="Times New Roman" w:eastAsia="Times New Roman" w:hAnsi="Times New Roman"/>
          <w:sz w:val="22"/>
          <w:szCs w:val="22"/>
        </w:rPr>
        <w:t xml:space="preserve">	77</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48 : Fiche d'observation d'une séance sur les fractions (accompagnement du stagiaire)</w:t>
      </w:r>
      <w:r>
        <w:rPr>
          <w:rFonts w:ascii="Times New Roman" w:cs="Times New Roman" w:eastAsia="Times New Roman" w:hAnsi="Times New Roman"/>
          <w:sz w:val="22"/>
          <w:szCs w:val="22"/>
        </w:rPr>
        <w:t xml:space="preserve">	77</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49 : Planification de la mise en œuvre de la contribution sur un cycle de formation</w:t>
      </w:r>
      <w:r>
        <w:rPr>
          <w:rFonts w:ascii="Times New Roman" w:cs="Times New Roman" w:eastAsia="Times New Roman" w:hAnsi="Times New Roman"/>
          <w:sz w:val="22"/>
          <w:szCs w:val="22"/>
        </w:rPr>
        <w:t xml:space="preserve">	78</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Tableau 50 : Indicateurs d'évaluation de la contribution professionnelle</w:t>
      </w:r>
      <w:r>
        <w:rPr>
          <w:rFonts w:ascii="Times New Roman" w:cs="Times New Roman" w:eastAsia="Times New Roman" w:hAnsi="Times New Roman"/>
          <w:sz w:val="22"/>
          <w:szCs w:val="22"/>
        </w:rPr>
        <w:t xml:space="preserve">	79</w:t>
      </w:r>
    </w:p>
    <w:p>
      <w:pPr>
        <w:pStyle w:val="Heading1"/>
        <w:pageBreakBefore/>
      </w:pPr>
      <w:r>
        <w:rPr>
          <w:rFonts w:ascii="Times New Roman" w:cs="Times New Roman" w:eastAsia="Times New Roman" w:hAnsi="Times New Roman"/>
        </w:rPr>
        <w:t xml:space="preserve">LISTE DES GRAPHIQUES ET FIGURES</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Graphique 1 : Répartition des EPE de l'échantillon selon la série du baccalauréat</w:t>
      </w:r>
      <w:r>
        <w:rPr>
          <w:rFonts w:ascii="Times New Roman" w:cs="Times New Roman" w:eastAsia="Times New Roman" w:hAnsi="Times New Roman"/>
          <w:sz w:val="22"/>
          <w:szCs w:val="22"/>
        </w:rPr>
        <w:t xml:space="preserve">	43</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Graphique 2 : Répartition par niveau de maîtrise : population et échantillon</w:t>
      </w:r>
      <w:r>
        <w:rPr>
          <w:rFonts w:ascii="Times New Roman" w:cs="Times New Roman" w:eastAsia="Times New Roman" w:hAnsi="Times New Roman"/>
          <w:sz w:val="22"/>
          <w:szCs w:val="22"/>
        </w:rPr>
        <w:t xml:space="preserve">	44</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Graphique 3 : Distribution des notes à l'exercice de la Notion B</w:t>
      </w:r>
      <w:r>
        <w:rPr>
          <w:rFonts w:ascii="Times New Roman" w:cs="Times New Roman" w:eastAsia="Times New Roman" w:hAnsi="Times New Roman"/>
          <w:sz w:val="22"/>
          <w:szCs w:val="22"/>
        </w:rPr>
        <w:t xml:space="preserve">	45</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Graphique 4 : Taux de réussite complète par item de l'exercice de la Notion B</w:t>
      </w:r>
      <w:r>
        <w:rPr>
          <w:rFonts w:ascii="Times New Roman" w:cs="Times New Roman" w:eastAsia="Times New Roman" w:hAnsi="Times New Roman"/>
          <w:sz w:val="22"/>
          <w:szCs w:val="22"/>
        </w:rPr>
        <w:t xml:space="preserve">	46</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Graphique 5 : Fréquence des types d'erreurs dans les copies des EPE</w:t>
      </w:r>
      <w:r>
        <w:rPr>
          <w:rFonts w:ascii="Times New Roman" w:cs="Times New Roman" w:eastAsia="Times New Roman" w:hAnsi="Times New Roman"/>
          <w:sz w:val="22"/>
          <w:szCs w:val="22"/>
        </w:rPr>
        <w:t xml:space="preserve">	47</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Graphique 6 : Niveau de maîtrise de la Notion B selon la série du baccalauréat</w:t>
      </w:r>
      <w:r>
        <w:rPr>
          <w:rFonts w:ascii="Times New Roman" w:cs="Times New Roman" w:eastAsia="Times New Roman" w:hAnsi="Times New Roman"/>
          <w:sz w:val="22"/>
          <w:szCs w:val="22"/>
        </w:rPr>
        <w:t xml:space="preserve">	50</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Graphique 7 : Répartition des fiches pédagogiques selon les critères d'analyse</w:t>
      </w:r>
      <w:r>
        <w:rPr>
          <w:rFonts w:ascii="Times New Roman" w:cs="Times New Roman" w:eastAsia="Times New Roman" w:hAnsi="Times New Roman"/>
          <w:sz w:val="22"/>
          <w:szCs w:val="22"/>
        </w:rPr>
        <w:t xml:space="preserve">	52</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Graphique 8 : Score moyen des fiches pédagogiques selon le niveau de maîtrise de la Notion B</w:t>
      </w:r>
      <w:r>
        <w:rPr>
          <w:rFonts w:ascii="Times New Roman" w:cs="Times New Roman" w:eastAsia="Times New Roman" w:hAnsi="Times New Roman"/>
          <w:sz w:val="22"/>
          <w:szCs w:val="22"/>
        </w:rPr>
        <w:t xml:space="preserve">	55</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Graphique 9 : Auto-évaluation de la maîtrise (Q1) et appréciation des outils de formation (Q3) par les EPE</w:t>
      </w:r>
      <w:r>
        <w:rPr>
          <w:rFonts w:ascii="Times New Roman" w:cs="Times New Roman" w:eastAsia="Times New Roman" w:hAnsi="Times New Roman"/>
          <w:sz w:val="22"/>
          <w:szCs w:val="22"/>
        </w:rPr>
        <w:t xml:space="preserve">	59</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Graphique 10 : Thèmes évoqués par les EPE au cours des entretiens</w:t>
      </w:r>
      <w:r>
        <w:rPr>
          <w:rFonts w:ascii="Times New Roman" w:cs="Times New Roman" w:eastAsia="Times New Roman" w:hAnsi="Times New Roman"/>
          <w:sz w:val="22"/>
          <w:szCs w:val="22"/>
        </w:rPr>
        <w:t xml:space="preserve">	60</w:t>
      </w:r>
    </w:p>
    <w:p>
      <w:pPr>
        <w:spacing w:before="200"/>
      </w:pPr>
    </w:p>
    <w:p>
      <w:pPr>
        <w:tabs>
          <w:tab w:val="right" w:pos="9072" w:leader="dot"/>
        </w:tabs>
        <w:spacing w:after="60" w:before="100" w:line="264"/>
        <w:ind w:left="0" w:right="400"/>
      </w:pPr>
      <w:r>
        <w:rPr>
          <w:rFonts w:ascii="Times New Roman" w:cs="Times New Roman" w:eastAsia="Times New Roman" w:hAnsi="Times New Roman"/>
          <w:sz w:val="22"/>
          <w:szCs w:val="22"/>
        </w:rPr>
        <w:t xml:space="preserve">Figure 1 : La double transposition didactique en formation des maîtres</w:t>
      </w:r>
      <w:r>
        <w:rPr>
          <w:rFonts w:ascii="Times New Roman" w:cs="Times New Roman" w:eastAsia="Times New Roman" w:hAnsi="Times New Roman"/>
          <w:sz w:val="22"/>
          <w:szCs w:val="22"/>
        </w:rPr>
        <w:t xml:space="preserve">	32</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Figure 2 : Modèle d'analyse de la recherche</w:t>
      </w:r>
      <w:r>
        <w:rPr>
          <w:rFonts w:ascii="Times New Roman" w:cs="Times New Roman" w:eastAsia="Times New Roman" w:hAnsi="Times New Roman"/>
          <w:sz w:val="22"/>
          <w:szCs w:val="22"/>
        </w:rPr>
        <w:t xml:space="preserve">	35</w:t>
      </w:r>
    </w:p>
    <w:p>
      <w:pPr>
        <w:tabs>
          <w:tab w:val="right" w:pos="9072" w:leader="dot"/>
        </w:tabs>
        <w:spacing w:after="60" w:before="100" w:line="264"/>
        <w:ind w:left="0" w:right="400"/>
      </w:pPr>
      <w:r>
        <w:rPr>
          <w:rFonts w:ascii="Times New Roman" w:cs="Times New Roman" w:eastAsia="Times New Roman" w:hAnsi="Times New Roman"/>
          <w:sz w:val="22"/>
          <w:szCs w:val="22"/>
        </w:rPr>
        <w:t xml:space="preserve">Figure 3 : La démarche P-M-R-S-R d'enseignement des fractions</w:t>
      </w:r>
      <w:r>
        <w:rPr>
          <w:rFonts w:ascii="Times New Roman" w:cs="Times New Roman" w:eastAsia="Times New Roman" w:hAnsi="Times New Roman"/>
          <w:sz w:val="22"/>
          <w:szCs w:val="22"/>
        </w:rPr>
        <w:t xml:space="preserve">	69</w:t>
      </w:r>
    </w:p>
    <w:p>
      <w:pPr>
        <w:sectPr>
          <w:footerReference w:type="default" r:id="rId7"/>
          <w:type w:val="nextPage"/>
          <w:pgSz w:w="11906" w:h="16838" w:orient="portrait"/>
          <w:pgMar w:top="1417" w:right="1417" w:bottom="1417" w:left="1417" w:header="708" w:footer="600" w:gutter="0"/>
          <w:pgNumType w:start="1" w:fmt="lowerRoman"/>
          <w:docGrid w:linePitch="360"/>
        </w:sectPr>
      </w:pPr>
    </w:p>
    <w:p>
      <w:pPr>
        <w:pStyle w:val="Heading1"/>
        <w:keepNext/>
        <w:keepLines/>
        <w:pageBreakBefore/>
      </w:pPr>
      <w:r>
        <w:rPr>
          <w:rFonts w:ascii="Times New Roman" w:cs="Times New Roman" w:eastAsia="Times New Roman" w:hAnsi="Times New Roman"/>
        </w:rPr>
        <w:t xml:space="preserve">INTRODUCTION GÉNÉRALE</w:t>
      </w:r>
    </w:p>
    <w:p>
      <w:pPr>
        <w:spacing w:after="120" w:before="0" w:line="360"/>
        <w:ind w:firstLine="709"/>
        <w:jc w:val="both"/>
      </w:pPr>
      <w:r>
        <w:rPr>
          <w:rFonts w:ascii="Times New Roman" w:cs="Times New Roman" w:eastAsia="Times New Roman" w:hAnsi="Times New Roman"/>
        </w:rPr>
        <w:t xml:space="preserve">L'enseignement des mathématiques occupe une place centrale dans la scolarité primaire. Il structure la pensée logique de l'enfant, développe ses capacités de raisonnement et de résolution de problèmes et conditionne, dans une large mesure, sa réussite ultérieure dans les disciplines scientifiques et techniques. Au sein de ce socle, l'apprentissage des fractions constitue un moment particulièrement délicat. Il marque en effet la première rupture profonde avec l'univers familier des nombres entiers naturels : pour la première fois, l'élève rencontre des nombres qui ne servent plus à compter des objets, mais à exprimer un partage, une mesure, un rapport ou un opérateur. Les travaux de didactique des mathématiques s'accordent à reconnaître que cette transition est l'une des plus difficiles de la scolarité obligatoire (Brousseau, 1998 ; Lamon, 2007 ; Siegler et al., 2011).</w:t>
      </w:r>
    </w:p>
    <w:p>
      <w:pPr>
        <w:spacing w:after="120" w:before="0" w:line="360"/>
        <w:ind w:firstLine="709"/>
        <w:jc w:val="both"/>
      </w:pPr>
      <w:r>
        <w:rPr>
          <w:rFonts w:ascii="Times New Roman" w:cs="Times New Roman" w:eastAsia="Times New Roman" w:hAnsi="Times New Roman"/>
        </w:rPr>
        <w:t xml:space="preserve">Dans ces conditions, la qualité de la médiation assurée par l'enseignant est déterminante. Un maître qui maîtrise les différentes significations de la fraction, qui connaît les erreurs typiques des élèves et qui sait concevoir des situations d'apprentissage fondées sur la manipulation et la résolution de problèmes offre à ses élèves de réelles chances de construire le sens de ce nouveau nombre. À l'inverse, lorsque la maîtrise conceptuelle du maître est fragile, l'enseignement tend à se réduire à la transmission de règles de calcul dépourvues de signification, et les difficultés se reproduisent d'une génération d'élèves à l'autre (Ma, 1999 ; Newton, 2008). La question de la formation initiale des enseignants du primaire se trouve ainsi placée au cœur de la réflexion sur la qualité des apprentissages mathématiques.</w:t>
      </w:r>
    </w:p>
    <w:p>
      <w:pPr>
        <w:spacing w:after="120" w:before="0" w:line="360"/>
        <w:ind w:firstLine="709"/>
        <w:jc w:val="both"/>
      </w:pPr>
      <w:r>
        <w:rPr>
          <w:rFonts w:ascii="Times New Roman" w:cs="Times New Roman" w:eastAsia="Times New Roman" w:hAnsi="Times New Roman"/>
        </w:rPr>
        <w:t xml:space="preserve">Au Togo, cette mission incombe aux Écoles Normales de Formation des Professeurs d'École (ENFPE), chargées de former des enseignants du premier degré recrutés au niveau du baccalauréat. C'est dans l'une de ces institutions, l'ENFPE de Notsè, que nous avons effectué, à partir du 16 mars 2026, notre stage en responsabilité dans le cadre du Master professionnel de l'Institut National des Sciences de l'Éducation (INSE). Ce stage nous a permis d'exercer la fonction de formateur dans le champ mathématique, de participer à l'évaluation et au suivi des élèves-professeurs d'école (EPE) et d'observer de près les forces et les fragilités du dispositif de formation. Parmi les difficultés rencontrées, l'une a particulièrement retenu notre attention : l'analyse notionnelle des résultats aux évaluations sommatives a révélé qu'à l'exercice consacré aux fractions, désigné « Notion B » et noté sur 1,5 point, 35,85 % des 385 EPE de la Promotion 3 n'avaient pas validé la notion, soit environ 138 futurs enseignants. Ce constat a été confirmé par nos observations des fiches de préparation et par les échanges avec les formateurs et les stagiaires lors du suivi du stage en responsabilité dans les écoles primaires.</w:t>
      </w:r>
    </w:p>
    <w:p>
      <w:pPr>
        <w:spacing w:after="120" w:before="0" w:line="360"/>
        <w:ind w:firstLine="709"/>
        <w:jc w:val="both"/>
      </w:pPr>
      <w:r>
        <w:rPr>
          <w:rFonts w:ascii="Times New Roman" w:cs="Times New Roman" w:eastAsia="Times New Roman" w:hAnsi="Times New Roman"/>
        </w:rPr>
        <w:t xml:space="preserve">Ce constat soulève une interrogation centrale, qui guide l'ensemble du présent travail : quels facteurs expliquent les difficultés des élèves-professeurs de l'ENFPE de Notsè dans l'enseignement des fractions au primaire, et quelle démarche didactique peut-on proposer pour y remédier ? Nous formulons l'hypothèse générale que ces difficultés résultent de la conjonction de trois ordres de facteurs : une maîtrise conceptuelle fragile et procédurale des fractions, marquée par des obstacles épistémologiques ; des pratiques de préparation des leçons peu fondées sur la manipulation, les situations-problèmes et la coordination des registres de représentation ; enfin, des insuffisances du dispositif de formation et d'encadrement.</w:t>
      </w:r>
    </w:p>
    <w:p>
      <w:pPr>
        <w:spacing w:after="120" w:before="0" w:line="360"/>
        <w:ind w:firstLine="709"/>
        <w:jc w:val="both"/>
      </w:pPr>
      <w:r>
        <w:rPr>
          <w:rFonts w:ascii="Times New Roman" w:cs="Times New Roman" w:eastAsia="Times New Roman" w:hAnsi="Times New Roman"/>
        </w:rPr>
        <w:t xml:space="preserve">L'objectif général de l'étude est d'analyser les causes de ces difficultés afin de proposer une démarche didactique et des outils professionnels permettant d'améliorer l'enseignement des fractions par les EPE. Pour y parvenir, nous avons adopté une approche méthodologique mixte, conduite auprès d'un échantillon de 100 EPE tirés au hasard dans la Promotion 3. Trois outils de collecte ont été mobilisés : une grille de dépouillement et d'analyse des copies de l'exercice sur les fractions, une grille d'analyse documentaire des fiches pédagogiques élaborées par les EPE et un guide d'entretien semi-directif administré à des formateurs et à des EPE. L'analyse s'appuie sur un cadre théorique constitué de la notion d'obstacle épistémologique (Bachelard, 1938), de la Théorie des Situations Didactiques (Brousseau, 1998), de la dialectique outil-objet (Douady, 1986), des registres de représentation sémiotique (Duval, 1995) et de la transposition didactique (Chevallard, 1991), envisagée ici dans sa forme double propre aux institutions de formation des maîtres.</w:t>
      </w:r>
    </w:p>
    <w:p>
      <w:pPr>
        <w:spacing w:after="120" w:before="0" w:line="360"/>
        <w:ind w:firstLine="709"/>
        <w:jc w:val="both"/>
      </w:pPr>
      <w:r>
        <w:rPr>
          <w:rFonts w:ascii="Times New Roman" w:cs="Times New Roman" w:eastAsia="Times New Roman" w:hAnsi="Times New Roman"/>
        </w:rPr>
        <w:t xml:space="preserve">Conformément aux directives de l'INSE relatives au mémoire professionnel, le présent travail s'articule en cinq chapitres. Le premier chapitre rend compte du stage : il présente le cadre d'accueil, décrit les activités réalisées, dégage les acquis professionnels et expose les difficultés rencontrées ainsi que les stratégies développées pour les surmonter, avant d'identifier le problème retenu. Le deuxième chapitre construit la problématique : contexte et justification, énoncé du problème, questions, hypothèses, objectifs et pertinence de l'étude. Le troisième chapitre présente l'approche théorique et méthodologique : revue de la littérature, théories de référence, clarification des concepts, variables et indicateurs, puis démarche de collecte et de traitement des données. Le quatrième chapitre présente, analyse, interprète et discute les résultats, et procède à la vérification des hypothèses. Le cinquième chapitre, enfin, expose notre contribution professionnelle : la démarche didactique P-M-R-S-R (Problématiser, Manipuler, Représenter, Symboliser, Réinvestir) et les outils qui l'accompagnent pour enseigner efficacement les fractions au primaire et former les EPE à les enseigner.</w:t>
      </w:r>
    </w:p>
    <w:p>
      <w:pPr>
        <w:pStyle w:val="Heading1"/>
        <w:keepNext/>
        <w:keepLines/>
        <w:pageBreakBefore/>
      </w:pPr>
      <w:r>
        <w:rPr>
          <w:rFonts w:ascii="Times New Roman" w:cs="Times New Roman" w:eastAsia="Times New Roman" w:hAnsi="Times New Roman"/>
        </w:rPr>
        <w:t xml:space="preserve">CHAPITRE 1 : CADRE DU STAGE, ACTIVITÉS RÉALISÉES, ACQUIS PROFESSIONNELS ET DIFFICULTÉS RENCONTRÉES</w:t>
      </w:r>
    </w:p>
    <w:p>
      <w:pPr>
        <w:pStyle w:val="Heading2"/>
        <w:keepNext/>
        <w:keepLines/>
      </w:pPr>
      <w:r>
        <w:rPr>
          <w:rFonts w:ascii="Times New Roman" w:cs="Times New Roman" w:eastAsia="Times New Roman" w:hAnsi="Times New Roman"/>
        </w:rPr>
        <w:t xml:space="preserve">Introduction</w:t>
      </w:r>
    </w:p>
    <w:p>
      <w:pPr>
        <w:spacing w:after="120" w:before="0" w:line="360"/>
        <w:ind w:firstLine="709"/>
        <w:jc w:val="both"/>
      </w:pPr>
      <w:r>
        <w:rPr>
          <w:rFonts w:ascii="Times New Roman" w:cs="Times New Roman" w:eastAsia="Times New Roman" w:hAnsi="Times New Roman"/>
        </w:rPr>
        <w:t xml:space="preserve">La formation des formateurs dispensée à l'Institut National des Sciences de l'Éducation (INSE) vise à doter les futurs cadres de l'éducation de compétences disciplinaires, didactiques, pédagogiques et organisationnelles leur permettant de contribuer à l'amélioration de la qualité du système éducatif. Dans ce cursus professionnalisant, le stage en responsabilité occupe une place stratégique : il constitue le lieu où les apports théoriques de la formation universitaire sont confrontés à la réalité d'une institution de formation des maîtres. En plaçant l'étudiant-professeur dans la posture effective de formateur, il lui offre l'occasion d'expérimenter, d'observer, d'analyser et d'ajuster ses pratiques sous le regard de professionnels expérimentés.</w:t>
      </w:r>
    </w:p>
    <w:p>
      <w:pPr>
        <w:spacing w:after="120" w:before="0" w:line="360"/>
        <w:ind w:firstLine="709"/>
        <w:jc w:val="both"/>
      </w:pPr>
      <w:r>
        <w:rPr>
          <w:rFonts w:ascii="Times New Roman" w:cs="Times New Roman" w:eastAsia="Times New Roman" w:hAnsi="Times New Roman"/>
        </w:rPr>
        <w:t xml:space="preserve">Le présent chapitre rend compte du stage en responsabilité que nous avons effectué à l'École Normale de Formation des Professeurs d'École (ENFPE) de Notsè à partir du 16 mars 2026. Il présente d'abord le cadre d'accueil sous ses aspects géographiques, historiques et organisationnels. Il décrit ensuite, de manière ordonnée, les activités pédagogiques, didactiques, d'évaluation, administratives et périscolaires réalisées, en soulignant leur pertinence pour notre professionnalisation. Il dégage, en troisième lieu, les acquis professionnels du stage. Il expose enfin les difficultés rencontrées dans l'exercice de notre activité et les stratégies développées pour y faire face, avant de présenter la difficulté retenue comme problème de recherche pour la suite du mémoire.</w:t>
      </w:r>
    </w:p>
    <w:p>
      <w:pPr>
        <w:pStyle w:val="Heading2"/>
        <w:keepNext/>
        <w:keepLines/>
      </w:pPr>
      <w:r>
        <w:rPr>
          <w:rFonts w:ascii="Times New Roman" w:cs="Times New Roman" w:eastAsia="Times New Roman" w:hAnsi="Times New Roman"/>
        </w:rPr>
        <w:t xml:space="preserve">1.1. Présentation du cadre du stage</w:t>
      </w:r>
    </w:p>
    <w:p>
      <w:pPr>
        <w:pStyle w:val="Heading3"/>
        <w:keepNext/>
        <w:keepLines/>
      </w:pPr>
      <w:r>
        <w:rPr>
          <w:rFonts w:ascii="Times New Roman" w:cs="Times New Roman" w:eastAsia="Times New Roman" w:hAnsi="Times New Roman"/>
        </w:rPr>
        <w:t xml:space="preserve">1.1.1. Situation géographique et repères historiques</w:t>
      </w:r>
    </w:p>
    <w:p>
      <w:pPr>
        <w:spacing w:after="120" w:before="0" w:line="360"/>
        <w:ind w:firstLine="709"/>
        <w:jc w:val="both"/>
      </w:pPr>
      <w:r>
        <w:rPr>
          <w:rFonts w:ascii="Times New Roman" w:cs="Times New Roman" w:eastAsia="Times New Roman" w:hAnsi="Times New Roman"/>
        </w:rPr>
        <w:t xml:space="preserve">L'École Normale de Formation des Professeurs d'École (ENFPE) de Notsè occupe une place importante dans le dispositif national de formation initiale des enseignants du premier degré au Togo. Elle est implantée dans la ville de Notsè, chef-lieu de la préfecture de Haho, dans la région des Plateaux. Cette localisation offre un cadre propice aux études et facilite l'ancrage des activités pratiques des élèves-professeurs d'école (EPE) dans les écoles primaires environnantes, relevant notamment de l'Inspection de l'Enseignement Préscolaire et Primaire (IEPP) de Haho Sud et de la Direction Régionale de l'Éducation (DRE) Plateaux-Est. La proximité entre le centre de formation et les écoles d'accueil favorise ainsi l'articulation entre la formation théorique et la réalité des apprentissages en classe.</w:t>
      </w:r>
    </w:p>
    <w:p>
      <w:pPr>
        <w:spacing w:after="120" w:before="0" w:line="360"/>
        <w:ind w:firstLine="709"/>
        <w:jc w:val="both"/>
      </w:pPr>
      <w:r>
        <w:rPr>
          <w:rFonts w:ascii="Times New Roman" w:cs="Times New Roman" w:eastAsia="Times New Roman" w:hAnsi="Times New Roman"/>
        </w:rPr>
        <w:t xml:space="preserve">Sur le plan historique, l'institution s'inscrit dans les politiques successives de structuration de l'enseignement normal au Togo. Cette histoire remonte aux premières écoles normales créées à Togoville par les missionnaires durant la période coloniale et se poursuit avec l'ouverture des Écoles Normales d'Instituteurs Adjoints (ENI-A) de Kara et d'Atakpamé. L'établissement de Notsè a ouvert ses portes en janvier 1984 sous la dénomination d'École Normale d'Instituteurs (ENI) de Notsè, grâce à un appui financier de la Banque Mondiale. Il a longtemps fonctionné comme un établissement de formation des maîtres de l'enseignement primaire. Son parcours n'a pas été exempt de ruptures : l'école a connu une période d'arrêt de ses activités de 1999 à 2008, avant une reprise progressive amorcée en 2009.</w:t>
      </w:r>
    </w:p>
    <w:p>
      <w:pPr>
        <w:spacing w:after="120" w:before="0" w:line="360"/>
        <w:ind w:firstLine="709"/>
        <w:jc w:val="both"/>
      </w:pPr>
      <w:r>
        <w:rPr>
          <w:rFonts w:ascii="Times New Roman" w:cs="Times New Roman" w:eastAsia="Times New Roman" w:hAnsi="Times New Roman"/>
        </w:rPr>
        <w:t xml:space="preserve">Un tournant décisif est intervenu avec l'arrêté interministériel n°009/MEPSTA/MFPTDS/MEF du 04 novembre 2022, qui a consacré la mutation de l'ENI de Notsè en École Normale de Formation des Professeurs d'École. Conformément aux articles 2 et 3 de l'arrêté n°615 du 08 novembre 2022, l'ENFPE a pour mission d'assurer la formation initiale des élèves-professeurs d'école recrutés sur la base du baccalauréat deuxième partie (BAC II). Le rattachement des ENFPE au cabinet du ministère en charge des enseignements primaire et secondaire traduit la volonté des autorités de faire de ces établissements des pôles d'excellence de la formation des enseignants du primaire.</w:t>
      </w:r>
    </w:p>
    <w:p>
      <w:pPr>
        <w:pStyle w:val="Heading3"/>
        <w:keepNext/>
        <w:keepLines/>
      </w:pPr>
      <w:r>
        <w:rPr>
          <w:rFonts w:ascii="Times New Roman" w:cs="Times New Roman" w:eastAsia="Times New Roman" w:hAnsi="Times New Roman"/>
        </w:rPr>
        <w:t xml:space="preserve">1.1.2. Gouvernance et ressources humaines</w:t>
      </w:r>
    </w:p>
    <w:p>
      <w:pPr>
        <w:spacing w:after="120" w:before="0" w:line="360"/>
        <w:ind w:firstLine="709"/>
        <w:jc w:val="both"/>
      </w:pPr>
      <w:r>
        <w:rPr>
          <w:rFonts w:ascii="Times New Roman" w:cs="Times New Roman" w:eastAsia="Times New Roman" w:hAnsi="Times New Roman"/>
        </w:rPr>
        <w:t xml:space="preserve">Depuis sa création, l'établissement a été dirigé par huit directeurs successifs : Monsieur BABA Nakom (1984), qui a posé les premiers jalons institutionnels ; Monsieur AKINDJO Oniankpo (1984-1987) ; Monsieur ADJA-POROKY Kanya (1987-1990) ; Monsieur IYOH Katamatu Koku (1991-2002), dont le mandat a couvert la décennie précédant l'arrêt des activités ; Monsieur AMESSIAMENOU Komlan Yara (2003-2008), qui a assuré la période de transition ; Monsieur EKOUE Yaovi (2008-2020), artisan de la relance après 2009 ; Monsieur TANANG Paka (2020-2022) ; et enfin Monsieur ADANGLO Kouami, en poste depuis la restructuration de 2022, qui pilote la phase actuelle de modernisation de l'école.</w:t>
      </w:r>
    </w:p>
    <w:p>
      <w:pPr>
        <w:spacing w:after="120" w:before="0" w:line="360"/>
        <w:ind w:firstLine="709"/>
        <w:jc w:val="both"/>
      </w:pPr>
      <w:r>
        <w:rPr>
          <w:rFonts w:ascii="Times New Roman" w:cs="Times New Roman" w:eastAsia="Times New Roman" w:hAnsi="Times New Roman"/>
        </w:rPr>
        <w:t xml:space="preserve">L'établissement fonctionne avec un effectif de trente agents, dont vingt-sept hommes et trois femmes. L'encadrement pédagogique comprend le Directeur, le Directeur Adjoint chargé des Études et du Personnel (DACE), treize professeurs-formateurs titulaires (P-ENI) et cinq professeurs associés. Le personnel administratif et de soutien technique compte une dizaine d'agents qui veillent au bon fonctionnement quotidien des services et des infrastructures. Le champ mathématique, dans lequel nous avons effectué notre stage, est animé par deux professeurs titulaires : Monsieur MANI Kondé, délégué du champ, et Monsieur TAGNAMI Hodabalo.</w:t>
      </w:r>
    </w:p>
    <w:p>
      <w:pPr>
        <w:pStyle w:val="Heading3"/>
        <w:keepNext/>
        <w:keepLines/>
      </w:pPr>
      <w:r>
        <w:rPr>
          <w:rFonts w:ascii="Times New Roman" w:cs="Times New Roman" w:eastAsia="Times New Roman" w:hAnsi="Times New Roman"/>
        </w:rPr>
        <w:t xml:space="preserve">1.1.3. Infrastructures et organisation pédagogique</w:t>
      </w:r>
    </w:p>
    <w:p>
      <w:pPr>
        <w:spacing w:after="120" w:before="0" w:line="360"/>
        <w:ind w:firstLine="709"/>
        <w:jc w:val="both"/>
      </w:pPr>
      <w:r>
        <w:rPr>
          <w:rFonts w:ascii="Times New Roman" w:cs="Times New Roman" w:eastAsia="Times New Roman" w:hAnsi="Times New Roman"/>
        </w:rPr>
        <w:t xml:space="preserve">L'ENFPE de Notsè dispose d'un ensemble d'infrastructures organisées en plusieurs blocs fonctionnels, présentés dans le tableau 1.</w:t>
      </w:r>
    </w:p>
    <w:p>
      <w:pPr>
        <w:keepNext/>
        <w:keepLines/>
        <w:spacing w:after="80" w:before="160" w:line="276"/>
        <w:jc w:val="center"/>
      </w:pPr>
      <w:r>
        <w:rPr>
          <w:rFonts w:ascii="Times New Roman" w:cs="Times New Roman" w:eastAsia="Times New Roman" w:hAnsi="Times New Roman"/>
          <w:b/>
          <w:bCs/>
          <w:sz w:val="22"/>
          <w:szCs w:val="22"/>
        </w:rPr>
        <w:t xml:space="preserve">Tableau 1 : </w:t>
      </w:r>
      <w:r>
        <w:rPr>
          <w:rFonts w:ascii="Times New Roman" w:cs="Times New Roman" w:eastAsia="Times New Roman" w:hAnsi="Times New Roman"/>
          <w:b/>
          <w:bCs/>
          <w:sz w:val="22"/>
          <w:szCs w:val="22"/>
        </w:rPr>
        <w:t xml:space="preserve">Infrastructures de l'ENFPE de Notsè</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6532"/>
      </w:tblGrid>
      <w:tr>
        <w:trPr>
          <w:cantSplit/>
          <w:tblHeader/>
        </w:trPr>
        <w:tc>
          <w:tcPr>
            <w:tcW w:type="dxa" w:w="254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Blocs</w:t>
            </w:r>
          </w:p>
        </w:tc>
        <w:tc>
          <w:tcPr>
            <w:tcW w:type="dxa" w:w="653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Composantes</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Bloc administratif</w:t>
            </w:r>
          </w:p>
        </w:tc>
        <w:tc>
          <w:tcPr>
            <w:tcW w:type="dxa" w:w="65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Bureaux de la Direction et du DACE, secrétariat principal et annexe, surveillance de la scolarité, surveillance des logements, économat et intendance, salle informatique</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Bloc pédagogique</w:t>
            </w:r>
          </w:p>
        </w:tc>
        <w:tc>
          <w:tcPr>
            <w:tcW w:type="dxa" w:w="65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Salles de cours, salles polyvalentes, salles spécialisées, laboratoire de sciences, salle audiovisuelle</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Espace socioculturel</w:t>
            </w:r>
          </w:p>
        </w:tc>
        <w:tc>
          <w:tcPr>
            <w:tcW w:type="dxa" w:w="65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Bibliothèque, salles de lecture, médiathèque, amphithéâtre</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École Primaire d'Application (EPA)</w:t>
            </w:r>
          </w:p>
        </w:tc>
        <w:tc>
          <w:tcPr>
            <w:tcW w:type="dxa" w:w="65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Bureau de direction, secrétariat, salle des maîtres, magasin, six salles de classe du primaire et une salle du préscolaire, installations sportives</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Infrastructures d'accompagnement</w:t>
            </w:r>
          </w:p>
        </w:tc>
        <w:tc>
          <w:tcPr>
            <w:tcW w:type="dxa" w:w="65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Infirmerie, buanderie, foyer polyvalent, ateliers d'arts ménagers, garage, dortoirs des EPE, cité de vingt-trois villas</w:t>
            </w:r>
          </w:p>
        </w:tc>
      </w:tr>
    </w:tbl>
    <w:p>
      <w:pPr>
        <w:spacing w:after="200" w:before="60" w:line="240"/>
        <w:jc w:val="left"/>
      </w:pPr>
      <w:r>
        <w:rPr>
          <w:rFonts w:ascii="Times New Roman" w:cs="Times New Roman" w:eastAsia="Times New Roman" w:hAnsi="Times New Roman"/>
          <w:i/>
          <w:iCs/>
          <w:sz w:val="20"/>
          <w:szCs w:val="20"/>
        </w:rPr>
        <w:t xml:space="preserve">Source : Direction de l'ENFPE de Notsè, 2026.</w:t>
      </w:r>
    </w:p>
    <w:p>
      <w:pPr>
        <w:spacing w:after="120" w:before="0" w:line="360"/>
        <w:ind w:firstLine="709"/>
        <w:jc w:val="both"/>
      </w:pPr>
      <w:r>
        <w:rPr>
          <w:rFonts w:ascii="Times New Roman" w:cs="Times New Roman" w:eastAsia="Times New Roman" w:hAnsi="Times New Roman"/>
        </w:rPr>
        <w:t xml:space="preserve">Sur le plan pédagogique, la formation est organisée en promotions de deux ans et en unités d'enseignement (UE) regroupées par champs disciplinaires. Les EPE de chaque promotion sont répartis en groupes-classes (GC). Au moment de notre arrivée, l'établissement présentait une configuration en alternance : la Promotion 4 (cohorte 2025-2027) était présente sur le site pour les enseignements théoriques et méthodologiques, tandis que la Promotion 3 (cohorte 2024-2026), forte de 385 EPE, était déployée dans les écoles primaires pour son stage en responsabilité. Cette double présence, sur le site et sur le terrain, a déterminé la diversité des activités auxquelles nous avons pris part.</w:t>
      </w:r>
    </w:p>
    <w:p>
      <w:pPr>
        <w:pStyle w:val="Heading2"/>
        <w:keepNext/>
        <w:keepLines/>
      </w:pPr>
      <w:r>
        <w:rPr>
          <w:rFonts w:ascii="Times New Roman" w:cs="Times New Roman" w:eastAsia="Times New Roman" w:hAnsi="Times New Roman"/>
        </w:rPr>
        <w:t xml:space="preserve">1.2. Activités réalisées au cours du stage</w:t>
      </w:r>
    </w:p>
    <w:p>
      <w:pPr>
        <w:spacing w:after="120" w:before="0" w:line="360"/>
        <w:ind w:firstLine="709"/>
        <w:jc w:val="both"/>
      </w:pPr>
      <w:r>
        <w:rPr>
          <w:rFonts w:ascii="Times New Roman" w:cs="Times New Roman" w:eastAsia="Times New Roman" w:hAnsi="Times New Roman"/>
        </w:rPr>
        <w:t xml:space="preserve">Les activités menées durant le stage se sont déroulées conformément au cahier des charges de l'étudiant-professeur. Elles ont suivi une progression allant de l'observation instrumentée vers la prise en charge autonome de classes et vers la participation aux tâches d'évaluation et de suivi des stagiaires. Le tableau 2 en présente la chronologie.</w:t>
      </w:r>
    </w:p>
    <w:p>
      <w:pPr>
        <w:keepNext/>
        <w:keepLines/>
        <w:spacing w:after="80" w:before="160" w:line="276"/>
        <w:jc w:val="center"/>
      </w:pPr>
      <w:r>
        <w:rPr>
          <w:rFonts w:ascii="Times New Roman" w:cs="Times New Roman" w:eastAsia="Times New Roman" w:hAnsi="Times New Roman"/>
          <w:b/>
          <w:bCs/>
          <w:sz w:val="22"/>
          <w:szCs w:val="22"/>
        </w:rPr>
        <w:t xml:space="preserve">Tableau 2 : </w:t>
      </w:r>
      <w:r>
        <w:rPr>
          <w:rFonts w:ascii="Times New Roman" w:cs="Times New Roman" w:eastAsia="Times New Roman" w:hAnsi="Times New Roman"/>
          <w:b/>
          <w:bCs/>
          <w:sz w:val="22"/>
          <w:szCs w:val="22"/>
        </w:rPr>
        <w:t xml:space="preserve">Chronogramme des principales activités du stage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4717"/>
        <w:gridCol w:w="2904"/>
      </w:tblGrid>
      <w:tr>
        <w:trPr>
          <w:cantSplit/>
          <w:tblHeader/>
        </w:trPr>
        <w:tc>
          <w:tcPr>
            <w:tcW w:type="dxa" w:w="145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Date</w:t>
            </w:r>
          </w:p>
        </w:tc>
        <w:tc>
          <w:tcPr>
            <w:tcW w:type="dxa" w:w="471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Activité réalisée</w:t>
            </w:r>
          </w:p>
        </w:tc>
        <w:tc>
          <w:tcPr>
            <w:tcW w:type="dxa" w:w="290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Acteurs et lieu</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16 mars 2026</w:t>
            </w:r>
          </w:p>
        </w:tc>
        <w:tc>
          <w:tcPr>
            <w:tcW w:type="dxa" w:w="47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Accueil par le Directeur, présentation aux professeurs titulaires du champ mathématique, prise de contact avec l'établissement</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Direction, titulaires, stagiaires</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17 mars 2026</w:t>
            </w:r>
          </w:p>
        </w:tc>
        <w:tc>
          <w:tcPr>
            <w:tcW w:type="dxa" w:w="47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Appropriation des documents de cadrage, participation à la correction des copies de fin du semestre 1 de la Promotion 4</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Titulaires, stagiaires</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18 mars 2026 (16 h 30)</w:t>
            </w:r>
          </w:p>
        </w:tc>
        <w:tc>
          <w:tcPr>
            <w:tcW w:type="dxa" w:w="47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Analyse notionnelle des résultats de l'examen de fin du semestre 1 de la Promotion 4</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Titulaires et stagiaires du champ mathématique, salle audiovisuelle</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19 mars 2026</w:t>
            </w:r>
          </w:p>
        </w:tc>
        <w:tc>
          <w:tcPr>
            <w:tcW w:type="dxa" w:w="47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Révision du tableau d'analyse notionnelle ; travail de recherche sur le programme de mathématiques des ENFPE et le canevas commenté de la fiche pédagogique ; atelier sur les instruments géométriques animé par M. MANI</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Titulaires, stagiaires de plusieurs champs</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23 mars 2026</w:t>
            </w:r>
          </w:p>
        </w:tc>
        <w:tc>
          <w:tcPr>
            <w:tcW w:type="dxa" w:w="47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Observation d'un cours de M. TAGNAMI en amphithéâtre (GC5 et GC6) suivie d'un entretien</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 TAGNAMI, stagiaires</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24 mars 2026</w:t>
            </w:r>
          </w:p>
        </w:tc>
        <w:tc>
          <w:tcPr>
            <w:tcW w:type="dxa" w:w="47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Restitution des travaux de recherche en salle audiovisuelle ; clarification du concept de sortie ciblée</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Titulaires, stagiaires</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25 mars 2026</w:t>
            </w:r>
          </w:p>
        </w:tc>
        <w:tc>
          <w:tcPr>
            <w:tcW w:type="dxa" w:w="47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Premier cours de M. BLEWUSSI (GC1) ; visite de la délégation ministérielle ; notre premier cours (GC5 et GC6, 11 h 40 – 12 h 30) ; premier cours de M. ADESU (GC4, 14 h 30) ; entretiens-conseils</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Titulaires, stagiaires, délégation</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Semaines suivantes</w:t>
            </w:r>
          </w:p>
        </w:tc>
        <w:tc>
          <w:tcPr>
            <w:tcW w:type="dxa" w:w="47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Prise en charge de la classe GC3 jusqu'au départ en congés des EPE</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Stagiaire, GC3</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Période du stage de la Promotion 3</w:t>
            </w:r>
          </w:p>
        </w:tc>
        <w:tc>
          <w:tcPr>
            <w:tcW w:type="dxa" w:w="471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Suivi de 12 EPE à l'EPP Zongo et à l'EPP Kpota Groupe E ; correction des rapports de stage ; jury de délibération et de soutenance</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Stagiaires, EPE, écoles d'accueil</w:t>
            </w:r>
          </w:p>
        </w:tc>
      </w:tr>
    </w:tbl>
    <w:p>
      <w:pPr>
        <w:spacing w:after="200" w:before="60" w:line="240"/>
        <w:jc w:val="left"/>
      </w:pPr>
      <w:r>
        <w:rPr>
          <w:rFonts w:ascii="Times New Roman" w:cs="Times New Roman" w:eastAsia="Times New Roman" w:hAnsi="Times New Roman"/>
          <w:i/>
          <w:iCs/>
          <w:sz w:val="20"/>
          <w:szCs w:val="20"/>
        </w:rPr>
        <w:t xml:space="preserve">Source : Notre journal de stage, mars – mai 2026.</w:t>
      </w:r>
    </w:p>
    <w:p>
      <w:pPr>
        <w:pStyle w:val="Heading3"/>
        <w:keepNext/>
        <w:keepLines/>
      </w:pPr>
      <w:r>
        <w:rPr>
          <w:rFonts w:ascii="Times New Roman" w:cs="Times New Roman" w:eastAsia="Times New Roman" w:hAnsi="Times New Roman"/>
        </w:rPr>
        <w:t xml:space="preserve">1.2.1. Accueil, prise de contact et appropriation du cadre de travail</w:t>
      </w:r>
    </w:p>
    <w:p>
      <w:pPr>
        <w:spacing w:after="120" w:before="0" w:line="360"/>
        <w:ind w:firstLine="709"/>
        <w:jc w:val="both"/>
      </w:pPr>
      <w:r>
        <w:rPr>
          <w:rFonts w:ascii="Times New Roman" w:cs="Times New Roman" w:eastAsia="Times New Roman" w:hAnsi="Times New Roman"/>
        </w:rPr>
        <w:t xml:space="preserve">Notre arrivée à l'ENFPE de Notsè, le 16 mars 2026, a été marquée par un accueil officiel du Directeur de l'établissement, qui nous a présentés aux professeurs titulaires du champ mathématique, Monsieur MANI Kondé et Monsieur TAGNAMI Hodabalo. Cette première prise de contact a permis de préciser les attentes de l'institution, de nous familiariser avec l'organisation des enseignements et de constituer le groupe de travail des quatre stagiaires du champ mathématique : Monsieur ADESU Sélom Attikpo, Monsieur AZOUGO Kossi Mawuli, Monsieur BLEWUSSI Dotsè et nous-même. Les premiers jours ont également été consacrés à l'appropriation des documents de cadrage de la formation (programmes, emplois du temps, référentiels d'évaluation), dont la connaissance était indispensable à l'exercice de nos responsabilités.</w:t>
      </w:r>
    </w:p>
    <w:p>
      <w:pPr>
        <w:pStyle w:val="Heading3"/>
        <w:keepNext/>
        <w:keepLines/>
      </w:pPr>
      <w:r>
        <w:rPr>
          <w:rFonts w:ascii="Times New Roman" w:cs="Times New Roman" w:eastAsia="Times New Roman" w:hAnsi="Times New Roman"/>
        </w:rPr>
        <w:t xml:space="preserve">1.2.2. Activités pédagogiques</w:t>
      </w:r>
    </w:p>
    <w:p>
      <w:pPr>
        <w:spacing w:after="120" w:before="0" w:line="360"/>
        <w:ind w:firstLine="709"/>
        <w:jc w:val="both"/>
      </w:pPr>
      <w:r>
        <w:rPr>
          <w:rFonts w:ascii="Times New Roman" w:cs="Times New Roman" w:eastAsia="Times New Roman" w:hAnsi="Times New Roman"/>
        </w:rPr>
        <w:t xml:space="preserve">Les activités pédagogiques se sont structurées autour de deux mouvements complémentaires : une phase d'observation des pratiques des formateurs titulaires, puis une phase de prise en charge effective de classes.</w:t>
      </w:r>
    </w:p>
    <w:p>
      <w:pPr>
        <w:pStyle w:val="Heading4"/>
        <w:keepNext/>
        <w:keepLines/>
      </w:pPr>
      <w:r>
        <w:rPr>
          <w:rFonts w:ascii="Times New Roman" w:cs="Times New Roman" w:eastAsia="Times New Roman" w:hAnsi="Times New Roman"/>
        </w:rPr>
        <w:t xml:space="preserve">a) L'observation des séances des professeurs titulaires</w:t>
      </w:r>
    </w:p>
    <w:p>
      <w:pPr>
        <w:spacing w:after="120" w:before="0" w:line="360"/>
        <w:ind w:firstLine="709"/>
        <w:jc w:val="both"/>
      </w:pPr>
      <w:r>
        <w:rPr>
          <w:rFonts w:ascii="Times New Roman" w:cs="Times New Roman" w:eastAsia="Times New Roman" w:hAnsi="Times New Roman"/>
        </w:rPr>
        <w:t xml:space="preserve">Le 23 mars 2026, nous avons observé en amphithéâtre un cours dispensé par Monsieur TAGNAMI à deux groupes-classes réunis, GC5 et GC6. L'observation, conduite à l'aide d'une grille, a permis d'identifier l'architecture d'une séance de formation en ENFPE, qui suit un déroulement ritualisé : prise en main, entretien du matin, éveil mathématique, mise en train, annonce du titre du chapitre, révision fonctionnelle des prérequis, dévolution des tâches aux sous-groupes, travail coopératif, mise en commun en plénière et clôture de la séance. L'entretien qui a suivi a confirmé que ces étapes constituent une trame commune aux cours du champ mathématique. Il a également donné lieu à un renforcement sur les critères de choix du matériel didactique et à des éclaircissements sur la distinction entre les leçons de démonstration, où le formateur modélise la pratique attendue, les leçons d'essai, où l'EPE expérimente sous le regard critique de ses pairs et du formateur, et les leçons de simulation, où une situation de classe est reconstituée à des fins d'entraînement.</w:t>
      </w:r>
    </w:p>
    <w:p>
      <w:pPr>
        <w:spacing w:after="120" w:before="0" w:line="360"/>
        <w:ind w:firstLine="709"/>
        <w:jc w:val="both"/>
      </w:pPr>
      <w:r>
        <w:rPr>
          <w:rFonts w:ascii="Times New Roman" w:cs="Times New Roman" w:eastAsia="Times New Roman" w:hAnsi="Times New Roman"/>
        </w:rPr>
        <w:t xml:space="preserve">Le 25 mars 2026, nous avons observé, avec les professeurs titulaires et les autres stagiaires du champ, le premier cours de notre collègue Monsieur BLEWUSSI en GC1. L'entretien-conseil qui a suivi a permis d'analyser collectivement les réussites et les points à améliorer de la prestation. Le même jour, à 14 h 30, nous avons observé le premier cours de Monsieur ADESU en GC4, sur la suite du chapitre relatif aux nombres entiers naturels, en présence des autres stagiaires du champ mathématique et de trois stagiaires du champ Sciences et Technologie (ST). Ces observations croisées ont enrichi notre répertoire de gestes professionnels et ont développé notre capacité à analyser une pratique d'enseignement à partir de critères explicites.</w:t>
      </w:r>
    </w:p>
    <w:p>
      <w:pPr>
        <w:pStyle w:val="Heading4"/>
        <w:keepNext/>
        <w:keepLines/>
      </w:pPr>
      <w:r>
        <w:rPr>
          <w:rFonts w:ascii="Times New Roman" w:cs="Times New Roman" w:eastAsia="Times New Roman" w:hAnsi="Times New Roman"/>
        </w:rPr>
        <w:t xml:space="preserve">b) La prise en charge de classes</w:t>
      </w:r>
    </w:p>
    <w:p>
      <w:pPr>
        <w:spacing w:after="120" w:before="0" w:line="360"/>
        <w:ind w:firstLine="709"/>
        <w:jc w:val="both"/>
      </w:pPr>
      <w:r>
        <w:rPr>
          <w:rFonts w:ascii="Times New Roman" w:cs="Times New Roman" w:eastAsia="Times New Roman" w:hAnsi="Times New Roman"/>
        </w:rPr>
        <w:t xml:space="preserve">Le 25 mars 2026, entre 11 h 40 et 12 h 30, nous avons assuré notre premier cours à l'ENFPE devant les groupes-classes GC5 et GC6 réunis dans l'une des salles polyvalentes. La séance portait sur la suite du chapitre consacré aux nombres entiers naturels et aux opérations, en particulier l'écriture d'un nombre dans une autre base à l'aide de la division euclidienne. Cette première prestation n'a pas été aisée, en raison de l'effectif élevé, de la configuration de la salle et de la gestion du temps. L'entretien-conseil qui a suivi a donné lieu à des remarques précises des professeurs titulaires, que nous avons intégrées dans la suite de notre pratique et qui sont développées dans la section consacrée aux acquis professionnels.</w:t>
      </w:r>
    </w:p>
    <w:p>
      <w:pPr>
        <w:spacing w:after="120" w:before="0" w:line="360"/>
        <w:ind w:firstLine="709"/>
        <w:jc w:val="both"/>
      </w:pPr>
      <w:r>
        <w:rPr>
          <w:rFonts w:ascii="Times New Roman" w:cs="Times New Roman" w:eastAsia="Times New Roman" w:hAnsi="Times New Roman"/>
        </w:rPr>
        <w:t xml:space="preserve">La séance s'est déroulée selon la trame en usage dans le champ mathématique. Après la prise en main et une mise en train fondée sur un calcul mental, la révision fonctionnelle a porté sur la division euclidienne, prérequis indispensable au changement de base. La situation de départ demandait aux EPE d'écrire en base cinq le nombre de cartons nécessaires pour ranger une quantité donnée d'objets par paquets de cinq, puis de cinq paquets. Les sous-groupes ont ensuite recherché une méthode générale, avant une mise en commun au cours de laquelle deux procédures ont été confrontées : les regroupements successifs et les divisions euclidiennes successives. L'institutionnalisation a formalisé la seconde procédure, et la séance s'est achevée par un exercice d'application. Plusieurs difficultés ont toutefois marqué la séance : la consigne de la recherche en groupe a dû être reformulée à deux reprises, certains groupes périphériques se sont dispersés, et la synthèse a été écourtée faute de temps. Ces difficultés ont été au cœur de l'entretien-conseil qui a suivi.</w:t>
      </w:r>
    </w:p>
    <w:p>
      <w:pPr>
        <w:spacing w:after="120" w:before="0" w:line="360"/>
        <w:ind w:firstLine="709"/>
        <w:jc w:val="both"/>
      </w:pPr>
      <w:r>
        <w:rPr>
          <w:rFonts w:ascii="Times New Roman" w:cs="Times New Roman" w:eastAsia="Times New Roman" w:hAnsi="Times New Roman"/>
        </w:rPr>
        <w:t xml:space="preserve">Dans la semaine suivante, chaque stagiaire s'est vu confier une classe. Nous avons pris en charge le groupe-classe GC3, dans lequel nous avons dispensé les cours à la manière d'un formateur titulaire jusqu'au départ des EPE en congés. Les contenus enseignés ont porté sur les nombres entiers naturels, les droites et les situations de monnaie. Cette responsabilité a exigé une préparation régulière des séances, une régulation constante du rythme d'apprentissage, une circulation active entre les sous-groupes pour accompagner les EPE en difficulté et une attention particulière à l'équité dans la distribution de la parole. Le tableau 3 présente les principales séances assurées dans cette classe.</w:t>
      </w:r>
    </w:p>
    <w:p>
      <w:pPr>
        <w:keepNext/>
        <w:keepLines/>
        <w:spacing w:after="80" w:before="160" w:line="276"/>
        <w:jc w:val="center"/>
      </w:pPr>
      <w:r>
        <w:rPr>
          <w:rFonts w:ascii="Times New Roman" w:cs="Times New Roman" w:eastAsia="Times New Roman" w:hAnsi="Times New Roman"/>
          <w:b/>
          <w:bCs/>
          <w:sz w:val="22"/>
          <w:szCs w:val="22"/>
        </w:rPr>
        <w:t xml:space="preserve">Tableau 3 : </w:t>
      </w:r>
      <w:r>
        <w:rPr>
          <w:rFonts w:ascii="Times New Roman" w:cs="Times New Roman" w:eastAsia="Times New Roman" w:hAnsi="Times New Roman"/>
          <w:b/>
          <w:bCs/>
          <w:sz w:val="22"/>
          <w:szCs w:val="22"/>
        </w:rPr>
        <w:t xml:space="preserve">Séances assurées dans le groupe-classe GC3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810"/>
        <w:gridCol w:w="3267"/>
      </w:tblGrid>
      <w:tr>
        <w:trPr>
          <w:cantSplit/>
          <w:tblHeader/>
        </w:trPr>
        <w:tc>
          <w:tcPr>
            <w:tcW w:type="dxa" w:w="199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Thème de la séance</w:t>
            </w:r>
          </w:p>
        </w:tc>
        <w:tc>
          <w:tcPr>
            <w:tcW w:type="dxa" w:w="381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Objectif pour les EPE</w:t>
            </w:r>
          </w:p>
        </w:tc>
        <w:tc>
          <w:tcPr>
            <w:tcW w:type="dxa" w:w="326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Choix didactiques mis en œuvre</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Les nombres entiers naturels : numération et changement de base</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Écrire un nombre dans une base donnée et justifier la procédure ; analyser les difficultés des élèves du primaire en numération</w:t>
            </w:r>
          </w:p>
        </w:tc>
        <w:tc>
          <w:tcPr>
            <w:tcW w:type="dxa" w:w="32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Situation de groupements, divisions euclidiennes successives avec restes entourés, confrontation de procédures</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Les droites : droites parallèles et perpendiculaires</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Tracer et reconnaître des droites parallèles et perpendiculaires avec les instruments ; concevoir une activité de tracé pour le CE</w:t>
            </w:r>
          </w:p>
        </w:tc>
        <w:tc>
          <w:tcPr>
            <w:tcW w:type="dxa" w:w="32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Travail sur papier uni et quadrillé, usage de la règle et de l'équerre, validation par superposition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La monnaie : situations de la vie courante</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Résoudre des problèmes de monnaie (rendu, échange, comparaison de prix) ; exploiter des situations monétaires au primaire</w:t>
            </w:r>
          </w:p>
        </w:tc>
        <w:tc>
          <w:tcPr>
            <w:tcW w:type="dxa" w:w="32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Jeu de rôle « marché », pièces et billets factices, schématisation des échanges</w:t>
            </w:r>
          </w:p>
        </w:tc>
      </w:tr>
    </w:tbl>
    <w:p>
      <w:pPr>
        <w:spacing w:after="200" w:before="60" w:line="240"/>
        <w:jc w:val="left"/>
      </w:pPr>
      <w:r>
        <w:rPr>
          <w:rFonts w:ascii="Times New Roman" w:cs="Times New Roman" w:eastAsia="Times New Roman" w:hAnsi="Times New Roman"/>
          <w:i/>
          <w:iCs/>
          <w:sz w:val="20"/>
          <w:szCs w:val="20"/>
        </w:rPr>
        <w:t xml:space="preserve">Source : Notre journal de stage, 2026.</w:t>
      </w:r>
    </w:p>
    <w:p>
      <w:pPr>
        <w:spacing w:after="120" w:before="0" w:line="360"/>
        <w:ind w:firstLine="709"/>
        <w:jc w:val="both"/>
      </w:pPr>
      <w:r>
        <w:rPr>
          <w:rFonts w:ascii="Times New Roman" w:cs="Times New Roman" w:eastAsia="Times New Roman" w:hAnsi="Times New Roman"/>
        </w:rPr>
        <w:t xml:space="preserve">La prise en charge de cette classe a constitué le moment le plus formateur du stage. Elle nous a obligé à assumer l'ensemble des responsabilités du formateur : planifier une progression sur plusieurs séances, préparer les fiches et le matériel, conduire les séances, évaluer les apprentissages et ajuster la séance suivante en fonction des difficultés observées. Elle nous a également permis de mesurer, au quotidien, la double exigence de la formation en ENFPE : chaque séance devait à la fois consolider les connaissances mathématiques des EPE et leur fournir des modèles d'enseignement transférables à l'école primaire.</w:t>
      </w:r>
    </w:p>
    <w:p>
      <w:pPr>
        <w:pStyle w:val="Heading3"/>
        <w:keepNext/>
        <w:keepLines/>
      </w:pPr>
      <w:r>
        <w:rPr>
          <w:rFonts w:ascii="Times New Roman" w:cs="Times New Roman" w:eastAsia="Times New Roman" w:hAnsi="Times New Roman"/>
        </w:rPr>
        <w:t xml:space="preserve">1.2.3. Activités didactiques</w:t>
      </w:r>
    </w:p>
    <w:p>
      <w:pPr>
        <w:spacing w:after="120" w:before="0" w:line="360"/>
        <w:ind w:firstLine="709"/>
        <w:jc w:val="both"/>
      </w:pPr>
      <w:r>
        <w:rPr>
          <w:rFonts w:ascii="Times New Roman" w:cs="Times New Roman" w:eastAsia="Times New Roman" w:hAnsi="Times New Roman"/>
        </w:rPr>
        <w:t xml:space="preserve">Le volet didactique a constitué le cœur de notre formation réflexive. Il a porté sur la conception des situations d'enseignement, sur la recherche documentaire et sur l'analyse des objets de savoir.</w:t>
      </w:r>
    </w:p>
    <w:p>
      <w:pPr>
        <w:spacing w:after="120" w:before="0" w:line="360"/>
        <w:ind w:firstLine="709"/>
        <w:jc w:val="both"/>
      </w:pPr>
      <w:r>
        <w:rPr>
          <w:rFonts w:ascii="Times New Roman" w:cs="Times New Roman" w:eastAsia="Times New Roman" w:hAnsi="Times New Roman"/>
        </w:rPr>
        <w:t xml:space="preserve">La préparation des séances s'est faite de manière collégiale au sein du groupe des quatre stagiaires du champ mathématique. Les fiches pédagogiques co-construites étaient systématiquement soumises à la critique des professeurs titulaires. Ces échanges ont permis de corriger plusieurs aspects : l'ajustement du code de l'unité d'enseignement (passage de l'UE 1274 à l'UE 1271), l'indication précise des effectifs par sexe, la conception de révisions fonctionnelles directement mobilisables comme prérequis de la notion du jour, l'exigence d'une manipulation concrète du matériel avant l'abstraction et la redéfinition de la synthèse en plénière comme un espace de résolution des conflits cognitifs issus des travaux de groupe.</w:t>
      </w:r>
    </w:p>
    <w:p>
      <w:pPr>
        <w:spacing w:after="120" w:before="0" w:line="360"/>
        <w:ind w:firstLine="709"/>
        <w:jc w:val="both"/>
      </w:pPr>
      <w:r>
        <w:rPr>
          <w:rFonts w:ascii="Times New Roman" w:cs="Times New Roman" w:eastAsia="Times New Roman" w:hAnsi="Times New Roman"/>
        </w:rPr>
        <w:t xml:space="preserve">Le 19 mars 2026, après la révision du tableau d'analyse notionnelle, les professeurs titulaires nous ont confié un travail de recherche portant sur deux objets : l'établissement du programme d'enseignement des mathématiques dans les ENFPE et l'élaboration d'un canevas commenté de fiche pédagogique de mathématiques pour le primaire. Nous avons réalisé ce travail en équipe dans la matinée même. Les résultats ont été présentés le 24 mars 2026 en salle audiovisuelle lors d'une rencontre avec les titulaires. Cette restitution a donné lieu à une clarification du concept de « sortie ciblée » et de sa relation avec les situations-problèmes, ce qui a directement enrichi notre compréhension de l'ingénierie des séquences d'apprentissage.</w:t>
      </w:r>
    </w:p>
    <w:p>
      <w:pPr>
        <w:spacing w:after="120" w:before="0" w:line="360"/>
        <w:ind w:firstLine="709"/>
        <w:jc w:val="both"/>
      </w:pPr>
      <w:r>
        <w:rPr>
          <w:rFonts w:ascii="Times New Roman" w:cs="Times New Roman" w:eastAsia="Times New Roman" w:hAnsi="Times New Roman"/>
        </w:rPr>
        <w:t xml:space="preserve">Le soir du 19 mars 2026, nous avons pris part à un atelier sur l'utilisation des instruments géométriques animé par Monsieur MANI, en présence des stagiaires du champ mathématique et de trois stagiaires d'autres champs disciplinaires. Cette activité avait été initiée par le Directeur et le DACE, qui avaient constaté que de nombreux EPE ne maîtrisaient pas l'usage de la règle, de l'équerre, du compas et du rapporteur. L'atelier a mis en évidence l'importance de la didactique instrumentale et nous a rendus attentifs au fait que des savoirs réputés élémentaires peuvent demeurer fragiles chez des adultes en formation.</w:t>
      </w:r>
    </w:p>
    <w:p>
      <w:pPr>
        <w:pStyle w:val="Heading3"/>
        <w:keepNext/>
        <w:keepLines/>
      </w:pPr>
      <w:r>
        <w:rPr>
          <w:rFonts w:ascii="Times New Roman" w:cs="Times New Roman" w:eastAsia="Times New Roman" w:hAnsi="Times New Roman"/>
        </w:rPr>
        <w:t xml:space="preserve">1.2.4. Activités d'évaluation</w:t>
      </w:r>
    </w:p>
    <w:p>
      <w:pPr>
        <w:spacing w:after="120" w:before="0" w:line="360"/>
        <w:ind w:firstLine="709"/>
        <w:jc w:val="both"/>
      </w:pPr>
      <w:r>
        <w:rPr>
          <w:rFonts w:ascii="Times New Roman" w:cs="Times New Roman" w:eastAsia="Times New Roman" w:hAnsi="Times New Roman"/>
        </w:rPr>
        <w:t xml:space="preserve">L'évaluation s'est présentée sous ses formes formative et sommative, tant à l'intérieur de l'ENFPE que dans le cadre du suivi des stagiaires sur le terrain.</w:t>
      </w:r>
    </w:p>
    <w:p>
      <w:pPr>
        <w:spacing w:after="120" w:before="0" w:line="360"/>
        <w:ind w:firstLine="709"/>
        <w:jc w:val="both"/>
      </w:pPr>
      <w:r>
        <w:rPr>
          <w:rFonts w:ascii="Times New Roman" w:cs="Times New Roman" w:eastAsia="Times New Roman" w:hAnsi="Times New Roman"/>
        </w:rPr>
        <w:t xml:space="preserve">Dès les premiers jours, nous avons participé à la correction des copies de l'examen de fin du semestre 1 de la Promotion 4 et à la réflexion sur la conception des épreuves, notamment sur l'usage des codes de compétences (A, B, C). Le 18 mars 2026, à 16 h 30, les stagiaires du champ mathématique se sont retrouvés avec les professeurs titulaires pour l'analyse notionnelle des résultats de cet examen. Cette activité consiste à analyser les productions des EPE notion par notion, en vue d'identifier les erreurs récurrentes et de concevoir des remédiations adaptées ; ses résultats sont généralement présentés sous forme de tableaux croisés. Le lendemain, 19 mars 2026, nous avons procédé à la révision de ce tableau d'analyse notionnelle. Le tableau 4 en présente la structure, qui a directement inspiré la grille d'analyse des copies utilisée dans la suite de ce mémoire.</w:t>
      </w:r>
    </w:p>
    <w:p>
      <w:pPr>
        <w:keepNext/>
        <w:keepLines/>
        <w:spacing w:after="80" w:before="160" w:line="276"/>
        <w:jc w:val="center"/>
      </w:pPr>
      <w:r>
        <w:rPr>
          <w:rFonts w:ascii="Times New Roman" w:cs="Times New Roman" w:eastAsia="Times New Roman" w:hAnsi="Times New Roman"/>
          <w:b/>
          <w:bCs/>
          <w:sz w:val="22"/>
          <w:szCs w:val="22"/>
        </w:rPr>
        <w:t xml:space="preserve">Tableau 4 : </w:t>
      </w:r>
      <w:r>
        <w:rPr>
          <w:rFonts w:ascii="Times New Roman" w:cs="Times New Roman" w:eastAsia="Times New Roman" w:hAnsi="Times New Roman"/>
          <w:b/>
          <w:bCs/>
          <w:sz w:val="22"/>
          <w:szCs w:val="22"/>
        </w:rPr>
        <w:t xml:space="preserve">Structure du tableau d'analyse notionnelle utilisé dans le champ mathématique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30"/>
      </w:tblGrid>
      <w:tr>
        <w:trPr>
          <w:cantSplit/>
          <w:tblHeader/>
        </w:trPr>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Rubrique</w:t>
            </w:r>
          </w:p>
        </w:tc>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Contenu</w:t>
            </w:r>
          </w:p>
        </w:tc>
        <w:tc>
          <w:tcPr>
            <w:tcW w:type="dxa" w:w="363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Usage pédagogique</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Notion évaluée</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Désignation de la notion (Notion A, B, C…) et de l'exercice correspondant</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Situer la notion dans le programme</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Code de compétence</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Compétence visée par l'exercice (codes A, B, C)</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Relier l'évaluation aux objectifs de formation</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Résultats</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Effectif et pourcentage d'EPE ayant validé ou non la notion</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Mesurer l'ampleur des difficultés</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Erreurs récurrentes</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Description des erreurs relevées dans les copies</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Identifier la nature des difficultés</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Remédiation proposée</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Activités et modalités de reprise de la notion</w:t>
            </w:r>
          </w:p>
        </w:tc>
        <w:tc>
          <w:tcPr>
            <w:tcW w:type="dxa" w:w="363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Planifier les séances de remédiation</w:t>
            </w:r>
          </w:p>
        </w:tc>
      </w:tr>
    </w:tbl>
    <w:p>
      <w:pPr>
        <w:spacing w:after="200" w:before="60" w:line="240"/>
        <w:jc w:val="left"/>
      </w:pPr>
      <w:r>
        <w:rPr>
          <w:rFonts w:ascii="Times New Roman" w:cs="Times New Roman" w:eastAsia="Times New Roman" w:hAnsi="Times New Roman"/>
          <w:i/>
          <w:iCs/>
          <w:sz w:val="20"/>
          <w:szCs w:val="20"/>
        </w:rPr>
        <w:t xml:space="preserve">Source : Champ mathématique, ENFPE de Notsè, 2026.</w:t>
      </w:r>
    </w:p>
    <w:p>
      <w:pPr>
        <w:spacing w:after="120" w:before="0" w:line="360"/>
        <w:ind w:firstLine="709"/>
        <w:jc w:val="both"/>
      </w:pPr>
      <w:r>
        <w:rPr>
          <w:rFonts w:ascii="Times New Roman" w:cs="Times New Roman" w:eastAsia="Times New Roman" w:hAnsi="Times New Roman"/>
        </w:rPr>
        <w:t xml:space="preserve">Cette activité nous a fait découvrir une pratique d'évaluation particulièrement pertinente pour la professionnalisation : au lieu de se limiter à la moyenne générale, l'analyse notionnelle permet de localiser précisément les notions non maîtrisées et d'orienter la remédiation. C'est à l'occasion de cette analyse que les résultats préoccupants de la Notion B, consacrée aux fractions, ont attiré notre attention. Le 25 mars 2026, l'ENFPE a accueilli une délégation du ministère en charge de l'éducation, accompagnée de formateurs et de directeurs d'autres ENFPE du Togo, venue participer aux travaux de délibération de l'examen de fin du semestre 1 de la Promotion 4. Les membres de la délégation ont saisi cette occasion pour prodiguer des conseils aux EPE et aux stagiaires.</w:t>
      </w:r>
    </w:p>
    <w:p>
      <w:pPr>
        <w:spacing w:after="120" w:before="0" w:line="360"/>
        <w:ind w:firstLine="709"/>
        <w:jc w:val="both"/>
      </w:pPr>
      <w:r>
        <w:rPr>
          <w:rFonts w:ascii="Times New Roman" w:cs="Times New Roman" w:eastAsia="Times New Roman" w:hAnsi="Times New Roman"/>
        </w:rPr>
        <w:t xml:space="preserve">Parallèlement, nous avons été pleinement associés à l'évaluation du stage en responsabilité de la Promotion 3. L'administration de l'ENFPE, en collaboration avec les titulaires de tous les champs disciplinaires, nous a remis des directives et des documents d'accompagnement : la grille d'évaluation du rapport de stage en responsabilité, les cahiers des charges des EPE pour le stage, le canevas du rapport de suivi du stage et la grille de suivi de l'EPE en stage. Sur cette base, nous avons assuré le suivi de douze EPE : sept à l'EPP Zongo et cinq à l'EPP Kpota Groupe E, deux écoles situées à Notsè, dans l'IEPP Haho Sud (DRE Plateaux-Est). Ce suivi a comporté l'observation de séances en classe, la conduite d'entretiens-conseils, l'analyse du fonctionnement des écoles d'accueil et la correction des rapports de stage. Nous avons enfin participé au jury de délibération de la soutenance des rapports de stage de la Promotion 3.</w:t>
      </w:r>
    </w:p>
    <w:p>
      <w:pPr>
        <w:pStyle w:val="Heading3"/>
        <w:keepNext/>
        <w:keepLines/>
      </w:pPr>
      <w:r>
        <w:rPr>
          <w:rFonts w:ascii="Times New Roman" w:cs="Times New Roman" w:eastAsia="Times New Roman" w:hAnsi="Times New Roman"/>
        </w:rPr>
        <w:t xml:space="preserve">1.2.5. Activités administratives et institutionnelles</w:t>
      </w:r>
    </w:p>
    <w:p>
      <w:pPr>
        <w:spacing w:after="120" w:before="0" w:line="360"/>
        <w:ind w:firstLine="709"/>
        <w:jc w:val="both"/>
      </w:pPr>
      <w:r>
        <w:rPr>
          <w:rFonts w:ascii="Times New Roman" w:cs="Times New Roman" w:eastAsia="Times New Roman" w:hAnsi="Times New Roman"/>
        </w:rPr>
        <w:t xml:space="preserve">Compte tenu de la durée limitée du stage, l'administration de l'ENFPE, en concertation avec les professeurs titulaires de tous les champs, a mis en place un chronogramme de séances d'échanges et de formation institutionnelle. Ces séances nous ont permis de nous approprier l'organigramme de l'établissement, de comprendre les attributions de chaque service, de participer à l'élaboration du tableau de service général, de maîtriser la gestion des fiches de service pour les cours et de comprendre les critères de répartition des EPE dans les groupes-classes. Les échanges avec les stagiaires des autres champs disciplinaires ont renforcé notre compréhension du fonctionnement global d'un établissement de formation des maîtres.</w:t>
      </w:r>
    </w:p>
    <w:p>
      <w:pPr>
        <w:pStyle w:val="Heading3"/>
        <w:keepNext/>
        <w:keepLines/>
      </w:pPr>
      <w:r>
        <w:rPr>
          <w:rFonts w:ascii="Times New Roman" w:cs="Times New Roman" w:eastAsia="Times New Roman" w:hAnsi="Times New Roman"/>
        </w:rPr>
        <w:t xml:space="preserve">1.2.6. Activités périscolaires</w:t>
      </w:r>
    </w:p>
    <w:p>
      <w:pPr>
        <w:spacing w:after="120" w:before="0" w:line="360"/>
        <w:ind w:firstLine="709"/>
        <w:jc w:val="both"/>
      </w:pPr>
      <w:r>
        <w:rPr>
          <w:rFonts w:ascii="Times New Roman" w:cs="Times New Roman" w:eastAsia="Times New Roman" w:hAnsi="Times New Roman"/>
        </w:rPr>
        <w:t xml:space="preserve">La vie périscolaire a fait l'objet de séances d'échanges inscrites dans le chronogramme institutionnel. Nous y avons analysé la contribution des activités socioculturelles, sportives et associatives à la socialisation professionnelle des futurs enseignants. Notre présence aux côtés des EPE lors de ces activités a contribué à instaurer un climat de confiance propice aux apprentissages, tout en préservant la distance professionnelle requise entre le formateur et les apprenants.</w:t>
      </w:r>
    </w:p>
    <w:p>
      <w:pPr>
        <w:pStyle w:val="Heading3"/>
        <w:keepNext/>
        <w:keepLines/>
      </w:pPr>
      <w:r>
        <w:rPr>
          <w:rFonts w:ascii="Times New Roman" w:cs="Times New Roman" w:eastAsia="Times New Roman" w:hAnsi="Times New Roman"/>
        </w:rPr>
        <w:t xml:space="preserve">1.2.7. Pertinence des activités pour notre professionnalisation</w:t>
      </w:r>
    </w:p>
    <w:p>
      <w:pPr>
        <w:spacing w:after="120" w:before="0" w:line="360"/>
        <w:ind w:firstLine="709"/>
        <w:jc w:val="both"/>
      </w:pPr>
      <w:r>
        <w:rPr>
          <w:rFonts w:ascii="Times New Roman" w:cs="Times New Roman" w:eastAsia="Times New Roman" w:hAnsi="Times New Roman"/>
        </w:rPr>
        <w:t xml:space="preserve">Les activités réalisées ne constituent pas une simple succession de tâches : chacune a contribué au développement d'une composante de la compétence professionnelle du formateur. Le tableau 5 met en évidence cette contribution.</w:t>
      </w:r>
    </w:p>
    <w:p>
      <w:pPr>
        <w:keepNext/>
        <w:keepLines/>
        <w:spacing w:after="80" w:before="160" w:line="276"/>
        <w:jc w:val="center"/>
      </w:pPr>
      <w:r>
        <w:rPr>
          <w:rFonts w:ascii="Times New Roman" w:cs="Times New Roman" w:eastAsia="Times New Roman" w:hAnsi="Times New Roman"/>
          <w:b/>
          <w:bCs/>
          <w:sz w:val="22"/>
          <w:szCs w:val="22"/>
        </w:rPr>
        <w:t xml:space="preserve">Tableau 5 : </w:t>
      </w:r>
      <w:r>
        <w:rPr>
          <w:rFonts w:ascii="Times New Roman" w:cs="Times New Roman" w:eastAsia="Times New Roman" w:hAnsi="Times New Roman"/>
          <w:b/>
          <w:bCs/>
          <w:sz w:val="22"/>
          <w:szCs w:val="22"/>
        </w:rPr>
        <w:t xml:space="preserve">Pertinence des activités du stage pour la professionnalisation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3175"/>
        <w:gridCol w:w="3176"/>
      </w:tblGrid>
      <w:tr>
        <w:trPr>
          <w:cantSplit/>
          <w:tblHeader/>
        </w:trPr>
        <w:tc>
          <w:tcPr>
            <w:tcW w:type="dxa" w:w="272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Activité</w:t>
            </w:r>
          </w:p>
        </w:tc>
        <w:tc>
          <w:tcPr>
            <w:tcW w:type="dxa" w:w="317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Compétence développée</w:t>
            </w:r>
          </w:p>
        </w:tc>
        <w:tc>
          <w:tcPr>
            <w:tcW w:type="dxa" w:w="317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Pertinence pour la professionnalisation</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Observation des cours des titulaires et des collègues</w:t>
            </w:r>
          </w:p>
        </w:tc>
        <w:tc>
          <w:tcPr>
            <w:tcW w:type="dxa" w:w="31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Analyser une pratique à partir de critères explicites</w:t>
            </w:r>
          </w:p>
        </w:tc>
        <w:tc>
          <w:tcPr>
            <w:tcW w:type="dxa" w:w="3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Construire un répertoire de gestes professionnels et un regard réflexif</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Prise en charge des classes GC5-GC6 et GC3</w:t>
            </w:r>
          </w:p>
        </w:tc>
        <w:tc>
          <w:tcPr>
            <w:tcW w:type="dxa" w:w="31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Planifier, conduire et réguler une séance de formation</w:t>
            </w:r>
          </w:p>
        </w:tc>
        <w:tc>
          <w:tcPr>
            <w:tcW w:type="dxa" w:w="3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Exercer la fonction de formateur en situation réelle</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Co-conception des fiches et entretiens-conseils</w:t>
            </w:r>
          </w:p>
        </w:tc>
        <w:tc>
          <w:tcPr>
            <w:tcW w:type="dxa" w:w="31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Concevoir une ingénierie de formation et l'ajuster</w:t>
            </w:r>
          </w:p>
        </w:tc>
        <w:tc>
          <w:tcPr>
            <w:tcW w:type="dxa" w:w="3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Articuler didactique disciplinaire et pédagogie de la formation</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Travail de recherche sur le programme et le canevas de fiche</w:t>
            </w:r>
          </w:p>
        </w:tc>
        <w:tc>
          <w:tcPr>
            <w:tcW w:type="dxa" w:w="31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Analyser des documents curriculaires</w:t>
            </w:r>
          </w:p>
        </w:tc>
        <w:tc>
          <w:tcPr>
            <w:tcW w:type="dxa" w:w="3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Maîtriser les référentiels de la formation et de l'enseignement primaire</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Atelier sur les instruments géométriques</w:t>
            </w:r>
          </w:p>
        </w:tc>
        <w:tc>
          <w:tcPr>
            <w:tcW w:type="dxa" w:w="31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Conduire une activité de didactique instrumentale</w:t>
            </w:r>
          </w:p>
        </w:tc>
        <w:tc>
          <w:tcPr>
            <w:tcW w:type="dxa" w:w="3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Remédier à une lacune identifiée chez les EPE</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Analyse notionnelle et correction des copies</w:t>
            </w:r>
          </w:p>
        </w:tc>
        <w:tc>
          <w:tcPr>
            <w:tcW w:type="dxa" w:w="31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Évaluer de manière diagnostique</w:t>
            </w:r>
          </w:p>
        </w:tc>
        <w:tc>
          <w:tcPr>
            <w:tcW w:type="dxa" w:w="3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Orienter la remédiation à partir des erreurs</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Suivi des EPE à l'EPP Zongo et à l'EPP Kpota Groupe E</w:t>
            </w:r>
          </w:p>
        </w:tc>
        <w:tc>
          <w:tcPr>
            <w:tcW w:type="dxa" w:w="31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Accompagner et conseiller des stagiaires</w:t>
            </w:r>
          </w:p>
        </w:tc>
        <w:tc>
          <w:tcPr>
            <w:tcW w:type="dxa" w:w="3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Assurer le lien entre la formation et le terrain</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Séances institutionnelles et administratives</w:t>
            </w:r>
          </w:p>
        </w:tc>
        <w:tc>
          <w:tcPr>
            <w:tcW w:type="dxa" w:w="317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Comprendre le fonctionnement d'un établissement</w:t>
            </w:r>
          </w:p>
        </w:tc>
        <w:tc>
          <w:tcPr>
            <w:tcW w:type="dxa" w:w="31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Situer l'action du formateur dans l'organisation</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pStyle w:val="Heading2"/>
        <w:keepNext/>
        <w:keepLines/>
      </w:pPr>
      <w:r>
        <w:rPr>
          <w:rFonts w:ascii="Times New Roman" w:cs="Times New Roman" w:eastAsia="Times New Roman" w:hAnsi="Times New Roman"/>
        </w:rPr>
        <w:t xml:space="preserve">1.3. Acquis professionnels</w:t>
      </w:r>
    </w:p>
    <w:p>
      <w:pPr>
        <w:spacing w:after="120" w:before="0" w:line="360"/>
        <w:ind w:firstLine="709"/>
        <w:jc w:val="both"/>
      </w:pPr>
      <w:r>
        <w:rPr>
          <w:rFonts w:ascii="Times New Roman" w:cs="Times New Roman" w:eastAsia="Times New Roman" w:hAnsi="Times New Roman"/>
        </w:rPr>
        <w:t xml:space="preserve">L'ensemble des activités décrites a permis de construire des acquis professionnels que nous présentons de manière ordonnée : acquis pédagogiques, acquis didactiques, acquis en matière d'évaluation et d'accompagnement, puis acquis sociaux et réflexifs.</w:t>
      </w:r>
    </w:p>
    <w:p>
      <w:pPr>
        <w:pStyle w:val="Heading3"/>
        <w:keepNext/>
        <w:keepLines/>
      </w:pPr>
      <w:r>
        <w:rPr>
          <w:rFonts w:ascii="Times New Roman" w:cs="Times New Roman" w:eastAsia="Times New Roman" w:hAnsi="Times New Roman"/>
        </w:rPr>
        <w:t xml:space="preserve">1.3.1. Acquis pédagogiques</w:t>
      </w:r>
    </w:p>
    <w:p>
      <w:pPr>
        <w:spacing w:after="120" w:before="0" w:line="360"/>
        <w:ind w:firstLine="709"/>
        <w:jc w:val="both"/>
      </w:pPr>
      <w:r>
        <w:rPr>
          <w:rFonts w:ascii="Times New Roman" w:cs="Times New Roman" w:eastAsia="Times New Roman" w:hAnsi="Times New Roman"/>
        </w:rPr>
        <w:t xml:space="preserve">Sur le plan de la conduite de classe, nous avons appris à mobiliser les micro-rituels de la séance (prise en main, entretien du matin, éveil mathématique, mise en train) comme leviers pour capter l'attention et instaurer un climat de travail. Les remarques formulées lors de l'entretien-conseil de notre premier cours ont été particulièrement structurantes :</w:t>
      </w:r>
    </w:p>
    <w:p>
      <w:pPr>
        <w:pStyle w:val="ListParagraph"/>
        <w:numPr>
          <w:ilvl w:val="0"/>
          <w:numId w:val="2"/>
        </w:numPr>
        <w:spacing w:after="60" w:line="360"/>
        <w:jc w:val="both"/>
      </w:pPr>
      <w:r>
        <w:rPr>
          <w:rFonts w:ascii="Times New Roman" w:cs="Times New Roman" w:eastAsia="Times New Roman" w:hAnsi="Times New Roman"/>
        </w:rPr>
        <w:t xml:space="preserve">prévoir systématiquement, dans chaque sous-groupe, un gestionnaire de parole et un gestionnaire de temps, et veiller au respect effectif de ces rôles ;</w:t>
      </w:r>
    </w:p>
    <w:p>
      <w:pPr>
        <w:pStyle w:val="ListParagraph"/>
        <w:numPr>
          <w:ilvl w:val="0"/>
          <w:numId w:val="2"/>
        </w:numPr>
        <w:spacing w:after="60" w:line="360"/>
        <w:jc w:val="both"/>
      </w:pPr>
      <w:r>
        <w:rPr>
          <w:rFonts w:ascii="Times New Roman" w:cs="Times New Roman" w:eastAsia="Times New Roman" w:hAnsi="Times New Roman"/>
        </w:rPr>
        <w:t xml:space="preserve">recourir, si nécessaire, à plusieurs prises en main au cours d'une même séance pour réguler l'attention ;</w:t>
      </w:r>
    </w:p>
    <w:p>
      <w:pPr>
        <w:pStyle w:val="ListParagraph"/>
        <w:numPr>
          <w:ilvl w:val="0"/>
          <w:numId w:val="2"/>
        </w:numPr>
        <w:spacing w:after="60" w:line="360"/>
        <w:jc w:val="both"/>
      </w:pPr>
      <w:r>
        <w:rPr>
          <w:rFonts w:ascii="Times New Roman" w:cs="Times New Roman" w:eastAsia="Times New Roman" w:hAnsi="Times New Roman"/>
        </w:rPr>
        <w:t xml:space="preserve">pratiquer la « circulation positive », qui consiste à circuler entre les groupes, à s'intéresser à ce que font les EPE et à formuler à haute voix des remarques utiles à l'ensemble de la classe.</w:t>
      </w:r>
    </w:p>
    <w:p>
      <w:pPr>
        <w:spacing w:after="120" w:before="0" w:line="360"/>
        <w:ind w:firstLine="709"/>
        <w:jc w:val="both"/>
      </w:pPr>
      <w:r>
        <w:rPr>
          <w:rFonts w:ascii="Times New Roman" w:cs="Times New Roman" w:eastAsia="Times New Roman" w:hAnsi="Times New Roman"/>
        </w:rPr>
        <w:t xml:space="preserve">Nous avons en outre appris l'art de la dévolution : déléguer la responsabilité de la recherche aux sous-groupes tout en balisant la tâche par des consignes claires, puis organiser une mise en commun où les erreurs deviennent des objets d'apprentissage.</w:t>
      </w:r>
    </w:p>
    <w:p>
      <w:pPr>
        <w:pStyle w:val="Heading3"/>
        <w:keepNext/>
        <w:keepLines/>
      </w:pPr>
      <w:r>
        <w:rPr>
          <w:rFonts w:ascii="Times New Roman" w:cs="Times New Roman" w:eastAsia="Times New Roman" w:hAnsi="Times New Roman"/>
        </w:rPr>
        <w:t xml:space="preserve">1.3.2. Acquis didactiques</w:t>
      </w:r>
    </w:p>
    <w:p>
      <w:pPr>
        <w:spacing w:after="120" w:before="0" w:line="360"/>
        <w:ind w:firstLine="709"/>
        <w:jc w:val="both"/>
      </w:pPr>
      <w:r>
        <w:rPr>
          <w:rFonts w:ascii="Times New Roman" w:cs="Times New Roman" w:eastAsia="Times New Roman" w:hAnsi="Times New Roman"/>
        </w:rPr>
        <w:t xml:space="preserve">Sur le plan didactique, le stage nous a permis de comprendre que la révision n'est pas un simple remplissage temporel, mais une réactivation fonctionnelle des prérequis nécessaires à la notion du jour. Nous avons également intégré des gestes techniques propres à l'enseignement des mathématiques, comme la consigne d'entourer les restes successifs dans la technique de la division euclidienne afin d'écrire un nombre dans une autre base, ce qui rend visible la structure de l'algorithme. Le renforcement reçu le 23 mars sur le choix du matériel didactique et la clarification du concept de sortie ciblée le 24 mars nous ont appris à concevoir des séances qui partent d'une situation-problème et aboutissent à un savoir clairement identifié. Enfin, la pratique de l'analyse notionnelle nous a fait prendre conscience de l'importance de la double transposition didactique en ENFPE : le formateur doit enseigner un contenu mathématique à des adultes tout en leur apprenant à l'enseigner à leur tour à de jeunes élèves.</w:t>
      </w:r>
    </w:p>
    <w:p>
      <w:pPr>
        <w:pStyle w:val="Heading3"/>
        <w:keepNext/>
        <w:keepLines/>
      </w:pPr>
      <w:r>
        <w:rPr>
          <w:rFonts w:ascii="Times New Roman" w:cs="Times New Roman" w:eastAsia="Times New Roman" w:hAnsi="Times New Roman"/>
        </w:rPr>
        <w:t xml:space="preserve">1.3.3. Acquis en matière d'évaluation et d'accompagnement</w:t>
      </w:r>
    </w:p>
    <w:p>
      <w:pPr>
        <w:spacing w:after="120" w:before="0" w:line="360"/>
        <w:ind w:firstLine="709"/>
        <w:jc w:val="both"/>
      </w:pPr>
      <w:r>
        <w:rPr>
          <w:rFonts w:ascii="Times New Roman" w:cs="Times New Roman" w:eastAsia="Times New Roman" w:hAnsi="Times New Roman"/>
        </w:rPr>
        <w:t xml:space="preserve">La participation à la correction des copies, à l'analyse notionnelle et aux délibérations nous a initiés à une évaluation diagnostique fondée sur l'analyse des erreurs, et non sur la seule attribution de notes. Le suivi des douze EPE à l'EPP Zongo et à l'EPP Kpota Groupe E nous a appris à utiliser des grilles d'observation et de suivi, à conduire des entretiens-conseils centrés sur des objectifs de progrès et à évaluer un rapport de stage à partir de critères explicites.</w:t>
      </w:r>
    </w:p>
    <w:p>
      <w:pPr>
        <w:pStyle w:val="Heading3"/>
        <w:keepNext/>
        <w:keepLines/>
      </w:pPr>
      <w:r>
        <w:rPr>
          <w:rFonts w:ascii="Times New Roman" w:cs="Times New Roman" w:eastAsia="Times New Roman" w:hAnsi="Times New Roman"/>
        </w:rPr>
        <w:t xml:space="preserve">1.3.4. Acquis sociaux, relationnels et réflexifs</w:t>
      </w:r>
    </w:p>
    <w:p>
      <w:pPr>
        <w:spacing w:after="120" w:before="0" w:line="360"/>
        <w:ind w:firstLine="709"/>
        <w:jc w:val="both"/>
      </w:pPr>
      <w:r>
        <w:rPr>
          <w:rFonts w:ascii="Times New Roman" w:cs="Times New Roman" w:eastAsia="Times New Roman" w:hAnsi="Times New Roman"/>
        </w:rPr>
        <w:t xml:space="preserve">Le travail en équipe au sein du groupe des stagiaires et la collaboration avec les professeurs titulaires ont montré que le collectif d'un champ disciplinaire constitue un espace irremplaçable de co-formation et de régulation des pratiques. Les liens établis avec l'École Primaire d'Application et les écoles associées ont souligné l'importance du continuum entre le centre de formation et le terrain. Sur le plan réflexif, l'institutionnalisation des entretiens-conseils après chaque prestation a constitué l'acquis le plus structurant du stage : nous avons appris à accepter l'analyse critique de notre pratique, à identifier avec lucidité nos réussites et nos zones de fragilité, et à concevoir l'autoévaluation comme un outil de développement professionnel continu, conformément à la figure du praticien réflexif décrite par Schön (1983) et Perrenoud (2001).</w:t>
      </w:r>
    </w:p>
    <w:p>
      <w:pPr>
        <w:pStyle w:val="Heading3"/>
        <w:keepNext/>
        <w:keepLines/>
      </w:pPr>
      <w:r>
        <w:rPr>
          <w:rFonts w:ascii="Times New Roman" w:cs="Times New Roman" w:eastAsia="Times New Roman" w:hAnsi="Times New Roman"/>
        </w:rPr>
        <w:t xml:space="preserve">1.3.5. Synthèse des acquis professionnels</w:t>
      </w:r>
    </w:p>
    <w:p>
      <w:pPr>
        <w:spacing w:after="120" w:before="0" w:line="360"/>
        <w:ind w:firstLine="709"/>
        <w:jc w:val="both"/>
      </w:pPr>
      <w:r>
        <w:rPr>
          <w:rFonts w:ascii="Times New Roman" w:cs="Times New Roman" w:eastAsia="Times New Roman" w:hAnsi="Times New Roman"/>
        </w:rPr>
        <w:t xml:space="preserve">Le tableau 6 récapitule les acquis professionnels du stage selon leur nature.</w:t>
      </w:r>
    </w:p>
    <w:p>
      <w:pPr>
        <w:keepNext/>
        <w:keepLines/>
        <w:spacing w:after="80" w:before="160" w:line="276"/>
        <w:jc w:val="center"/>
      </w:pPr>
      <w:r>
        <w:rPr>
          <w:rFonts w:ascii="Times New Roman" w:cs="Times New Roman" w:eastAsia="Times New Roman" w:hAnsi="Times New Roman"/>
          <w:b/>
          <w:bCs/>
          <w:sz w:val="22"/>
          <w:szCs w:val="22"/>
        </w:rPr>
        <w:t xml:space="preserve">Tableau 6 : </w:t>
      </w:r>
      <w:r>
        <w:rPr>
          <w:rFonts w:ascii="Times New Roman" w:cs="Times New Roman" w:eastAsia="Times New Roman" w:hAnsi="Times New Roman"/>
          <w:b/>
          <w:bCs/>
          <w:sz w:val="22"/>
          <w:szCs w:val="22"/>
        </w:rPr>
        <w:t xml:space="preserve">Synthèse des acquis professionnels du stage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4354"/>
        <w:gridCol w:w="2723"/>
      </w:tblGrid>
      <w:tr>
        <w:trPr>
          <w:cantSplit/>
          <w:tblHeader/>
        </w:trPr>
        <w:tc>
          <w:tcPr>
            <w:tcW w:type="dxa" w:w="199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Nature de l'acquis</w:t>
            </w:r>
          </w:p>
        </w:tc>
        <w:tc>
          <w:tcPr>
            <w:tcW w:type="dxa" w:w="435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Acquis construits</w:t>
            </w:r>
          </w:p>
        </w:tc>
        <w:tc>
          <w:tcPr>
            <w:tcW w:type="dxa" w:w="272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Activités d'origine</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Pédagogique</w:t>
            </w:r>
          </w:p>
        </w:tc>
        <w:tc>
          <w:tcPr>
            <w:tcW w:type="dxa" w:w="43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Gestion des rôles dans les groupes ; prises en main multiples ; circulation positive ; dévolution des tâches ; exploitation de l'erreur en plénière</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Premier cours en GC5-GC6 ; prise en charge de la GC3 ; entretiens-conseils</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Didactique</w:t>
            </w:r>
          </w:p>
        </w:tc>
        <w:tc>
          <w:tcPr>
            <w:tcW w:type="dxa" w:w="43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Révision fonctionnelle ; conception de situations-problèmes et de sorties ciblées ; choix du matériel ; gestes techniques (restes entourés dans la division euclidienne) ; conscience de la double transposition</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Co-conception des fiches ; restitution du 24 mars ; observation du 23 mars</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Évaluatif</w:t>
            </w:r>
          </w:p>
        </w:tc>
        <w:tc>
          <w:tcPr>
            <w:tcW w:type="dxa" w:w="43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Analyse notionnelle des résultats ; évaluation diagnostique fondée sur les erreurs ; usage de grilles de suivi et d'évaluation</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Analyse du 18 mars ; correction des copies et des rapports ; jurys</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Accompagnement</w:t>
            </w:r>
          </w:p>
        </w:tc>
        <w:tc>
          <w:tcPr>
            <w:tcW w:type="dxa" w:w="43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Conduite d'entretiens-conseils ciblés ; suivi de stagiaires sur le terrain</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Suivi de 12 EPE à l'EPP Zongo et à l'EPP Kpota Groupe E</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Social et institutionnel</w:t>
            </w:r>
          </w:p>
        </w:tc>
        <w:tc>
          <w:tcPr>
            <w:tcW w:type="dxa" w:w="43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Travail en équipe ; collaboration hiérarchique ; compréhension de l'organisation d'un établissement</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Groupe des stagiaires ; séances institutionnelles</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Réflexif</w:t>
            </w:r>
          </w:p>
        </w:tc>
        <w:tc>
          <w:tcPr>
            <w:tcW w:type="dxa" w:w="43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Acceptation de la critique ; autoévaluation ; identification d'objectifs de progrès</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Entretiens-conseils après chaque prestation</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pStyle w:val="Heading2"/>
        <w:keepNext/>
        <w:keepLines/>
      </w:pPr>
      <w:r>
        <w:rPr>
          <w:rFonts w:ascii="Times New Roman" w:cs="Times New Roman" w:eastAsia="Times New Roman" w:hAnsi="Times New Roman"/>
        </w:rPr>
        <w:t xml:space="preserve">1.4. Difficultés rencontrées et stratégies développées</w:t>
      </w:r>
    </w:p>
    <w:p>
      <w:pPr>
        <w:spacing w:after="120" w:before="0" w:line="360"/>
        <w:ind w:firstLine="709"/>
        <w:jc w:val="both"/>
      </w:pPr>
      <w:r>
        <w:rPr>
          <w:rFonts w:ascii="Times New Roman" w:cs="Times New Roman" w:eastAsia="Times New Roman" w:hAnsi="Times New Roman"/>
        </w:rPr>
        <w:t xml:space="preserve">L'exercice de la fonction de formateur a été jalonné de difficultés d'ordre professionnel. Nous les présentons avec les stratégies que nous avons développées pour y faire face.</w:t>
      </w:r>
    </w:p>
    <w:p>
      <w:pPr>
        <w:pStyle w:val="Heading3"/>
        <w:keepNext/>
        <w:keepLines/>
      </w:pPr>
      <w:r>
        <w:rPr>
          <w:rFonts w:ascii="Times New Roman" w:cs="Times New Roman" w:eastAsia="Times New Roman" w:hAnsi="Times New Roman"/>
        </w:rPr>
        <w:t xml:space="preserve">1.4.1. Difficultés d'ordre didactique et épistémologique</w:t>
      </w:r>
    </w:p>
    <w:p>
      <w:pPr>
        <w:spacing w:after="120" w:before="0" w:line="360"/>
        <w:ind w:firstLine="709"/>
        <w:jc w:val="both"/>
      </w:pPr>
      <w:r>
        <w:rPr>
          <w:rFonts w:ascii="Times New Roman" w:cs="Times New Roman" w:eastAsia="Times New Roman" w:hAnsi="Times New Roman"/>
        </w:rPr>
        <w:t xml:space="preserve">La première difficulté tient à la double transposition didactique propre aux institutions de formation des maîtres. Contrairement à l'enseignant du primaire, qui transforme un savoir à enseigner en savoir enseigné, le formateur d'ENFPE doit transformer le savoir mathématique en un savoir professionnel pour des adultes, tout en leur apprenant à le transposer à leur tour pour des enfants. Cette articulation a généré, dans nos premières fiches, des tensions dans la formulation des objectifs : certains objectifs visaient la maîtrise mathématique des EPE, d'autres leur capacité à enseigner, sans que la relation entre les deux soit explicitée. Pour y remédier, nous avons adopté la pratique consistant à formuler, pour chaque séance, un objectif disciplinaire et un objectif professionnel distincts, et à prévoir un temps d'analyse de la transposition vers la classe du primaire.</w:t>
      </w:r>
    </w:p>
    <w:p>
      <w:pPr>
        <w:spacing w:after="120" w:before="0" w:line="360"/>
        <w:ind w:firstLine="709"/>
        <w:jc w:val="both"/>
      </w:pPr>
      <w:r>
        <w:rPr>
          <w:rFonts w:ascii="Times New Roman" w:cs="Times New Roman" w:eastAsia="Times New Roman" w:hAnsi="Times New Roman"/>
        </w:rPr>
        <w:t xml:space="preserve">Par ailleurs, l'enseignement de notions telles que la structure des nombres entiers, la division euclidienne et le changement de base de numération a révélé chez de nombreux EPE des conceptions erronées solidement ancrées. Ces conceptions ne pouvaient être corrigées par une simple explication. Notre stratégie a consisté à identifier ces erreurs dès la phase de recherche, grâce à la circulation positive, puis à les exploiter lors de la mise en commun comme points de départ d'un débat mathématique.</w:t>
      </w:r>
    </w:p>
    <w:p>
      <w:pPr>
        <w:pStyle w:val="Heading3"/>
        <w:keepNext/>
        <w:keepLines/>
      </w:pPr>
      <w:r>
        <w:rPr>
          <w:rFonts w:ascii="Times New Roman" w:cs="Times New Roman" w:eastAsia="Times New Roman" w:hAnsi="Times New Roman"/>
        </w:rPr>
        <w:t xml:space="preserve">1.4.2. Difficultés liées à la préparation et à la gestion du temps didactique</w:t>
      </w:r>
    </w:p>
    <w:p>
      <w:pPr>
        <w:spacing w:after="120" w:before="0" w:line="360"/>
        <w:ind w:firstLine="709"/>
        <w:jc w:val="both"/>
      </w:pPr>
      <w:r>
        <w:rPr>
          <w:rFonts w:ascii="Times New Roman" w:cs="Times New Roman" w:eastAsia="Times New Roman" w:hAnsi="Times New Roman"/>
        </w:rPr>
        <w:t xml:space="preserve">La gestion du temps a représenté une contrainte forte. Les phases de manipulation et de recherche en sous-groupes débordaient fréquemment sur le temps prévu pour l'institutionnalisation, ce qui obligeait à abréger la synthèse ou l'évaluation formative. Nous avons répondu à cette difficulté par un minutage précis de chaque phase dans la fiche, par la désignation effective de gestionnaires de temps dans les groupes et par la préparation de consignes écrites qui réduisaient le temps d'explication orale. À cette contrainte s'ajoutait la difficulté de disposer de supports didactiques concrets adaptés à des concepts abstraits. Nous y avons fait face en confectionnant nous-même du matériel simple à partir de matériaux locaux (bandes de papier, cartons, capsules).</w:t>
      </w:r>
    </w:p>
    <w:p>
      <w:pPr>
        <w:pStyle w:val="Heading3"/>
        <w:keepNext/>
        <w:keepLines/>
      </w:pPr>
      <w:r>
        <w:rPr>
          <w:rFonts w:ascii="Times New Roman" w:cs="Times New Roman" w:eastAsia="Times New Roman" w:hAnsi="Times New Roman"/>
        </w:rPr>
        <w:t xml:space="preserve">1.4.3. Difficultés liées à la tenue des classes à grands effectifs</w:t>
      </w:r>
    </w:p>
    <w:p>
      <w:pPr>
        <w:spacing w:after="120" w:before="0" w:line="360"/>
        <w:ind w:firstLine="709"/>
        <w:jc w:val="both"/>
      </w:pPr>
      <w:r>
        <w:rPr>
          <w:rFonts w:ascii="Times New Roman" w:cs="Times New Roman" w:eastAsia="Times New Roman" w:hAnsi="Times New Roman"/>
        </w:rPr>
        <w:t xml:space="preserve">La gestion des grands effectifs, notamment lors du regroupement des GC5 et GC6 dans une salle polyvalente, a posé des problèmes d'espace, d'acoustique et de régulation des interactions. La distance entre le formateur et les sous-groupes situés en périphérie favorisait la dispersion. L'hétérogénéité des niveaux au sein d'un même groupe-classe constituait également un défi : il était délicat de maintenir l'intérêt des EPE les plus avancés tout en apportant un étayage suffisant à ceux qui manifestaient des blocages. Pour y faire face, nous avons multiplié les prises en main, organisé des groupes hétérogènes dotés de rôles précis, confié aux EPE avancés une fonction de tuteur et réservé des temps de circulation prioritaires auprès des groupes en difficulté.</w:t>
      </w:r>
    </w:p>
    <w:p>
      <w:pPr>
        <w:pStyle w:val="Heading3"/>
        <w:keepNext/>
        <w:keepLines/>
      </w:pPr>
      <w:r>
        <w:rPr>
          <w:rFonts w:ascii="Times New Roman" w:cs="Times New Roman" w:eastAsia="Times New Roman" w:hAnsi="Times New Roman"/>
        </w:rPr>
        <w:t xml:space="preserve">1.4.4. Difficultés liées au suivi des EPE sur le terrain</w:t>
      </w:r>
    </w:p>
    <w:p>
      <w:pPr>
        <w:spacing w:after="120" w:before="0" w:line="360"/>
        <w:ind w:firstLine="709"/>
        <w:jc w:val="both"/>
      </w:pPr>
      <w:r>
        <w:rPr>
          <w:rFonts w:ascii="Times New Roman" w:cs="Times New Roman" w:eastAsia="Times New Roman" w:hAnsi="Times New Roman"/>
        </w:rPr>
        <w:t xml:space="preserve">Le suivi des douze EPE dans deux écoles distinctes a exigé une organisation rigoureuse des déplacements et des observations. Nous avons constaté que les maîtres d'accueil, souvent chargés de classes pléthoriques, disposaient de peu de temps pour un accompagnement didactique approfondi des stagiaires. Nous avons alors privilégié des entretiens-conseils ciblés sur un ou deux objectifs de progrès et utilisé systématiquement la grille de suivi remise par l'administration afin d'assurer la cohérence de nos observations.</w:t>
      </w:r>
    </w:p>
    <w:p>
      <w:pPr>
        <w:pStyle w:val="Heading3"/>
        <w:keepNext/>
        <w:keepLines/>
      </w:pPr>
      <w:r>
        <w:rPr>
          <w:rFonts w:ascii="Times New Roman" w:cs="Times New Roman" w:eastAsia="Times New Roman" w:hAnsi="Times New Roman"/>
        </w:rPr>
        <w:t xml:space="preserve">1.4.5. Difficultés liées aux activités d'évaluation</w:t>
      </w:r>
    </w:p>
    <w:p>
      <w:pPr>
        <w:spacing w:after="120" w:before="0" w:line="360"/>
        <w:ind w:firstLine="709"/>
        <w:jc w:val="both"/>
      </w:pPr>
      <w:r>
        <w:rPr>
          <w:rFonts w:ascii="Times New Roman" w:cs="Times New Roman" w:eastAsia="Times New Roman" w:hAnsi="Times New Roman"/>
        </w:rPr>
        <w:t xml:space="preserve">L'analyse notionnelle des résultats et la correction des copies ont également présenté des difficultés. L'harmonisation de la correction entre plusieurs correcteurs s'est révélée délicate, notamment pour l'attribution de points partiels lorsque la démarche était correcte mais le résultat erroné. Par ailleurs, l'analyse notion par notion d'un grand nombre de copies exige un temps important, difficilement compatible avec les autres activités du stage. Pour y faire face, nous avons proposé, avec nos collègues, l'élaboration d'un barème détaillé par item et d'une liste des erreurs attendues avant le début de la correction, puis la double correction d'un échantillon de copies pour vérifier la cohérence des notations. Le tableau 7 synthétise l'ensemble des difficultés et des stratégies mises en œuvre.</w:t>
      </w:r>
    </w:p>
    <w:p>
      <w:pPr>
        <w:keepNext/>
        <w:keepLines/>
        <w:spacing w:after="80" w:before="160" w:line="276"/>
        <w:jc w:val="center"/>
      </w:pPr>
      <w:r>
        <w:rPr>
          <w:rFonts w:ascii="Times New Roman" w:cs="Times New Roman" w:eastAsia="Times New Roman" w:hAnsi="Times New Roman"/>
          <w:b/>
          <w:bCs/>
          <w:sz w:val="22"/>
          <w:szCs w:val="22"/>
        </w:rPr>
        <w:t xml:space="preserve">Tableau 7 : </w:t>
      </w:r>
      <w:r>
        <w:rPr>
          <w:rFonts w:ascii="Times New Roman" w:cs="Times New Roman" w:eastAsia="Times New Roman" w:hAnsi="Times New Roman"/>
          <w:b/>
          <w:bCs/>
          <w:sz w:val="22"/>
          <w:szCs w:val="22"/>
        </w:rPr>
        <w:t xml:space="preserve">Synthèse des difficultés rencontrées et des stratégies développées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77"/>
        <w:gridCol w:w="3447"/>
        <w:gridCol w:w="3448"/>
      </w:tblGrid>
      <w:tr>
        <w:trPr>
          <w:cantSplit/>
          <w:tblHeader/>
        </w:trPr>
        <w:tc>
          <w:tcPr>
            <w:tcW w:type="dxa" w:w="217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Domaine</w:t>
            </w:r>
          </w:p>
        </w:tc>
        <w:tc>
          <w:tcPr>
            <w:tcW w:type="dxa" w:w="344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Difficulté rencontrée</w:t>
            </w:r>
          </w:p>
        </w:tc>
        <w:tc>
          <w:tcPr>
            <w:tcW w:type="dxa" w:w="344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Stratégie développée</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Didactique et épistémologique</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Tension entre objectif disciplinaire et objectif professionnel (double transposition)</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Formulation de deux objectifs distincts et d'un temps d'analyse de la transposition</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Didactique et épistémologique</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Conceptions erronées persistantes chez les EPE</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Repérage des erreurs en phase de recherche et exploitation lors de la mise en commun</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Préparation</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Débordement des phases de manipulation sur la synthèse</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Minutage des phases, gestionnaires de temps, consignes écrites</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Préparation</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Insuffisance de matériel didactique</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Confection de matériel à partir de ressources locales</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Tenue de classe</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Grands effectifs et regroupements de classes</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Prises en main multiples, rôles dans les groupes, circulation positive</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Tenue de classe</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Hétérogénéité des niveaux</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Groupes hétérogènes, tutorat entre pairs, étayage ciblé</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Évaluation</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Harmonisation de la correction et temps requis par l'analyse notionnelle</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Barème détaillé par item, liste des erreurs attendues, double correction d'un échantillon</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Suivi sur le terrain</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Accompagnement didactique limité des stagiaires par les maîtres d'accueil</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Entretiens-conseils ciblés et usage systématique de la grille de suivi</w:t>
            </w:r>
          </w:p>
        </w:tc>
      </w:tr>
    </w:tbl>
    <w:p>
      <w:pPr>
        <w:spacing w:after="200" w:before="60" w:line="240"/>
        <w:jc w:val="left"/>
      </w:pPr>
      <w:r>
        <w:rPr>
          <w:rFonts w:ascii="Times New Roman" w:cs="Times New Roman" w:eastAsia="Times New Roman" w:hAnsi="Times New Roman"/>
          <w:i/>
          <w:iCs/>
          <w:sz w:val="20"/>
          <w:szCs w:val="20"/>
        </w:rPr>
        <w:t xml:space="preserve">Source : Notre journal de stage, 2026.</w:t>
      </w:r>
    </w:p>
    <w:p>
      <w:pPr>
        <w:pStyle w:val="Heading2"/>
        <w:keepNext/>
        <w:keepLines/>
      </w:pPr>
      <w:r>
        <w:rPr>
          <w:rFonts w:ascii="Times New Roman" w:cs="Times New Roman" w:eastAsia="Times New Roman" w:hAnsi="Times New Roman"/>
        </w:rPr>
        <w:t xml:space="preserve">1.5. Difficulté retenue comme problème de recherche</w:t>
      </w:r>
    </w:p>
    <w:p>
      <w:pPr>
        <w:spacing w:after="120" w:before="0" w:line="360"/>
        <w:ind w:firstLine="709"/>
        <w:jc w:val="both"/>
      </w:pPr>
      <w:r>
        <w:rPr>
          <w:rFonts w:ascii="Times New Roman" w:cs="Times New Roman" w:eastAsia="Times New Roman" w:hAnsi="Times New Roman"/>
        </w:rPr>
        <w:t xml:space="preserve">Parmi les difficultés rencontrées, l'une a particulièrement retenu notre attention en raison de sa gravité et de ses conséquences sur la qualité de l'enseignement primaire : les difficultés des EPE dans la maîtrise et l'enseignement des fractions. Cette difficulté est apparue à la croisée de plusieurs de nos activités. D'abord, l'analyse notionnelle des résultats aux évaluations sommatives a montré que, pour la Promotion 3, forte de 385 EPE, le taux de validation de l'exercice consacré aux fractions (Notion B, noté sur 1,5 point) ne s'élevait qu'à 64,15 %. Autrement dit, 35,85 % des EPE, soit environ 138 futurs enseignants, n'ont pas atteint le seuil de maîtrise requis pour cette notion pourtant enseignée dès le Cours Élémentaire.</w:t>
      </w:r>
    </w:p>
    <w:p>
      <w:pPr>
        <w:spacing w:after="120" w:before="0" w:line="360"/>
        <w:ind w:firstLine="709"/>
        <w:jc w:val="both"/>
      </w:pPr>
      <w:r>
        <w:rPr>
          <w:rFonts w:ascii="Times New Roman" w:cs="Times New Roman" w:eastAsia="Times New Roman" w:hAnsi="Times New Roman"/>
        </w:rPr>
        <w:t xml:space="preserve">Ensuite, le suivi des stagiaires à l'EPP Zongo et à l'EPP Kpota Groupe E, ainsi que l'examen de leurs fiches de préparation, nous ont permis de constater que l'enseignement des fractions se réduisait souvent à l'énoncé d'une définition suivie d'exercices d'application, sans manipulation ni situation-problème. Enfin, les échanges avec les professeurs titulaires lors des entretiens-conseils ont confirmé que les fractions figurent parmi les notions qui résistent le plus aux efforts de formation. Cette difficulté ne relève pas d'une défaillance individuelle ponctuelle : elle interroge à la fois la maîtrise conceptuelle des EPE, leurs pratiques de préparation des leçons et le dispositif de formation lui-même. C'est pourquoi nous l'avons retenue comme problème central de ce mémoire, sous l'intitulé : « Difficultés des élèves-professeurs dans l'enseignement des fractions au primaire : analyse des pratiques et propositions didactiques à l'ENFPE de Notsè ».</w:t>
      </w:r>
    </w:p>
    <w:p>
      <w:pPr>
        <w:pStyle w:val="Heading2"/>
        <w:keepNext/>
        <w:keepLines/>
      </w:pPr>
      <w:r>
        <w:rPr>
          <w:rFonts w:ascii="Times New Roman" w:cs="Times New Roman" w:eastAsia="Times New Roman" w:hAnsi="Times New Roman"/>
        </w:rPr>
        <w:t xml:space="preserve">Conclusion</w:t>
      </w:r>
    </w:p>
    <w:p>
      <w:pPr>
        <w:spacing w:after="120" w:before="0" w:line="360"/>
        <w:ind w:firstLine="709"/>
        <w:jc w:val="both"/>
      </w:pPr>
      <w:r>
        <w:rPr>
          <w:rFonts w:ascii="Times New Roman" w:cs="Times New Roman" w:eastAsia="Times New Roman" w:hAnsi="Times New Roman"/>
        </w:rPr>
        <w:t xml:space="preserve">Ce premier chapitre a rendu compte de notre stage en responsabilité à l'ENFPE de Notsè. La présentation du cadre d'accueil a mis en évidence une institution riche de son histoire et engagée dans une dynamique de modernisation. La description des activités pédagogiques, didactiques, d'évaluation, administratives et périscolaires a montré la diversité des situations professionnelles vécues, de l'observation des titulaires à la prise en charge de la classe GC3 et au suivi de douze EPE dans les écoles primaires. Ces activités ont permis de construire des acquis pédagogiques, didactiques, évaluatifs et réflexifs qui constituent la preuve de notre professionnalisation. Les difficultés rencontrées, et les stratégies développées pour les surmonter, ont enfin conduit à identifier un problème majeur : les difficultés des EPE dans l'enseignement des fractions. Le chapitre suivant se propose de problématiser cette préoccupation.</w:t>
      </w:r>
    </w:p>
    <w:p>
      <w:pPr>
        <w:pStyle w:val="Heading1"/>
        <w:keepNext/>
        <w:keepLines/>
        <w:pageBreakBefore/>
      </w:pPr>
      <w:r>
        <w:rPr>
          <w:rFonts w:ascii="Times New Roman" w:cs="Times New Roman" w:eastAsia="Times New Roman" w:hAnsi="Times New Roman"/>
        </w:rPr>
        <w:t xml:space="preserve">CHAPITRE 2 : PROBLÈME RELEVÉ AU COURS DU STAGE</w:t>
      </w:r>
    </w:p>
    <w:p>
      <w:pPr>
        <w:pStyle w:val="Heading2"/>
        <w:keepNext/>
        <w:keepLines/>
      </w:pPr>
      <w:r>
        <w:rPr>
          <w:rFonts w:ascii="Times New Roman" w:cs="Times New Roman" w:eastAsia="Times New Roman" w:hAnsi="Times New Roman"/>
        </w:rPr>
        <w:t xml:space="preserve">Introduction</w:t>
      </w:r>
    </w:p>
    <w:p>
      <w:pPr>
        <w:spacing w:after="120" w:before="0" w:line="360"/>
        <w:ind w:firstLine="709"/>
        <w:jc w:val="both"/>
      </w:pPr>
      <w:r>
        <w:rPr>
          <w:rFonts w:ascii="Times New Roman" w:cs="Times New Roman" w:eastAsia="Times New Roman" w:hAnsi="Times New Roman"/>
        </w:rPr>
        <w:t xml:space="preserve">Le premier chapitre a permis d'identifier, parmi les difficultés rencontrées au cours du stage, une préoccupation majeure : les difficultés des élèves-professeurs d'école (EPE) de l'ENFPE de Notsè dans la maîtrise et l'enseignement des fractions. Chiffré par un taux de non-validation de 35,85 % à l'exercice consacré à cette notion, ce constat ne saurait être réduit à un incident conjoncturel. Il interroge les fondements épistémologiques, didactiques et institutionnels de la formation initiale des maîtres. Comment de futurs enseignants, appelés à construire chez les enfants les bases de la pensée mathématique, peuvent-ils transmettre efficacement un savoir dont leur propre maîtrise demeure fragile ?</w:t>
      </w:r>
    </w:p>
    <w:p>
      <w:pPr>
        <w:spacing w:after="120" w:before="0" w:line="360"/>
        <w:ind w:firstLine="709"/>
        <w:jc w:val="both"/>
      </w:pPr>
      <w:r>
        <w:rPr>
          <w:rFonts w:ascii="Times New Roman" w:cs="Times New Roman" w:eastAsia="Times New Roman" w:hAnsi="Times New Roman"/>
        </w:rPr>
        <w:t xml:space="preserve">Répondre à cette question exige de dépasser le constat descriptif pour engager une démarche de problématisation. Le présent chapitre analyse d'abord le contexte et la justification du problème, avant d'en formuler l'énoncé. Il présente ensuite les questions, les hypothèses et les objectifs de recherche, puis la pertinence et la délimitation de l'étude.</w:t>
      </w:r>
    </w:p>
    <w:p>
      <w:pPr>
        <w:pStyle w:val="Heading2"/>
        <w:keepNext/>
        <w:keepLines/>
      </w:pPr>
      <w:r>
        <w:rPr>
          <w:rFonts w:ascii="Times New Roman" w:cs="Times New Roman" w:eastAsia="Times New Roman" w:hAnsi="Times New Roman"/>
        </w:rPr>
        <w:t xml:space="preserve">2.1. Contexte et justification du problème</w:t>
      </w:r>
    </w:p>
    <w:p>
      <w:pPr>
        <w:pStyle w:val="Heading3"/>
        <w:keepNext/>
        <w:keepLines/>
      </w:pPr>
      <w:r>
        <w:rPr>
          <w:rFonts w:ascii="Times New Roman" w:cs="Times New Roman" w:eastAsia="Times New Roman" w:hAnsi="Times New Roman"/>
        </w:rPr>
        <w:t xml:space="preserve">2.1.1. Les apprentissages mathématiques au primaire : un enjeu international et national</w:t>
      </w:r>
    </w:p>
    <w:p>
      <w:pPr>
        <w:spacing w:after="120" w:before="0" w:line="360"/>
        <w:ind w:firstLine="709"/>
        <w:jc w:val="both"/>
      </w:pPr>
      <w:r>
        <w:rPr>
          <w:rFonts w:ascii="Times New Roman" w:cs="Times New Roman" w:eastAsia="Times New Roman" w:hAnsi="Times New Roman"/>
        </w:rPr>
        <w:t xml:space="preserve">La qualité des apprentissages fondamentaux constitue aujourd'hui une préoccupation majeure des systèmes éducatifs d'Afrique subsaharienne. Les évaluations internationales montrent que, malgré les progrès réalisés en matière d'accès à l'école, une proportion importante des élèves n'atteint pas les seuils de compétence attendus en mathématiques. L'évaluation PASEC2019 menée dans quatorze pays d'Afrique subsaharienne francophone révèle ainsi qu'en fin de scolarité primaire, une majorité d'élèves se situent en dessous du seuil suffisant de compétence en mathématiques (PASEC, 2020). Ces résultats rejoignent le constat du Rapport mondial de suivi sur l'Éducation pour tous, selon lequel la qualité de l'enseignement dépend avant tout de la qualité de la formation des enseignants (UNESCO, 2014).</w:t>
      </w:r>
    </w:p>
    <w:p>
      <w:pPr>
        <w:spacing w:after="120" w:before="0" w:line="360"/>
        <w:ind w:firstLine="709"/>
        <w:jc w:val="both"/>
      </w:pPr>
      <w:r>
        <w:rPr>
          <w:rFonts w:ascii="Times New Roman" w:cs="Times New Roman" w:eastAsia="Times New Roman" w:hAnsi="Times New Roman"/>
        </w:rPr>
        <w:t xml:space="preserve">Au Togo, le Plan sectoriel de l'éducation 2020-2030 fait de l'amélioration de la qualité des apprentissages et de la professionnalisation des enseignants des axes prioritaires (République Togolaise, 2020). La restructuration des anciennes Écoles Normales d'Instituteurs en ENFPE, consacrée en 2022, s'inscrit dans cette ambition : recruter les futurs enseignants au niveau du baccalauréat et les former selon des standards professionnels plus exigeants. Dans ce contexte, les mathématiques occupent une place stratégique, non seulement comme discipline fondamentale du curriculum, mais aussi comme outil de structuration de la pensée logique, de modélisation et de résolution de problèmes.</w:t>
      </w:r>
    </w:p>
    <w:p>
      <w:pPr>
        <w:pStyle w:val="Heading3"/>
        <w:keepNext/>
        <w:keepLines/>
      </w:pPr>
      <w:r>
        <w:rPr>
          <w:rFonts w:ascii="Times New Roman" w:cs="Times New Roman" w:eastAsia="Times New Roman" w:hAnsi="Times New Roman"/>
        </w:rPr>
        <w:t xml:space="preserve">2.1.2. La formation initiale en ENFPE et l'exigence de la double transposition didactique</w:t>
      </w:r>
    </w:p>
    <w:p>
      <w:pPr>
        <w:spacing w:after="120" w:before="0" w:line="360"/>
        <w:ind w:firstLine="709"/>
        <w:jc w:val="both"/>
      </w:pPr>
      <w:r>
        <w:rPr>
          <w:rFonts w:ascii="Times New Roman" w:cs="Times New Roman" w:eastAsia="Times New Roman" w:hAnsi="Times New Roman"/>
        </w:rPr>
        <w:t xml:space="preserve">Enseigner les mathématiques dans une ENFPE obéit à une contrainte spécifique. Chevallard (1991) a montré que le passage du savoir savant, produit par la communauté mathématique, au savoir à enseigner, inscrit dans les programmes, puis au savoir effectivement enseigné, constitue une chaîne de transformations qui n'est jamais neutre. Dans les institutions de formation des maîtres, cette chaîne se dédouble : le formateur doit transformer le savoir mathématique en un savoir professionnel adapté à des adultes, lesquels devront à leur tour le retransposer en savoir enseignable à de jeunes élèves (Houdement &amp; Kuzniak, 1996 ; Johsua &amp; Dupin, 1993). La réussite de l'ensemble dépend de la solidité de chaque maillon : si l'EPE n'a pas lui-même construit le sens du concept, la chaîne se rompt dès l'amont.</w:t>
      </w:r>
    </w:p>
    <w:p>
      <w:pPr>
        <w:spacing w:after="120" w:before="0" w:line="360"/>
        <w:ind w:firstLine="709"/>
        <w:jc w:val="both"/>
      </w:pPr>
      <w:r>
        <w:rPr>
          <w:rFonts w:ascii="Times New Roman" w:cs="Times New Roman" w:eastAsia="Times New Roman" w:hAnsi="Times New Roman"/>
        </w:rPr>
        <w:t xml:space="preserve">Or, la formation initiale en ENFPE se déroule dans un temps limité, au cours duquel les EPE doivent à la fois consolider leurs connaissances disciplinaires dans plusieurs champs, s'approprier les principes de la pédagogie et de la didactique, et effectuer des stages pratiques. Le volume horaire consacré à chaque notion mathématique est, de ce fait, réduit. Les formateurs se trouvent pris entre l'exigence de couvrir le programme et la nécessité de combler des lacunes antérieures qui n'ont pas été résolues au cours de la scolarité secondaire des EPE.</w:t>
      </w:r>
    </w:p>
    <w:p>
      <w:pPr>
        <w:pStyle w:val="Heading3"/>
        <w:keepNext/>
        <w:keepLines/>
      </w:pPr>
      <w:r>
        <w:rPr>
          <w:rFonts w:ascii="Times New Roman" w:cs="Times New Roman" w:eastAsia="Times New Roman" w:hAnsi="Times New Roman"/>
        </w:rPr>
        <w:t xml:space="preserve">2.1.3. Les fractions : un objet d'enseignement charnière au primaire</w:t>
      </w:r>
    </w:p>
    <w:p>
      <w:pPr>
        <w:spacing w:after="120" w:before="0" w:line="360"/>
        <w:ind w:firstLine="709"/>
        <w:jc w:val="both"/>
      </w:pPr>
      <w:r>
        <w:rPr>
          <w:rFonts w:ascii="Times New Roman" w:cs="Times New Roman" w:eastAsia="Times New Roman" w:hAnsi="Times New Roman"/>
        </w:rPr>
        <w:t xml:space="preserve">Dans les programmes de l'école primaire, les fractions sont introduites au Cours Élémentaire à partir de situations de partage, puis approfondies au Cours Moyen avec la comparaison, l'équivalence, les opérations et la résolution de problèmes, en lien avec les nombres décimaux et la proportionnalité. Elles constituent une charnière entre l'arithmétique des nombres entiers et les apprentissages ultérieurs de l'algèbre, des pourcentages et des rapports. Les recherches montrent d'ailleurs que la connaissance des fractions en fin de primaire est l'un des meilleurs prédicteurs de la réussite en mathématiques au secondaire (Siegler et al., 2012).</w:t>
      </w:r>
    </w:p>
    <w:p>
      <w:pPr>
        <w:spacing w:after="120" w:before="0" w:line="360"/>
        <w:ind w:firstLine="709"/>
        <w:jc w:val="both"/>
      </w:pPr>
      <w:r>
        <w:rPr>
          <w:rFonts w:ascii="Times New Roman" w:cs="Times New Roman" w:eastAsia="Times New Roman" w:hAnsi="Times New Roman"/>
        </w:rPr>
        <w:t xml:space="preserve">La fraction est pourtant un concept particulièrement complexe. Elle recouvre plusieurs significations, que Kieren (1976) puis Behr et al. (1983) ont distinguées : la relation partie-tout, la mesure, le quotient, l'opérateur et le rapport. Chacune de ces significations mobilise des situations, des représentations et des raisonnements différents. De plus, de nombreuses propriétés des nombres entiers cessent d'être valides pour les fractions : un nombre ne s'écrit plus de manière unique, la multiplication n'agrandit plus toujours, il n'existe plus de « nombre suivant ». Ce bouleversement fait des fractions un terrain privilégié d'obstacles épistémologiques, au sens de Bachelard (1938) et de Brousseau (1983).</w:t>
      </w:r>
    </w:p>
    <w:p>
      <w:pPr>
        <w:pStyle w:val="Heading3"/>
        <w:keepNext/>
        <w:keepLines/>
      </w:pPr>
      <w:r>
        <w:rPr>
          <w:rFonts w:ascii="Times New Roman" w:cs="Times New Roman" w:eastAsia="Times New Roman" w:hAnsi="Times New Roman"/>
        </w:rPr>
        <w:t xml:space="preserve">2.1.4. Les constats effectués au cours du stage à l'ENFPE de Notsè</w:t>
      </w:r>
    </w:p>
    <w:p>
      <w:pPr>
        <w:spacing w:after="120" w:before="0" w:line="360"/>
        <w:ind w:firstLine="709"/>
        <w:jc w:val="both"/>
      </w:pPr>
      <w:r>
        <w:rPr>
          <w:rFonts w:ascii="Times New Roman" w:cs="Times New Roman" w:eastAsia="Times New Roman" w:hAnsi="Times New Roman"/>
        </w:rPr>
        <w:t xml:space="preserve">Notre stage a mis en lumière un paradoxe. Les EPE accueillis à l'ENFPE sont titulaires du baccalauréat, ce qui atteste en principe d'un parcours scolaire validé. Pourtant, confrontés aux modules de didactique des mathématiques et aux exigences de la préparation des leçons, un nombre important d'entre eux manifestent des difficultés qui rappellent celles des élèves du primaire lors de la découverte des fractions.</w:t>
      </w:r>
    </w:p>
    <w:p>
      <w:pPr>
        <w:spacing w:after="120" w:before="0" w:line="360"/>
        <w:ind w:firstLine="709"/>
        <w:jc w:val="both"/>
      </w:pPr>
      <w:r>
        <w:rPr>
          <w:rFonts w:ascii="Times New Roman" w:cs="Times New Roman" w:eastAsia="Times New Roman" w:hAnsi="Times New Roman"/>
        </w:rPr>
        <w:t xml:space="preserve">Les données de l'analyse notionnelle en témoignent. À l'exercice de la Notion B, consacré aux fractions et noté sur 1,5 point, la Promotion 3 (385 EPE) a enregistré un taux de validation de 64,15 %. Le tableau 8 présente la répartition des EPE selon le niveau de maîtrise.</w:t>
      </w:r>
    </w:p>
    <w:p>
      <w:pPr>
        <w:keepNext/>
        <w:keepLines/>
        <w:spacing w:after="80" w:before="160" w:line="276"/>
        <w:jc w:val="center"/>
      </w:pPr>
      <w:r>
        <w:rPr>
          <w:rFonts w:ascii="Times New Roman" w:cs="Times New Roman" w:eastAsia="Times New Roman" w:hAnsi="Times New Roman"/>
          <w:b/>
          <w:bCs/>
          <w:sz w:val="22"/>
          <w:szCs w:val="22"/>
        </w:rPr>
        <w:t xml:space="preserve">Tableau 8 : </w:t>
      </w:r>
      <w:r>
        <w:rPr>
          <w:rFonts w:ascii="Times New Roman" w:cs="Times New Roman" w:eastAsia="Times New Roman" w:hAnsi="Times New Roman"/>
          <w:b/>
          <w:bCs/>
          <w:sz w:val="22"/>
          <w:szCs w:val="22"/>
        </w:rPr>
        <w:t xml:space="preserve">Répartition des EPE de la Promotion 3 selon le niveau de maîtrise de la Notion B (fractions)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8"/>
        <w:gridCol w:w="1451"/>
        <w:gridCol w:w="1451"/>
        <w:gridCol w:w="3812"/>
      </w:tblGrid>
      <w:tr>
        <w:trPr>
          <w:cantSplit/>
          <w:tblHeader/>
        </w:trPr>
        <w:tc>
          <w:tcPr>
            <w:tcW w:type="dxa" w:w="235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Intervalle de notes (/1,5)</w:t>
            </w:r>
          </w:p>
        </w:tc>
        <w:tc>
          <w:tcPr>
            <w:tcW w:type="dxa" w:w="145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Effectif</w:t>
            </w:r>
          </w:p>
        </w:tc>
        <w:tc>
          <w:tcPr>
            <w:tcW w:type="dxa" w:w="145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Pourcentage</w:t>
            </w:r>
          </w:p>
        </w:tc>
        <w:tc>
          <w:tcPr>
            <w:tcW w:type="dxa" w:w="381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Niveau de maîtrise</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[0 – 0,50]</w:t>
            </w:r>
          </w:p>
        </w:tc>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138</w:t>
            </w:r>
          </w:p>
        </w:tc>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35,85 %</w:t>
            </w:r>
          </w:p>
        </w:tc>
        <w:tc>
          <w:tcPr>
            <w:tcW w:type="dxa" w:w="3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Non acquis</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[0,51 – 1,00]</w:t>
            </w:r>
          </w:p>
        </w:tc>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162</w:t>
            </w:r>
          </w:p>
        </w:tc>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42,08 %</w:t>
            </w:r>
          </w:p>
        </w:tc>
        <w:tc>
          <w:tcPr>
            <w:tcW w:type="dxa" w:w="3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 cours d'acquisition</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[1,01 – 1,50]</w:t>
            </w:r>
          </w:p>
        </w:tc>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85</w:t>
            </w:r>
          </w:p>
        </w:tc>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22,07 %</w:t>
            </w:r>
          </w:p>
        </w:tc>
        <w:tc>
          <w:tcPr>
            <w:tcW w:type="dxa" w:w="3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Acquis</w:t>
            </w:r>
          </w:p>
        </w:tc>
      </w:tr>
      <w:tr>
        <w:trPr>
          <w:cantSplit/>
          <w:tblHeader w:val="false"/>
        </w:trPr>
        <w:tc>
          <w:tcPr>
            <w:tcW w:type="dxa" w:w="2358"/>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Total</w:t>
            </w:r>
          </w:p>
        </w:tc>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385</w:t>
            </w:r>
          </w:p>
        </w:tc>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100 %</w:t>
            </w:r>
          </w:p>
        </w:tc>
        <w:tc>
          <w:tcPr>
            <w:tcW w:type="dxa" w:w="38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r>
    </w:tbl>
    <w:p>
      <w:pPr>
        <w:spacing w:after="200" w:before="60" w:line="240"/>
        <w:jc w:val="left"/>
      </w:pPr>
      <w:r>
        <w:rPr>
          <w:rFonts w:ascii="Times New Roman" w:cs="Times New Roman" w:eastAsia="Times New Roman" w:hAnsi="Times New Roman"/>
          <w:i/>
          <w:iCs/>
          <w:sz w:val="20"/>
          <w:szCs w:val="20"/>
        </w:rPr>
        <w:t xml:space="preserve">Source : Tableau d'analyse notionnelle, champ mathématique, ENFPE de Notsè, 2026.</w:t>
      </w:r>
    </w:p>
    <w:p>
      <w:pPr>
        <w:spacing w:after="120" w:before="0" w:line="360"/>
        <w:ind w:firstLine="709"/>
        <w:jc w:val="both"/>
      </w:pPr>
      <w:r>
        <w:rPr>
          <w:rFonts w:ascii="Times New Roman" w:cs="Times New Roman" w:eastAsia="Times New Roman" w:hAnsi="Times New Roman"/>
        </w:rPr>
        <w:t xml:space="preserve">Ces données montrent que plus d'un tiers des futurs enseignants n'ont pas acquis la notion et que près de 42 % se trouvent dans une zone de maîtrise fragile. Seuls 22,07 % des EPE font preuve d'une maîtrise satisfaisante. Nos observations lors des séances en amphithéâtre, des travaux de groupe et du suivi des stagiaires dans les écoles primaires ont permis de préciser la nature de ces difficultés. Elles se traduisent notamment par :</w:t>
      </w:r>
    </w:p>
    <w:p>
      <w:pPr>
        <w:pStyle w:val="ListParagraph"/>
        <w:numPr>
          <w:ilvl w:val="0"/>
          <w:numId w:val="2"/>
        </w:numPr>
        <w:spacing w:after="60" w:line="360"/>
        <w:jc w:val="both"/>
      </w:pPr>
      <w:r>
        <w:rPr>
          <w:rFonts w:ascii="Times New Roman" w:cs="Times New Roman" w:eastAsia="Times New Roman" w:hAnsi="Times New Roman"/>
        </w:rPr>
        <w:t xml:space="preserve">la comparaison de fractions selon l'ordre des nombres entiers, par exemple l'affirmation que 1/7 est supérieur à 1/5 parce que 7 est supérieur à 5 ;</w:t>
      </w:r>
    </w:p>
    <w:p>
      <w:pPr>
        <w:pStyle w:val="ListParagraph"/>
        <w:numPr>
          <w:ilvl w:val="0"/>
          <w:numId w:val="2"/>
        </w:numPr>
        <w:spacing w:after="60" w:line="360"/>
        <w:jc w:val="both"/>
      </w:pPr>
      <w:r>
        <w:rPr>
          <w:rFonts w:ascii="Times New Roman" w:cs="Times New Roman" w:eastAsia="Times New Roman" w:hAnsi="Times New Roman"/>
        </w:rPr>
        <w:t xml:space="preserve">l'application mécanique d'algorithmes mémorisés sans justification, comme l'addition des numérateurs entre eux et des dénominateurs entre eux ;</w:t>
      </w:r>
    </w:p>
    <w:p>
      <w:pPr>
        <w:pStyle w:val="ListParagraph"/>
        <w:numPr>
          <w:ilvl w:val="0"/>
          <w:numId w:val="2"/>
        </w:numPr>
        <w:spacing w:after="60" w:line="360"/>
        <w:jc w:val="both"/>
      </w:pPr>
      <w:r>
        <w:rPr>
          <w:rFonts w:ascii="Times New Roman" w:cs="Times New Roman" w:eastAsia="Times New Roman" w:hAnsi="Times New Roman"/>
        </w:rPr>
        <w:t xml:space="preserve">des difficultés à représenter graphiquement une fraction et à distinguer la partie du tout dans un partage ;</w:t>
      </w:r>
    </w:p>
    <w:p>
      <w:pPr>
        <w:pStyle w:val="ListParagraph"/>
        <w:numPr>
          <w:ilvl w:val="0"/>
          <w:numId w:val="2"/>
        </w:numPr>
        <w:spacing w:after="60" w:line="360"/>
        <w:jc w:val="both"/>
      </w:pPr>
      <w:r>
        <w:rPr>
          <w:rFonts w:ascii="Times New Roman" w:cs="Times New Roman" w:eastAsia="Times New Roman" w:hAnsi="Times New Roman"/>
        </w:rPr>
        <w:t xml:space="preserve">une introduction de la fraction, dans les fiches pédagogiques, par une définition formelle suivie d'exercices d'application, sans situation-problème ni manipulation.</w:t>
      </w:r>
    </w:p>
    <w:p>
      <w:pPr>
        <w:spacing w:after="120" w:before="0" w:line="360"/>
        <w:ind w:firstLine="709"/>
        <w:jc w:val="both"/>
      </w:pPr>
      <w:r>
        <w:rPr>
          <w:rFonts w:ascii="Times New Roman" w:cs="Times New Roman" w:eastAsia="Times New Roman" w:hAnsi="Times New Roman"/>
        </w:rPr>
        <w:t xml:space="preserve">Ces manifestations suggèrent que les difficultés des EPE ne relèvent pas seulement d'un manque de connaissances, mais aussi de conceptions erronées héritées de leur scolarité et de pratiques d'enseignement qu'ils reproduisent. Elles appellent une investigation qui prenne en compte à la fois la dimension conceptuelle, la dimension des pratiques et la dimension institutionnelle.</w:t>
      </w:r>
    </w:p>
    <w:p>
      <w:pPr>
        <w:pStyle w:val="Heading3"/>
        <w:keepNext/>
        <w:keepLines/>
      </w:pPr>
      <w:r>
        <w:rPr>
          <w:rFonts w:ascii="Times New Roman" w:cs="Times New Roman" w:eastAsia="Times New Roman" w:hAnsi="Times New Roman"/>
        </w:rPr>
        <w:t xml:space="preserve">2.1.5. Analyse des causes présumées et des conséquences du problème</w:t>
      </w:r>
    </w:p>
    <w:p>
      <w:pPr>
        <w:spacing w:after="120" w:before="0" w:line="360"/>
        <w:ind w:firstLine="709"/>
        <w:jc w:val="both"/>
      </w:pPr>
      <w:r>
        <w:rPr>
          <w:rFonts w:ascii="Times New Roman" w:cs="Times New Roman" w:eastAsia="Times New Roman" w:hAnsi="Times New Roman"/>
        </w:rPr>
        <w:t xml:space="preserve">Les observations du stage, confrontées aux apports de la littérature, permettent de formuler des causes présumées du problème et d'en mesurer les conséquences. Le tableau 9 les organise sous la forme d'un arbre à problèmes, qui a guidé la formulation des hypothèses.</w:t>
      </w:r>
    </w:p>
    <w:p>
      <w:pPr>
        <w:keepNext/>
        <w:keepLines/>
        <w:spacing w:after="80" w:before="160" w:line="276"/>
        <w:jc w:val="center"/>
      </w:pPr>
      <w:r>
        <w:rPr>
          <w:rFonts w:ascii="Times New Roman" w:cs="Times New Roman" w:eastAsia="Times New Roman" w:hAnsi="Times New Roman"/>
          <w:b/>
          <w:bCs/>
          <w:sz w:val="22"/>
          <w:szCs w:val="22"/>
        </w:rPr>
        <w:t xml:space="preserve">Tableau 9 : </w:t>
      </w:r>
      <w:r>
        <w:rPr>
          <w:rFonts w:ascii="Times New Roman" w:cs="Times New Roman" w:eastAsia="Times New Roman" w:hAnsi="Times New Roman"/>
          <w:b/>
          <w:bCs/>
          <w:sz w:val="22"/>
          <w:szCs w:val="22"/>
        </w:rPr>
        <w:t xml:space="preserve">Arbre à problèmes : causes présumées et conséquences des difficultés des EPE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628"/>
        <w:gridCol w:w="3449"/>
      </w:tblGrid>
      <w:tr>
        <w:trPr>
          <w:cantSplit/>
          <w:tblHeader/>
        </w:trPr>
        <w:tc>
          <w:tcPr>
            <w:tcW w:type="dxa" w:w="199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Niveau</w:t>
            </w:r>
          </w:p>
        </w:tc>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Éléments identifiés</w:t>
            </w:r>
          </w:p>
        </w:tc>
        <w:tc>
          <w:tcPr>
            <w:tcW w:type="dxa" w:w="3449"/>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Source de l'identification</w:t>
            </w:r>
          </w:p>
        </w:tc>
      </w:tr>
      <w:tr>
        <w:trPr>
          <w:cantSplit/>
          <w:tblHeader w:val="false"/>
        </w:trPr>
        <w:tc>
          <w:tcPr>
            <w:tcW w:type="dxa" w:w="1995"/>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Conséquences</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Enseignement des fractions réduit à des règles ; reproduction des erreurs chez les élèves du primaire ; faible acquisition des fractions en fin de primaire ; difficultés ultérieures en proportionnalité, pourcentages et algèbre</w:t>
            </w:r>
          </w:p>
        </w:tc>
        <w:tc>
          <w:tcPr>
            <w:tcW w:type="dxa" w:w="344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Littérature (Siegler et al., 2012 ; PASEC, 2020) ; observations en stage</w:t>
            </w:r>
          </w:p>
        </w:tc>
      </w:tr>
      <w:tr>
        <w:trPr>
          <w:cantSplit/>
          <w:tblHeader w:val="false"/>
        </w:trPr>
        <w:tc>
          <w:tcPr>
            <w:tcW w:type="dxa" w:w="1995"/>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Problème central</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Difficultés des EPE de l'ENFPE de Notsè dans l'enseignement des fractions au primaire (35,85 % de non-validation de la Notion B)</w:t>
            </w:r>
          </w:p>
        </w:tc>
        <w:tc>
          <w:tcPr>
            <w:tcW w:type="dxa" w:w="344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Analyse notionnelle, 2026</w:t>
            </w:r>
          </w:p>
        </w:tc>
      </w:tr>
      <w:tr>
        <w:trPr>
          <w:cantSplit/>
          <w:tblHeader w:val="false"/>
        </w:trPr>
        <w:tc>
          <w:tcPr>
            <w:tcW w:type="dxa" w:w="1995"/>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Causes d'ordre conceptuel</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Conceptions héritées des nombres entiers ; connaissances procédurales sans signification ; faible coordination des registres de représentation</w:t>
            </w:r>
          </w:p>
        </w:tc>
        <w:tc>
          <w:tcPr>
            <w:tcW w:type="dxa" w:w="344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Copies d'examen ; échanges en classe ; littérature (Ni &amp; Zhou, 2005)</w:t>
            </w:r>
          </w:p>
        </w:tc>
      </w:tr>
      <w:tr>
        <w:trPr>
          <w:cantSplit/>
          <w:tblHeader w:val="false"/>
        </w:trPr>
        <w:tc>
          <w:tcPr>
            <w:tcW w:type="dxa" w:w="1995"/>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Causes d'ordre didactique</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Introduction formelle de la notion ; absence de situations-problèmes ; manipulation rare ; institutionnalisation réduite à la dictée d'un résumé</w:t>
            </w:r>
          </w:p>
        </w:tc>
        <w:tc>
          <w:tcPr>
            <w:tcW w:type="dxa" w:w="344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Fiches pédagogiques ; suivi des stagiaires</w:t>
            </w:r>
          </w:p>
        </w:tc>
      </w:tr>
      <w:tr>
        <w:trPr>
          <w:cantSplit/>
          <w:tblHeader w:val="false"/>
        </w:trPr>
        <w:tc>
          <w:tcPr>
            <w:tcW w:type="dxa" w:w="1995"/>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Causes d'ordre institutionnel</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Volume horaire limité ; effectifs élevés et regroupements de classes ; profil d'entrée hétérogène ; accompagnement didactique limité en stage</w:t>
            </w:r>
          </w:p>
        </w:tc>
        <w:tc>
          <w:tcPr>
            <w:tcW w:type="dxa" w:w="344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Entretiens-conseils ; organisation de l'ENFPE</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spacing w:after="120" w:before="0" w:line="360"/>
        <w:ind w:firstLine="709"/>
        <w:jc w:val="both"/>
      </w:pPr>
      <w:r>
        <w:rPr>
          <w:rFonts w:ascii="Times New Roman" w:cs="Times New Roman" w:eastAsia="Times New Roman" w:hAnsi="Times New Roman"/>
        </w:rPr>
        <w:t xml:space="preserve">Cet arbre met en évidence le caractère multifactoriel du problème. Les causes conceptuelles, didactiques et institutionnelles ne s'additionnent pas simplement : elles se renforcent mutuellement. Des EPE dont la maîtrise est fragile se réfugient dans des pratiques formelles, qui leur paraissent plus sûres ; un dispositif de formation contraint par le temps ne leur permet pas de dépasser leurs obstacles ; et les élèves qu'ils forment risquent d'hériter des mêmes difficultés. C'est cette interaction que la recherche se propose d'examiner.</w:t>
      </w:r>
    </w:p>
    <w:p>
      <w:pPr>
        <w:pStyle w:val="Heading3"/>
        <w:keepNext/>
        <w:keepLines/>
      </w:pPr>
      <w:r>
        <w:rPr>
          <w:rFonts w:ascii="Times New Roman" w:cs="Times New Roman" w:eastAsia="Times New Roman" w:hAnsi="Times New Roman"/>
        </w:rPr>
        <w:t xml:space="preserve">2.1.6. Justification du choix du sujet</w:t>
      </w:r>
    </w:p>
    <w:p>
      <w:pPr>
        <w:spacing w:after="120" w:before="0" w:line="360"/>
        <w:ind w:firstLine="709"/>
        <w:jc w:val="both"/>
      </w:pPr>
      <w:r>
        <w:rPr>
          <w:rFonts w:ascii="Times New Roman" w:cs="Times New Roman" w:eastAsia="Times New Roman" w:hAnsi="Times New Roman"/>
        </w:rPr>
        <w:t xml:space="preserve">Le choix de ce sujet se justifie à plusieurs niveaux. Il est d'abord directement issu de notre expérience de stage, conformément aux exigences du mémoire professionnel, qui doit porter sur un problème lié à la pratique enseignante dans la spécialité de formation. Ensuite, il concerne un objet mathématique central de l'école primaire, dont la non-maîtrise par les maîtres compromet durablement les apprentissages des élèves. Enfin, il porte sur une institution en pleine restructuration, dont les responsables sont demandeurs de données probantes pour ajuster leurs dispositifs de formation et de remédiation.</w:t>
      </w:r>
    </w:p>
    <w:p>
      <w:pPr>
        <w:pStyle w:val="Heading2"/>
        <w:keepNext/>
        <w:keepLines/>
      </w:pPr>
      <w:r>
        <w:rPr>
          <w:rFonts w:ascii="Times New Roman" w:cs="Times New Roman" w:eastAsia="Times New Roman" w:hAnsi="Times New Roman"/>
        </w:rPr>
        <w:t xml:space="preserve">2.2. Énoncé du problème</w:t>
      </w:r>
    </w:p>
    <w:p>
      <w:pPr>
        <w:spacing w:after="120" w:before="0" w:line="360"/>
        <w:ind w:firstLine="709"/>
        <w:jc w:val="both"/>
      </w:pPr>
      <w:r>
        <w:rPr>
          <w:rFonts w:ascii="Times New Roman" w:cs="Times New Roman" w:eastAsia="Times New Roman" w:hAnsi="Times New Roman"/>
        </w:rPr>
        <w:t xml:space="preserve">L'analyse du contexte et des constats du stage permet de formuler le problème de la manière suivante :</w:t>
      </w:r>
    </w:p>
    <w:p>
      <w:pPr>
        <w:spacing w:after="140" w:before="40" w:line="300"/>
        <w:ind w:left="850" w:right="567"/>
        <w:jc w:val="both"/>
      </w:pPr>
      <w:r>
        <w:rPr>
          <w:rFonts w:ascii="Times New Roman" w:cs="Times New Roman" w:eastAsia="Times New Roman" w:hAnsi="Times New Roman"/>
          <w:i/>
          <w:iCs/>
          <w:sz w:val="23"/>
          <w:szCs w:val="23"/>
        </w:rPr>
        <w:t xml:space="preserve">Les élèves-professeurs d'école de l'ENFPE de Notsè éprouvent des difficultés persistantes dans l'enseignement des fractions au primaire. Ces difficultés se manifestent par un taux élevé de non-validation de la notion aux évaluations (35,85 %), par des erreurs conceptuelles récurrentes et par des pratiques de préparation des leçons dominées par l'introduction formelle et l'application d'algorithmes, au détriment de la manipulation, des situations-problèmes et de la construction du sens. Elles compromettent la qualité de leur professionnalisation et, à terme, celle des apprentissages mathématiques des élèves du primaire.</w:t>
      </w:r>
    </w:p>
    <w:p>
      <w:pPr>
        <w:spacing w:after="120" w:before="0" w:line="360"/>
        <w:ind w:firstLine="709"/>
        <w:jc w:val="both"/>
      </w:pPr>
      <w:r>
        <w:rPr>
          <w:rFonts w:ascii="Times New Roman" w:cs="Times New Roman" w:eastAsia="Times New Roman" w:hAnsi="Times New Roman"/>
        </w:rPr>
        <w:t xml:space="preserve">Ce problème comporte une double dimension. La première concerne la maîtrise, par l'adulte en formation, du savoir mathématique et professionnel relatif aux fractions. La seconde concerne la capacité de ce même adulte à transposer ce savoir pour de jeunes élèves, c'est-à-dire à concevoir et à conduire des situations d'apprentissage pertinentes.</w:t>
      </w:r>
    </w:p>
    <w:p>
      <w:pPr>
        <w:pStyle w:val="Heading2"/>
        <w:keepNext/>
        <w:keepLines/>
      </w:pPr>
      <w:r>
        <w:rPr>
          <w:rFonts w:ascii="Times New Roman" w:cs="Times New Roman" w:eastAsia="Times New Roman" w:hAnsi="Times New Roman"/>
        </w:rPr>
        <w:t xml:space="preserve">2.3. Questions de recherche</w:t>
      </w:r>
    </w:p>
    <w:p>
      <w:pPr>
        <w:pStyle w:val="Heading3"/>
        <w:keepNext/>
        <w:keepLines/>
      </w:pPr>
      <w:r>
        <w:rPr>
          <w:rFonts w:ascii="Times New Roman" w:cs="Times New Roman" w:eastAsia="Times New Roman" w:hAnsi="Times New Roman"/>
        </w:rPr>
        <w:t xml:space="preserve">2.3.1. Question principale</w:t>
      </w:r>
    </w:p>
    <w:p>
      <w:pPr>
        <w:spacing w:after="120" w:before="0" w:line="360"/>
        <w:ind w:firstLine="709"/>
        <w:jc w:val="both"/>
      </w:pPr>
      <w:r>
        <w:rPr>
          <w:rFonts w:ascii="Times New Roman" w:cs="Times New Roman" w:eastAsia="Times New Roman" w:hAnsi="Times New Roman"/>
        </w:rPr>
        <w:t xml:space="preserve">Pour guider l'investigation, nous formulons la question principale suivante :</w:t>
      </w:r>
    </w:p>
    <w:p>
      <w:pPr>
        <w:spacing w:after="120" w:before="0" w:line="360"/>
        <w:jc w:val="both"/>
      </w:pPr>
      <w:r>
        <w:rPr>
          <w:rFonts w:ascii="Times New Roman" w:cs="Times New Roman" w:eastAsia="Times New Roman" w:hAnsi="Times New Roman"/>
          <w:b/>
          <w:bCs/>
        </w:rPr>
        <w:t xml:space="preserve">QP :</w:t>
      </w:r>
      <w:r>
        <w:rPr>
          <w:rFonts w:ascii="Times New Roman" w:cs="Times New Roman" w:eastAsia="Times New Roman" w:hAnsi="Times New Roman"/>
        </w:rPr>
        <w:t xml:space="preserve"> Quels facteurs expliquent les difficultés des élèves-professeurs de l'ENFPE de Notsè dans l'enseignement des fractions au primaire ?</w:t>
      </w:r>
    </w:p>
    <w:p>
      <w:pPr>
        <w:pStyle w:val="Heading3"/>
        <w:keepNext/>
        <w:keepLines/>
      </w:pPr>
      <w:r>
        <w:rPr>
          <w:rFonts w:ascii="Times New Roman" w:cs="Times New Roman" w:eastAsia="Times New Roman" w:hAnsi="Times New Roman"/>
        </w:rPr>
        <w:t xml:space="preserve">2.3.2. Questions secondaires</w:t>
      </w:r>
    </w:p>
    <w:p>
      <w:pPr>
        <w:spacing w:after="120" w:before="0" w:line="360"/>
        <w:ind w:firstLine="709"/>
        <w:jc w:val="both"/>
      </w:pPr>
      <w:r>
        <w:rPr>
          <w:rFonts w:ascii="Times New Roman" w:cs="Times New Roman" w:eastAsia="Times New Roman" w:hAnsi="Times New Roman"/>
        </w:rPr>
        <w:t xml:space="preserve">Cette question principale se décline en trois questions secondaires :</w:t>
      </w:r>
    </w:p>
    <w:p>
      <w:pPr>
        <w:pStyle w:val="ListParagraph"/>
        <w:numPr>
          <w:ilvl w:val="0"/>
          <w:numId w:val="2"/>
        </w:numPr>
        <w:spacing w:after="60" w:line="360"/>
        <w:jc w:val="both"/>
      </w:pPr>
      <w:r>
        <w:rPr>
          <w:rFonts w:ascii="Times New Roman" w:cs="Times New Roman" w:eastAsia="Times New Roman" w:hAnsi="Times New Roman"/>
          <w:b/>
          <w:bCs/>
        </w:rPr>
        <w:t xml:space="preserve">QS1 :</w:t>
      </w:r>
      <w:r>
        <w:rPr>
          <w:rFonts w:ascii="Times New Roman" w:cs="Times New Roman" w:eastAsia="Times New Roman" w:hAnsi="Times New Roman"/>
        </w:rPr>
        <w:t xml:space="preserve"> Quels obstacles conceptuels et quelles erreurs récurrentes les EPE manifestent-ils face aux différentes facettes de la fraction ?</w:t>
      </w:r>
    </w:p>
    <w:p>
      <w:pPr>
        <w:pStyle w:val="ListParagraph"/>
        <w:numPr>
          <w:ilvl w:val="0"/>
          <w:numId w:val="2"/>
        </w:numPr>
        <w:spacing w:after="60" w:line="360"/>
        <w:jc w:val="both"/>
      </w:pPr>
      <w:r>
        <w:rPr>
          <w:rFonts w:ascii="Times New Roman" w:cs="Times New Roman" w:eastAsia="Times New Roman" w:hAnsi="Times New Roman"/>
          <w:b/>
          <w:bCs/>
        </w:rPr>
        <w:t xml:space="preserve">QS2 :</w:t>
      </w:r>
      <w:r>
        <w:rPr>
          <w:rFonts w:ascii="Times New Roman" w:cs="Times New Roman" w:eastAsia="Times New Roman" w:hAnsi="Times New Roman"/>
        </w:rPr>
        <w:t xml:space="preserve"> Comment les EPE conçoivent-ils l'enseignement des fractions dans leurs fiches pédagogiques, notamment en ce qui concerne les situations de départ, la manipulation et les registres de représentation ?</w:t>
      </w:r>
    </w:p>
    <w:p>
      <w:pPr>
        <w:pStyle w:val="ListParagraph"/>
        <w:numPr>
          <w:ilvl w:val="0"/>
          <w:numId w:val="2"/>
        </w:numPr>
        <w:spacing w:after="60" w:line="360"/>
        <w:jc w:val="both"/>
      </w:pPr>
      <w:r>
        <w:rPr>
          <w:rFonts w:ascii="Times New Roman" w:cs="Times New Roman" w:eastAsia="Times New Roman" w:hAnsi="Times New Roman"/>
          <w:b/>
          <w:bCs/>
        </w:rPr>
        <w:t xml:space="preserve">QS3 :</w:t>
      </w:r>
      <w:r>
        <w:rPr>
          <w:rFonts w:ascii="Times New Roman" w:cs="Times New Roman" w:eastAsia="Times New Roman" w:hAnsi="Times New Roman"/>
        </w:rPr>
        <w:t xml:space="preserve"> Quels facteurs liés au dispositif de formation et d'encadrement de l'ENFPE contribuent à la persistance de ces difficultés ?</w:t>
      </w:r>
    </w:p>
    <w:p>
      <w:pPr>
        <w:pStyle w:val="Heading2"/>
        <w:keepNext/>
        <w:keepLines/>
      </w:pPr>
      <w:r>
        <w:rPr>
          <w:rFonts w:ascii="Times New Roman" w:cs="Times New Roman" w:eastAsia="Times New Roman" w:hAnsi="Times New Roman"/>
        </w:rPr>
        <w:t xml:space="preserve">2.4. Hypothèses de recherche</w:t>
      </w:r>
    </w:p>
    <w:p>
      <w:pPr>
        <w:pStyle w:val="Heading3"/>
        <w:keepNext/>
        <w:keepLines/>
      </w:pPr>
      <w:r>
        <w:rPr>
          <w:rFonts w:ascii="Times New Roman" w:cs="Times New Roman" w:eastAsia="Times New Roman" w:hAnsi="Times New Roman"/>
        </w:rPr>
        <w:t xml:space="preserve">2.4.1. Hypothèse principale</w:t>
      </w:r>
    </w:p>
    <w:p>
      <w:pPr>
        <w:spacing w:after="120" w:before="0" w:line="360"/>
        <w:jc w:val="both"/>
      </w:pPr>
      <w:r>
        <w:rPr>
          <w:rFonts w:ascii="Times New Roman" w:cs="Times New Roman" w:eastAsia="Times New Roman" w:hAnsi="Times New Roman"/>
          <w:b/>
          <w:bCs/>
        </w:rPr>
        <w:t xml:space="preserve">HP :</w:t>
      </w:r>
      <w:r>
        <w:rPr>
          <w:rFonts w:ascii="Times New Roman" w:cs="Times New Roman" w:eastAsia="Times New Roman" w:hAnsi="Times New Roman"/>
        </w:rPr>
        <w:t xml:space="preserve"> Les difficultés des élèves-professeurs de l'ENFPE de Notsè dans l'enseignement des fractions au primaire s'expliquent par une maîtrise conceptuelle fragile et procédurale des fractions, par des pratiques de préparation des leçons peu fondées sur la manipulation et les situations-problèmes, et par des insuffisances du dispositif de formation et d'encadrement.</w:t>
      </w:r>
    </w:p>
    <w:p>
      <w:pPr>
        <w:pStyle w:val="Heading3"/>
        <w:keepNext/>
        <w:keepLines/>
      </w:pPr>
      <w:r>
        <w:rPr>
          <w:rFonts w:ascii="Times New Roman" w:cs="Times New Roman" w:eastAsia="Times New Roman" w:hAnsi="Times New Roman"/>
        </w:rPr>
        <w:t xml:space="preserve">2.4.2. Hypothèses secondaires</w:t>
      </w:r>
    </w:p>
    <w:p>
      <w:pPr>
        <w:pStyle w:val="ListParagraph"/>
        <w:numPr>
          <w:ilvl w:val="0"/>
          <w:numId w:val="2"/>
        </w:numPr>
        <w:spacing w:after="60" w:line="360"/>
        <w:jc w:val="both"/>
      </w:pPr>
      <w:r>
        <w:rPr>
          <w:rFonts w:ascii="Times New Roman" w:cs="Times New Roman" w:eastAsia="Times New Roman" w:hAnsi="Times New Roman"/>
          <w:b/>
          <w:bCs/>
        </w:rPr>
        <w:t xml:space="preserve">HS1 :</w:t>
      </w:r>
      <w:r>
        <w:rPr>
          <w:rFonts w:ascii="Times New Roman" w:cs="Times New Roman" w:eastAsia="Times New Roman" w:hAnsi="Times New Roman"/>
        </w:rPr>
        <w:t xml:space="preserve"> Les EPE présentent des obstacles épistémologiques, notamment l'interférence du modèle des nombres entiers, l'application d'algorithmes dépourvus de sens et la rupture entre registres de représentation, qui se traduisent par des erreurs récurrentes aux évaluations portant sur les fractions.</w:t>
      </w:r>
    </w:p>
    <w:p>
      <w:pPr>
        <w:pStyle w:val="ListParagraph"/>
        <w:numPr>
          <w:ilvl w:val="0"/>
          <w:numId w:val="2"/>
        </w:numPr>
        <w:spacing w:after="60" w:line="360"/>
        <w:jc w:val="both"/>
      </w:pPr>
      <w:r>
        <w:rPr>
          <w:rFonts w:ascii="Times New Roman" w:cs="Times New Roman" w:eastAsia="Times New Roman" w:hAnsi="Times New Roman"/>
          <w:b/>
          <w:bCs/>
        </w:rPr>
        <w:t xml:space="preserve">HS2 :</w:t>
      </w:r>
      <w:r>
        <w:rPr>
          <w:rFonts w:ascii="Times New Roman" w:cs="Times New Roman" w:eastAsia="Times New Roman" w:hAnsi="Times New Roman"/>
        </w:rPr>
        <w:t xml:space="preserve"> Les fiches pédagogiques élaborées par les EPE pour enseigner les fractions privilégient une introduction formelle et font peu de place à la manipulation, aux situations-problèmes et à la coordination des registres de représentation.</w:t>
      </w:r>
    </w:p>
    <w:p>
      <w:pPr>
        <w:pStyle w:val="ListParagraph"/>
        <w:numPr>
          <w:ilvl w:val="0"/>
          <w:numId w:val="2"/>
        </w:numPr>
        <w:spacing w:after="60" w:line="360"/>
        <w:jc w:val="both"/>
      </w:pPr>
      <w:r>
        <w:rPr>
          <w:rFonts w:ascii="Times New Roman" w:cs="Times New Roman" w:eastAsia="Times New Roman" w:hAnsi="Times New Roman"/>
          <w:b/>
          <w:bCs/>
        </w:rPr>
        <w:t xml:space="preserve">HS3 :</w:t>
      </w:r>
      <w:r>
        <w:rPr>
          <w:rFonts w:ascii="Times New Roman" w:cs="Times New Roman" w:eastAsia="Times New Roman" w:hAnsi="Times New Roman"/>
        </w:rPr>
        <w:t xml:space="preserve"> L'insuffisance du volume horaire consacré à la didactique des fractions, le caractère transmissif des pratiques de formation et un encadrement didactique limité sur le terrain contribuent à la persistance des difficultés des EPE.</w:t>
      </w:r>
    </w:p>
    <w:p>
      <w:pPr>
        <w:pStyle w:val="Heading2"/>
        <w:keepNext/>
        <w:keepLines/>
      </w:pPr>
      <w:r>
        <w:rPr>
          <w:rFonts w:ascii="Times New Roman" w:cs="Times New Roman" w:eastAsia="Times New Roman" w:hAnsi="Times New Roman"/>
        </w:rPr>
        <w:t xml:space="preserve">2.5. Objectifs de la recherche</w:t>
      </w:r>
    </w:p>
    <w:p>
      <w:pPr>
        <w:pStyle w:val="Heading3"/>
        <w:keepNext/>
        <w:keepLines/>
      </w:pPr>
      <w:r>
        <w:rPr>
          <w:rFonts w:ascii="Times New Roman" w:cs="Times New Roman" w:eastAsia="Times New Roman" w:hAnsi="Times New Roman"/>
        </w:rPr>
        <w:t xml:space="preserve">2.5.1. Objectif général</w:t>
      </w:r>
    </w:p>
    <w:p>
      <w:pPr>
        <w:spacing w:after="120" w:before="0" w:line="360"/>
        <w:jc w:val="both"/>
      </w:pPr>
      <w:r>
        <w:rPr>
          <w:rFonts w:ascii="Times New Roman" w:cs="Times New Roman" w:eastAsia="Times New Roman" w:hAnsi="Times New Roman"/>
          <w:b/>
          <w:bCs/>
        </w:rPr>
        <w:t xml:space="preserve">OG :</w:t>
      </w:r>
      <w:r>
        <w:rPr>
          <w:rFonts w:ascii="Times New Roman" w:cs="Times New Roman" w:eastAsia="Times New Roman" w:hAnsi="Times New Roman"/>
        </w:rPr>
        <w:t xml:space="preserve"> Analyser les causes des difficultés des élèves-professeurs de l'ENFPE de Notsè dans l'enseignement des fractions au primaire, afin de proposer une démarche didactique et des outils professionnels permettant d'y remédier.</w:t>
      </w:r>
    </w:p>
    <w:p>
      <w:pPr>
        <w:pStyle w:val="Heading3"/>
        <w:keepNext/>
        <w:keepLines/>
      </w:pPr>
      <w:r>
        <w:rPr>
          <w:rFonts w:ascii="Times New Roman" w:cs="Times New Roman" w:eastAsia="Times New Roman" w:hAnsi="Times New Roman"/>
        </w:rPr>
        <w:t xml:space="preserve">2.5.2. Objectifs spécifiques</w:t>
      </w:r>
    </w:p>
    <w:p>
      <w:pPr>
        <w:pStyle w:val="ListParagraph"/>
        <w:numPr>
          <w:ilvl w:val="0"/>
          <w:numId w:val="2"/>
        </w:numPr>
        <w:spacing w:after="60" w:line="360"/>
        <w:jc w:val="both"/>
      </w:pPr>
      <w:r>
        <w:rPr>
          <w:rFonts w:ascii="Times New Roman" w:cs="Times New Roman" w:eastAsia="Times New Roman" w:hAnsi="Times New Roman"/>
          <w:b/>
          <w:bCs/>
        </w:rPr>
        <w:t xml:space="preserve">OS1 :</w:t>
      </w:r>
      <w:r>
        <w:rPr>
          <w:rFonts w:ascii="Times New Roman" w:cs="Times New Roman" w:eastAsia="Times New Roman" w:hAnsi="Times New Roman"/>
        </w:rPr>
        <w:t xml:space="preserve"> Identifier et classer les erreurs et les obstacles conceptuels manifestés par les EPE dans les évaluations portant sur les fractions.</w:t>
      </w:r>
    </w:p>
    <w:p>
      <w:pPr>
        <w:pStyle w:val="ListParagraph"/>
        <w:numPr>
          <w:ilvl w:val="0"/>
          <w:numId w:val="2"/>
        </w:numPr>
        <w:spacing w:after="60" w:line="360"/>
        <w:jc w:val="both"/>
      </w:pPr>
      <w:r>
        <w:rPr>
          <w:rFonts w:ascii="Times New Roman" w:cs="Times New Roman" w:eastAsia="Times New Roman" w:hAnsi="Times New Roman"/>
          <w:b/>
          <w:bCs/>
        </w:rPr>
        <w:t xml:space="preserve">OS2 :</w:t>
      </w:r>
      <w:r>
        <w:rPr>
          <w:rFonts w:ascii="Times New Roman" w:cs="Times New Roman" w:eastAsia="Times New Roman" w:hAnsi="Times New Roman"/>
        </w:rPr>
        <w:t xml:space="preserve"> Analyser la manière dont les EPE conçoivent l'enseignement des fractions dans leurs fiches pédagogiques.</w:t>
      </w:r>
    </w:p>
    <w:p>
      <w:pPr>
        <w:pStyle w:val="ListParagraph"/>
        <w:numPr>
          <w:ilvl w:val="0"/>
          <w:numId w:val="2"/>
        </w:numPr>
        <w:spacing w:after="60" w:line="360"/>
        <w:jc w:val="both"/>
      </w:pPr>
      <w:r>
        <w:rPr>
          <w:rFonts w:ascii="Times New Roman" w:cs="Times New Roman" w:eastAsia="Times New Roman" w:hAnsi="Times New Roman"/>
          <w:b/>
          <w:bCs/>
        </w:rPr>
        <w:t xml:space="preserve">OS3 :</w:t>
      </w:r>
      <w:r>
        <w:rPr>
          <w:rFonts w:ascii="Times New Roman" w:cs="Times New Roman" w:eastAsia="Times New Roman" w:hAnsi="Times New Roman"/>
        </w:rPr>
        <w:t xml:space="preserve"> Déterminer les facteurs liés au dispositif de formation et d'encadrement qui contribuent à ces difficultés.</w:t>
      </w:r>
    </w:p>
    <w:p>
      <w:pPr>
        <w:pStyle w:val="ListParagraph"/>
        <w:numPr>
          <w:ilvl w:val="0"/>
          <w:numId w:val="2"/>
        </w:numPr>
        <w:spacing w:after="60" w:line="360"/>
        <w:jc w:val="both"/>
      </w:pPr>
      <w:r>
        <w:rPr>
          <w:rFonts w:ascii="Times New Roman" w:cs="Times New Roman" w:eastAsia="Times New Roman" w:hAnsi="Times New Roman"/>
          <w:b/>
          <w:bCs/>
        </w:rPr>
        <w:t xml:space="preserve">OS4 :</w:t>
      </w:r>
      <w:r>
        <w:rPr>
          <w:rFonts w:ascii="Times New Roman" w:cs="Times New Roman" w:eastAsia="Times New Roman" w:hAnsi="Times New Roman"/>
        </w:rPr>
        <w:t xml:space="preserve"> Concevoir une démarche didactique et des outils opérationnels pour l'enseignement des fractions au primaire et pour la formation des EPE.</w:t>
      </w:r>
    </w:p>
    <w:p>
      <w:pPr>
        <w:spacing w:after="120" w:before="0" w:line="360"/>
        <w:ind w:firstLine="709"/>
        <w:jc w:val="both"/>
      </w:pPr>
      <w:r>
        <w:rPr>
          <w:rFonts w:ascii="Times New Roman" w:cs="Times New Roman" w:eastAsia="Times New Roman" w:hAnsi="Times New Roman"/>
        </w:rPr>
        <w:t xml:space="preserve">Le tableau 10 présente la cohérence entre les questions, les hypothèses, les objectifs et les outils de collecte.</w:t>
      </w:r>
    </w:p>
    <w:p>
      <w:pPr>
        <w:keepNext/>
        <w:keepLines/>
        <w:spacing w:after="80" w:before="160" w:line="276"/>
        <w:jc w:val="center"/>
      </w:pPr>
      <w:r>
        <w:rPr>
          <w:rFonts w:ascii="Times New Roman" w:cs="Times New Roman" w:eastAsia="Times New Roman" w:hAnsi="Times New Roman"/>
          <w:b/>
          <w:bCs/>
          <w:sz w:val="22"/>
          <w:szCs w:val="22"/>
        </w:rPr>
        <w:t xml:space="preserve">Tableau 10 : </w:t>
      </w:r>
      <w:r>
        <w:rPr>
          <w:rFonts w:ascii="Times New Roman" w:cs="Times New Roman" w:eastAsia="Times New Roman" w:hAnsi="Times New Roman"/>
          <w:b/>
          <w:bCs/>
          <w:sz w:val="22"/>
          <w:szCs w:val="22"/>
        </w:rPr>
        <w:t xml:space="preserve">Matrice de cohérence de la recherche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449"/>
        <w:gridCol w:w="2268"/>
        <w:gridCol w:w="2087"/>
      </w:tblGrid>
      <w:tr>
        <w:trPr>
          <w:cantSplit/>
          <w:tblHeader/>
        </w:trPr>
        <w:tc>
          <w:tcPr>
            <w:tcW w:type="dxa" w:w="226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Questions</w:t>
            </w:r>
          </w:p>
        </w:tc>
        <w:tc>
          <w:tcPr>
            <w:tcW w:type="dxa" w:w="2449"/>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Hypothèses</w:t>
            </w:r>
          </w:p>
        </w:tc>
        <w:tc>
          <w:tcPr>
            <w:tcW w:type="dxa" w:w="226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Objectifs</w:t>
            </w:r>
          </w:p>
        </w:tc>
        <w:tc>
          <w:tcPr>
            <w:tcW w:type="dxa" w:w="208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Outils de collecte</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QS1 : obstacles et erreurs des EPE</w:t>
            </w:r>
          </w:p>
        </w:tc>
        <w:tc>
          <w:tcPr>
            <w:tcW w:type="dxa" w:w="244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HS1 : obstacles épistémologiques et erreurs récurrentes</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OS1 : identifier et classer les erreurs</w:t>
            </w:r>
          </w:p>
        </w:tc>
        <w:tc>
          <w:tcPr>
            <w:tcW w:type="dxa" w:w="2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2 : grille d'analyse des copies (Notion B)</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QS2 : conception de l'enseignement dans les fiches</w:t>
            </w:r>
          </w:p>
        </w:tc>
        <w:tc>
          <w:tcPr>
            <w:tcW w:type="dxa" w:w="244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HS2 : introduction formelle, peu de manipulation et de registres</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OS2 : analyser les fiches pédagogiques</w:t>
            </w:r>
          </w:p>
        </w:tc>
        <w:tc>
          <w:tcPr>
            <w:tcW w:type="dxa" w:w="2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1 : grille d'analyse des fiches</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QS3 : facteurs liés à la formation</w:t>
            </w:r>
          </w:p>
        </w:tc>
        <w:tc>
          <w:tcPr>
            <w:tcW w:type="dxa" w:w="244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HS3 : volume horaire, pratiques transmissives, encadrement limité</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OS3 : déterminer les facteurs institutionnels</w:t>
            </w:r>
          </w:p>
        </w:tc>
        <w:tc>
          <w:tcPr>
            <w:tcW w:type="dxa" w:w="2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3 : guide d'entretien (formateurs et EPE)</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QP : facteurs explicatifs</w:t>
            </w:r>
          </w:p>
        </w:tc>
        <w:tc>
          <w:tcPr>
            <w:tcW w:type="dxa" w:w="244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HP : conjonction des trois ordres de facteurs</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OG et OS4 : analyser et proposer</w:t>
            </w:r>
          </w:p>
        </w:tc>
        <w:tc>
          <w:tcPr>
            <w:tcW w:type="dxa" w:w="20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Triangulation des trois outils ; chapitre 5</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pStyle w:val="Heading2"/>
        <w:keepNext/>
        <w:keepLines/>
      </w:pPr>
      <w:r>
        <w:rPr>
          <w:rFonts w:ascii="Times New Roman" w:cs="Times New Roman" w:eastAsia="Times New Roman" w:hAnsi="Times New Roman"/>
        </w:rPr>
        <w:t xml:space="preserve">2.6. Pertinence de l'étude</w:t>
      </w:r>
    </w:p>
    <w:p>
      <w:pPr>
        <w:pStyle w:val="Heading3"/>
        <w:keepNext/>
        <w:keepLines/>
      </w:pPr>
      <w:r>
        <w:rPr>
          <w:rFonts w:ascii="Times New Roman" w:cs="Times New Roman" w:eastAsia="Times New Roman" w:hAnsi="Times New Roman"/>
        </w:rPr>
        <w:t xml:space="preserve">2.6.1. Pertinence scientifique</w:t>
      </w:r>
    </w:p>
    <w:p>
      <w:pPr>
        <w:spacing w:after="120" w:before="0" w:line="360"/>
        <w:ind w:firstLine="709"/>
        <w:jc w:val="both"/>
      </w:pPr>
      <w:r>
        <w:rPr>
          <w:rFonts w:ascii="Times New Roman" w:cs="Times New Roman" w:eastAsia="Times New Roman" w:hAnsi="Times New Roman"/>
        </w:rPr>
        <w:t xml:space="preserve">Sur le plan scientifique, cette étude contribue à documenter un terrain encore peu exploré de manière empirique : les connaissances et les pratiques relatives aux fractions de futurs enseignants du primaire formés dans une école normale d'Afrique de l'Ouest. Si la littérature internationale est abondante sur les difficultés des élèves (Lortie-Forgues et al., 2015 ; Ni &amp; Zhou, 2005) et, dans une moindre mesure, sur les connaissances des futurs enseignants (Newton, 2008 ; Depaepe et al., 2015), rares sont les travaux qui articulent ces deux dimensions dans le contexte togolais. L'étude éclaire en outre les mécanismes de la double transposition didactique dans une institution de formation des maîtres.</w:t>
      </w:r>
    </w:p>
    <w:p>
      <w:pPr>
        <w:pStyle w:val="Heading3"/>
        <w:keepNext/>
        <w:keepLines/>
      </w:pPr>
      <w:r>
        <w:rPr>
          <w:rFonts w:ascii="Times New Roman" w:cs="Times New Roman" w:eastAsia="Times New Roman" w:hAnsi="Times New Roman"/>
        </w:rPr>
        <w:t xml:space="preserve">2.6.2. Pertinence professionnelle et institutionnelle</w:t>
      </w:r>
    </w:p>
    <w:p>
      <w:pPr>
        <w:spacing w:after="120" w:before="0" w:line="360"/>
        <w:ind w:firstLine="709"/>
        <w:jc w:val="both"/>
      </w:pPr>
      <w:r>
        <w:rPr>
          <w:rFonts w:ascii="Times New Roman" w:cs="Times New Roman" w:eastAsia="Times New Roman" w:hAnsi="Times New Roman"/>
        </w:rPr>
        <w:t xml:space="preserve">Sur le plan professionnel, l'étude fournit aux formateurs de l'ENFPE de Notsè une connaissance précise des erreurs et des pratiques des EPE, qui peut orienter la remédiation. Elle débouche sur une contribution opérationnelle : une démarche didactique, des fiches modèles et un dispositif de formation directement utilisables dans les ateliers de préparation des leçons et lors des stages. Pour l'institution, les résultats constituent un outil d'aide à la décision pour l'organisation de la formation et de l'encadrement.</w:t>
      </w:r>
    </w:p>
    <w:p>
      <w:pPr>
        <w:pStyle w:val="Heading3"/>
        <w:keepNext/>
        <w:keepLines/>
      </w:pPr>
      <w:r>
        <w:rPr>
          <w:rFonts w:ascii="Times New Roman" w:cs="Times New Roman" w:eastAsia="Times New Roman" w:hAnsi="Times New Roman"/>
        </w:rPr>
        <w:t xml:space="preserve">2.6.3. Pertinence sociale</w:t>
      </w:r>
    </w:p>
    <w:p>
      <w:pPr>
        <w:spacing w:after="120" w:before="0" w:line="360"/>
        <w:ind w:firstLine="709"/>
        <w:jc w:val="both"/>
      </w:pPr>
      <w:r>
        <w:rPr>
          <w:rFonts w:ascii="Times New Roman" w:cs="Times New Roman" w:eastAsia="Times New Roman" w:hAnsi="Times New Roman"/>
        </w:rPr>
        <w:t xml:space="preserve">Sur le plan social, l'amélioration de la formation des enseignants aux fractions profite, en dernière instance, aux élèves du primaire, qui bénéficieront d'un enseignement plus porteur de sens. Dans un pays où la réussite en mathématiques conditionne l'accès aux filières scientifiques et techniques, cette contribution s'inscrit dans l'effort national d'amélioration de la qualité de l'éducation.</w:t>
      </w:r>
    </w:p>
    <w:p>
      <w:pPr>
        <w:pStyle w:val="Heading2"/>
        <w:keepNext/>
        <w:keepLines/>
      </w:pPr>
      <w:r>
        <w:rPr>
          <w:rFonts w:ascii="Times New Roman" w:cs="Times New Roman" w:eastAsia="Times New Roman" w:hAnsi="Times New Roman"/>
        </w:rPr>
        <w:t xml:space="preserve">2.7. Délimitation de l'étude</w:t>
      </w:r>
    </w:p>
    <w:p>
      <w:pPr>
        <w:spacing w:after="120" w:before="0" w:line="360"/>
        <w:ind w:firstLine="709"/>
        <w:jc w:val="both"/>
      </w:pPr>
      <w:r>
        <w:rPr>
          <w:rFonts w:ascii="Times New Roman" w:cs="Times New Roman" w:eastAsia="Times New Roman" w:hAnsi="Times New Roman"/>
        </w:rPr>
        <w:t xml:space="preserve">L'étude est délimitée sur trois plans. Sur le plan spatial, elle porte sur l'ENFPE de Notsè et sur les écoles primaires d'accueil des stagiaires de l'IEPP Haho Sud. Sur le plan temporel, elle couvre la période du stage en responsabilité, de mars à mai 2026, et exploite les résultats de l'évaluation sommative de la Promotion 3 (cohorte 2024-2026). Sur le plan thématique, elle se limite à l'enseignement des fractions au primaire, envisagé à travers la maîtrise conceptuelle des EPE, leurs pratiques de préparation des leçons et le dispositif de formation qui les encadre.</w:t>
      </w:r>
    </w:p>
    <w:p>
      <w:pPr>
        <w:pStyle w:val="Heading2"/>
        <w:keepNext/>
        <w:keepLines/>
      </w:pPr>
      <w:r>
        <w:rPr>
          <w:rFonts w:ascii="Times New Roman" w:cs="Times New Roman" w:eastAsia="Times New Roman" w:hAnsi="Times New Roman"/>
        </w:rPr>
        <w:t xml:space="preserve">Conclusion</w:t>
      </w:r>
    </w:p>
    <w:p>
      <w:pPr>
        <w:spacing w:after="120" w:before="0" w:line="360"/>
        <w:ind w:firstLine="709"/>
        <w:jc w:val="both"/>
      </w:pPr>
      <w:r>
        <w:rPr>
          <w:rFonts w:ascii="Times New Roman" w:cs="Times New Roman" w:eastAsia="Times New Roman" w:hAnsi="Times New Roman"/>
        </w:rPr>
        <w:t xml:space="preserve">Ce deuxième chapitre a permis de problématiser la difficulté retenue à l'issue du stage. L'analyse du contexte a montré que les difficultés des EPE face aux fractions s'inscrivent dans un contexte de préoccupation nationale et internationale pour la qualité des apprentissages, qu'elles sont amplifiées par l'exigence de la double transposition didactique et qu'elles portent sur un objet mathématique à la fois charnière et complexe. L'énoncé du problème, les questions, les hypothèses et les objectifs ont été formulés de manière cohérente. Il convient à présent d'inscrire cette problématique dans le champ théorique existant et de préciser la démarche méthodologique adoptée : c'est l'objet du troisième chapitre.</w:t>
      </w:r>
    </w:p>
    <w:p>
      <w:pPr>
        <w:pStyle w:val="Heading1"/>
        <w:keepNext/>
        <w:keepLines/>
        <w:pageBreakBefore/>
      </w:pPr>
      <w:r>
        <w:rPr>
          <w:rFonts w:ascii="Times New Roman" w:cs="Times New Roman" w:eastAsia="Times New Roman" w:hAnsi="Times New Roman"/>
        </w:rPr>
        <w:t xml:space="preserve">CHAPITRE 3 : APPROCHE THÉORIQUE ET MÉTHODOLOGIQUE</w:t>
      </w:r>
    </w:p>
    <w:p>
      <w:pPr>
        <w:pStyle w:val="Heading2"/>
        <w:keepNext/>
        <w:keepLines/>
      </w:pPr>
      <w:r>
        <w:rPr>
          <w:rFonts w:ascii="Times New Roman" w:cs="Times New Roman" w:eastAsia="Times New Roman" w:hAnsi="Times New Roman"/>
        </w:rPr>
        <w:t xml:space="preserve">Introduction</w:t>
      </w:r>
    </w:p>
    <w:p>
      <w:pPr>
        <w:spacing w:after="120" w:before="0" w:line="360"/>
        <w:ind w:firstLine="709"/>
        <w:jc w:val="both"/>
      </w:pPr>
      <w:r>
        <w:rPr>
          <w:rFonts w:ascii="Times New Roman" w:cs="Times New Roman" w:eastAsia="Times New Roman" w:hAnsi="Times New Roman"/>
        </w:rPr>
        <w:t xml:space="preserve">Le deuxième chapitre a circonscrit le problème qui fait l'objet de ce mémoire : les difficultés des élèves-professeurs d'école (EPE) de l'ENFPE de Notsè dans l'enseignement des fractions au primaire. Pour conférer une assise scientifique à l'analyse et permettre la vérification des hypothèses, il est nécessaire d'inscrire cette préoccupation dans le champ des connaissances existantes et de définir avec précision la démarche d'investigation. Ce troisième chapitre présente successivement l'état de la question, à travers une revue de la littérature sur l'enseignement et l'apprentissage des fractions et sur la formation des enseignants, l'approche théorique retenue, la clarification des concepts clés, le système de variables et d'indicateurs, puis la démarche méthodologique adoptée pour la collecte, le traitement et l'analyse des données.</w:t>
      </w:r>
    </w:p>
    <w:p>
      <w:pPr>
        <w:pStyle w:val="Heading2"/>
        <w:keepNext/>
        <w:keepLines/>
      </w:pPr>
      <w:r>
        <w:rPr>
          <w:rFonts w:ascii="Times New Roman" w:cs="Times New Roman" w:eastAsia="Times New Roman" w:hAnsi="Times New Roman"/>
        </w:rPr>
        <w:t xml:space="preserve">3.1. État de la question</w:t>
      </w:r>
    </w:p>
    <w:p>
      <w:pPr>
        <w:pStyle w:val="Heading3"/>
        <w:keepNext/>
        <w:keepLines/>
      </w:pPr>
      <w:r>
        <w:rPr>
          <w:rFonts w:ascii="Times New Roman" w:cs="Times New Roman" w:eastAsia="Times New Roman" w:hAnsi="Times New Roman"/>
        </w:rPr>
        <w:t xml:space="preserve">3.1.1. La fraction, un concept aux multiples facettes</w:t>
      </w:r>
    </w:p>
    <w:p>
      <w:pPr>
        <w:spacing w:after="120" w:before="0" w:line="360"/>
        <w:ind w:firstLine="709"/>
        <w:jc w:val="both"/>
      </w:pPr>
      <w:r>
        <w:rPr>
          <w:rFonts w:ascii="Times New Roman" w:cs="Times New Roman" w:eastAsia="Times New Roman" w:hAnsi="Times New Roman"/>
        </w:rPr>
        <w:t xml:space="preserve">Les recherches en didactique des mathématiques s'accordent à reconnaître que la fraction n'est pas un concept unitaire. Dans un travail fondateur, Kieren (1976) a proposé de considérer le nombre rationnel comme un ensemble de « sous-constructs » interdépendants. Behr et al. (1983) ont prolongé cette analyse en distinguant cinq significations : la relation partie-tout, la mesure, le quotient, l'opérateur et le rapport. Dans la relation partie-tout, 3/4 désigne trois parts d'une unité partagée en quatre parts égales. Comme mesure, 3/4 est un point sur une droite graduée, obtenu en reportant trois fois l'unité fractionnaire 1/4. Comme quotient, 3/4 est le résultat du partage de trois unités entre quatre personnes. Comme opérateur, 3/4 transforme une quantité, par exemple lorsqu'on prend les 3/4 de 2 000 francs. Comme rapport, enfin, 3/4 exprime une comparaison multiplicative entre deux grandeurs.</w:t>
      </w:r>
    </w:p>
    <w:p>
      <w:pPr>
        <w:spacing w:after="120" w:before="0" w:line="360"/>
        <w:ind w:firstLine="709"/>
        <w:jc w:val="both"/>
      </w:pPr>
      <w:r>
        <w:rPr>
          <w:rFonts w:ascii="Times New Roman" w:cs="Times New Roman" w:eastAsia="Times New Roman" w:hAnsi="Times New Roman"/>
        </w:rPr>
        <w:t xml:space="preserve">Charalambous et Pitta-Pantazi (2007) ont validé empiriquement ce modèle et montré que la maîtrise de la relation partie-tout, souvent privilégiée à l'école, ne suffit pas à garantir celle des autres significations, en particulier la mesure et l'opérateur, qui sont pourtant indispensables pour comprendre les opérations sur les fractions. Lamon (2007) souligne pour sa part que la compréhension des nombres rationnels exige un raisonnement proportionnel qui se développe lentement et que l'enseignement réduit trop souvent à des procédures. Dans le contexte francophone, Rouche (1998) a rappelé que les fractions sont nées de besoins de mesure et de partage, et que leur enseignement gagne à retrouver ces situations fondatrices.</w:t>
      </w:r>
    </w:p>
    <w:p>
      <w:pPr>
        <w:spacing w:after="120" w:before="0" w:line="360"/>
        <w:ind w:firstLine="709"/>
        <w:jc w:val="both"/>
      </w:pPr>
      <w:r>
        <w:rPr>
          <w:rFonts w:ascii="Times New Roman" w:cs="Times New Roman" w:eastAsia="Times New Roman" w:hAnsi="Times New Roman"/>
        </w:rPr>
        <w:t xml:space="preserve">Ces travaux montrent qu'enseigner les fractions suppose, de la part de l'enseignant, une connaissance de leurs différentes significations et des situations qui leur donnent sens. Un enseignant qui ne dispose que de la signification partie-tout et de règles de calcul se trouve démuni face aux questions de ses élèves et aux problèmes qui mobilisent d'autres facettes du concept.</w:t>
      </w:r>
    </w:p>
    <w:p>
      <w:pPr>
        <w:pStyle w:val="Heading3"/>
        <w:keepNext/>
        <w:keepLines/>
      </w:pPr>
      <w:r>
        <w:rPr>
          <w:rFonts w:ascii="Times New Roman" w:cs="Times New Roman" w:eastAsia="Times New Roman" w:hAnsi="Times New Roman"/>
        </w:rPr>
        <w:t xml:space="preserve">3.1.2. Les difficultés d'apprentissage des fractions et le biais du nombre entier</w:t>
      </w:r>
    </w:p>
    <w:p>
      <w:pPr>
        <w:spacing w:after="120" w:before="0" w:line="360"/>
        <w:ind w:firstLine="709"/>
        <w:jc w:val="both"/>
      </w:pPr>
      <w:r>
        <w:rPr>
          <w:rFonts w:ascii="Times New Roman" w:cs="Times New Roman" w:eastAsia="Times New Roman" w:hAnsi="Times New Roman"/>
        </w:rPr>
        <w:t xml:space="preserve">La littérature documente de manière abondante les difficultés des élèves face aux fractions. Dès les années 1980, l'étude de Hart (1981) sur la compréhension des mathématiques par des élèves de 11 à 16 ans en Angleterre révélait que les fractions figuraient parmi les notions les moins réussies. Les travaux plus récents ont montré que ces difficultés sont largement structurées par ce que Ni et Zhou (2005) appellent le « biais du nombre entier » : la tendance à appliquer aux fractions des propriétés valables pour les nombres entiers. Ce biais se manifeste lorsque l'élève considère que 1/8 est plus grand que 1/5 parce que 8 est plus grand que 5, ou lorsqu'il additionne séparément les numérateurs et les dénominateurs.</w:t>
      </w:r>
    </w:p>
    <w:p>
      <w:pPr>
        <w:spacing w:after="120" w:before="0" w:line="360"/>
        <w:ind w:firstLine="709"/>
        <w:jc w:val="both"/>
      </w:pPr>
      <w:r>
        <w:rPr>
          <w:rFonts w:ascii="Times New Roman" w:cs="Times New Roman" w:eastAsia="Times New Roman" w:hAnsi="Times New Roman"/>
        </w:rPr>
        <w:t xml:space="preserve">Stafylidou et Vosniadou (2004) ont montré que la compréhension de la valeur numérique des fractions évolue lentement : de nombreux élèves conçoivent d'abord la fraction comme deux nombres entiers indépendants, avant de percevoir la relation entre le numérateur et le dénominateur, puis de concevoir la fraction comme un nombre unique. Vamvakoussi et Vosniadou (2004) ont mis en évidence la difficulté à comprendre la densité de l'ensemble des nombres rationnels, c'est-à-dire l'existence d'une infinité de nombres entre deux fractions. Dans une perspective de développement, Siegler et al. (2011) proposent une théorie intégrée selon laquelle le développement numérique consiste à comprendre que tous les nombres réels, entiers et fractionnaires, ont une grandeur et peuvent être placés sur une droite numérique.</w:t>
      </w:r>
    </w:p>
    <w:p>
      <w:pPr>
        <w:spacing w:after="120" w:before="0" w:line="360"/>
        <w:ind w:firstLine="709"/>
        <w:jc w:val="both"/>
      </w:pPr>
      <w:r>
        <w:rPr>
          <w:rFonts w:ascii="Times New Roman" w:cs="Times New Roman" w:eastAsia="Times New Roman" w:hAnsi="Times New Roman"/>
        </w:rPr>
        <w:t xml:space="preserve">Lortie-Forgues et al. (2015) ont analysé les raisons pour lesquelles l'arithmétique des fractions est si difficile. Ils distinguent des difficultés inhérentes au concept, comme la multiplicité des procédures et leur apparente contradiction (on cherche un dénominateur commun pour additionner mais pas pour multiplier), et des difficultés culturellement contingentes, liées à la manière dont les fractions sont enseignées. Ce dernier point est essentiel pour notre étude : une partie des difficultés peut être réduite par un enseignement qui donne du sens aux procédures. Les travaux sur le rôle des représentations vont dans le même sens : l'usage coordonné de modèles concrets, de schémas et de la droite numérique favorise la compréhension (Cramer et al., 2002 ; Moss &amp; Case, 1999).</w:t>
      </w:r>
    </w:p>
    <w:p>
      <w:pPr>
        <w:pStyle w:val="Heading3"/>
        <w:keepNext/>
        <w:keepLines/>
      </w:pPr>
      <w:r>
        <w:rPr>
          <w:rFonts w:ascii="Times New Roman" w:cs="Times New Roman" w:eastAsia="Times New Roman" w:hAnsi="Times New Roman"/>
        </w:rPr>
        <w:t xml:space="preserve">3.1.3. Les connaissances des enseignants et des futurs enseignants sur les fractions</w:t>
      </w:r>
    </w:p>
    <w:p>
      <w:pPr>
        <w:spacing w:after="120" w:before="0" w:line="360"/>
        <w:ind w:firstLine="709"/>
        <w:jc w:val="both"/>
      </w:pPr>
      <w:r>
        <w:rPr>
          <w:rFonts w:ascii="Times New Roman" w:cs="Times New Roman" w:eastAsia="Times New Roman" w:hAnsi="Times New Roman"/>
        </w:rPr>
        <w:t xml:space="preserve">Depuis les travaux de Shulman (1986), il est admis que la connaissance du contenu à enseigner ne suffit pas à l'enseignant : il lui faut aussi une connaissance pédagogique du contenu, c'est-à-dire la connaissance des représentations les plus utiles, des conceptions des élèves et des manières de rendre un savoir compréhensible. Ball et al. (2008) ont précisé cette notion en identifiant une « connaissance mathématique pour l'enseignement » spécifique, qui comprend par exemple la capacité à analyser une erreur d'élève ou à choisir un modèle adéquat pour illustrer une opération.</w:t>
      </w:r>
    </w:p>
    <w:p>
      <w:pPr>
        <w:spacing w:after="120" w:before="0" w:line="360"/>
        <w:ind w:firstLine="709"/>
        <w:jc w:val="both"/>
      </w:pPr>
      <w:r>
        <w:rPr>
          <w:rFonts w:ascii="Times New Roman" w:cs="Times New Roman" w:eastAsia="Times New Roman" w:hAnsi="Times New Roman"/>
        </w:rPr>
        <w:t xml:space="preserve">Appliquées aux fractions, ces recherches révèlent des fragilités importantes chez les enseignants et les futurs enseignants. Dans une étude comparative devenue classique, Ma (1999) a montré que de nombreux enseignants américains, contrairement à leurs homologues chinois, étaient incapables de proposer une situation représentant correctement la division de deux fractions. Post et al. (1991) avaient déjà observé que des enseignants en exercice présentaient des lacunes importantes dans la compréhension des concepts de nombre rationnel. Newton (2008) a analysé les connaissances de futurs enseignants du primaire et constaté que leur maîtrise procédurale dépassait largement leur compréhension conceptuelle et leur flexibilité. Tirosh (2000) a montré que les futurs enseignants connaissaient mal les conceptions erronées des enfants relatives aux opérations sur les fractions, et que cette connaissance pouvait être développée par une formation ciblée. Depaepe et al. (2015) ont confirmé, auprès de futurs enseignants belges, que les connaissances relatives aux nombres rationnels étaient plus faibles chez les futurs enseignants du primaire que chez ceux du secondaire, et que la connaissance du contenu était étroitement liée à la connaissance pédagogique du contenu.</w:t>
      </w:r>
    </w:p>
    <w:p>
      <w:pPr>
        <w:spacing w:after="120" w:before="0" w:line="360"/>
        <w:ind w:firstLine="709"/>
        <w:jc w:val="both"/>
      </w:pPr>
      <w:r>
        <w:rPr>
          <w:rFonts w:ascii="Times New Roman" w:cs="Times New Roman" w:eastAsia="Times New Roman" w:hAnsi="Times New Roman"/>
        </w:rPr>
        <w:t xml:space="preserve">Ces résultats convergent vers un constat important pour notre étude : la fragilité des connaissances des enseignants sur les fractions n'est pas propre à un pays ; elle constitue un problème général de la formation des maîtres. Ils suggèrent également que la maîtrise conceptuelle et la capacité à enseigner sont liées, ce qui justifie l'étude conjointe des performances des EPE et de leurs fiches pédagogiques.</w:t>
      </w:r>
    </w:p>
    <w:p>
      <w:pPr>
        <w:pStyle w:val="Heading3"/>
        <w:keepNext/>
        <w:keepLines/>
      </w:pPr>
      <w:r>
        <w:rPr>
          <w:rFonts w:ascii="Times New Roman" w:cs="Times New Roman" w:eastAsia="Times New Roman" w:hAnsi="Times New Roman"/>
        </w:rPr>
        <w:t xml:space="preserve">3.1.4. Les pratiques d'enseignement des fractions et les approches efficaces</w:t>
      </w:r>
    </w:p>
    <w:p>
      <w:pPr>
        <w:spacing w:after="120" w:before="0" w:line="360"/>
        <w:ind w:firstLine="709"/>
        <w:jc w:val="both"/>
      </w:pPr>
      <w:r>
        <w:rPr>
          <w:rFonts w:ascii="Times New Roman" w:cs="Times New Roman" w:eastAsia="Times New Roman" w:hAnsi="Times New Roman"/>
        </w:rPr>
        <w:t xml:space="preserve">Les recherches sur les pratiques d'enseignement des fractions mettent en évidence la prédominance, dans de nombreux contextes, d'un enseignement procédural qui privilégie la mémorisation de règles au détriment de la compréhension (Hiebert &amp; Lefevre, 1986 ; Skemp, 1976). Skemp distingue à cet égard la compréhension instrumentale, qui consiste à savoir appliquer une règle sans en connaître les raisons, et la compréhension relationnelle, qui consiste à savoir à la fois ce qu'il faut faire et pourquoi. Un enseignement fondé sur la seule compréhension instrumentale produit des connaissances fragiles, difficiles à transférer à des situations nouvelles.</w:t>
      </w:r>
    </w:p>
    <w:p>
      <w:pPr>
        <w:spacing w:after="120" w:before="0" w:line="360"/>
        <w:ind w:firstLine="709"/>
        <w:jc w:val="both"/>
      </w:pPr>
      <w:r>
        <w:rPr>
          <w:rFonts w:ascii="Times New Roman" w:cs="Times New Roman" w:eastAsia="Times New Roman" w:hAnsi="Times New Roman"/>
        </w:rPr>
        <w:t xml:space="preserve">À l'opposé, plusieurs travaux ont montré l'efficacité d'approches fondées sur les situations et les représentations. Les ingénieries de Brousseau et Brousseau (1987) sur les rationnels et les décimaux, construites autour de situations de mesure de l'épaisseur de feuilles de papier, ont montré qu'il est possible de faire construire par les élèves le sens des fractions à partir de problèmes qu'ils ne peuvent résoudre avec les seuls nombres entiers. Le Rational Number Project a montré que des élèves ayant travaillé avec des modèles manipulables et des traductions entre représentations obtenaient une meilleure compréhension des fractions que ceux ayant suivi des manuels traditionnels (Cramer et al., 2002). Moss et Case (1999) ont obtenu des résultats comparables avec un curriculum fondé sur les pourcentages et la droite graduée. Ces approches rejoignent la progression énactive, iconique puis symbolique proposée par Bruner (1966), selon laquelle l'apprentissage d'un concept gagne à passer de l'action sur des objets à leur représentation imagée, puis à leur expression symbolique.</w:t>
      </w:r>
    </w:p>
    <w:p>
      <w:pPr>
        <w:pStyle w:val="Heading3"/>
        <w:keepNext/>
        <w:keepLines/>
      </w:pPr>
      <w:r>
        <w:rPr>
          <w:rFonts w:ascii="Times New Roman" w:cs="Times New Roman" w:eastAsia="Times New Roman" w:hAnsi="Times New Roman"/>
        </w:rPr>
        <w:t xml:space="preserve">3.1.5. La formation initiale des enseignants en Afrique subsaharienne</w:t>
      </w:r>
    </w:p>
    <w:p>
      <w:pPr>
        <w:spacing w:after="120" w:before="0" w:line="360"/>
        <w:ind w:firstLine="709"/>
        <w:jc w:val="both"/>
      </w:pPr>
      <w:r>
        <w:rPr>
          <w:rFonts w:ascii="Times New Roman" w:cs="Times New Roman" w:eastAsia="Times New Roman" w:hAnsi="Times New Roman"/>
        </w:rPr>
        <w:t xml:space="preserve">Les travaux consacrés à la formation des enseignants en Afrique subsaharienne soulignent la faiblesse du temps consacré à la didactique des disciplines, la prédominance des méthodes transmissives dans les institutions de formation et les insuffisances de l'encadrement des stages pratiques (UNESCO, 2014). Komba et Kira (2013) ont ainsi montré, en Tanzanie, que l'efficacité du stage pratique dans le développement des compétences des futurs enseignants dépendait fortement de la qualité de la supervision, souvent jugée insuffisante. Les résultats du PASEC (2020) confirment par ailleurs la faiblesse des acquis des élèves en mathématiques en fin de primaire dans la plupart des pays francophones de la région, ce qui interroge la formation de leurs enseignants.</w:t>
      </w:r>
    </w:p>
    <w:p>
      <w:pPr>
        <w:spacing w:after="120" w:before="0" w:line="360"/>
        <w:ind w:firstLine="709"/>
        <w:jc w:val="both"/>
      </w:pPr>
      <w:r>
        <w:rPr>
          <w:rFonts w:ascii="Times New Roman" w:cs="Times New Roman" w:eastAsia="Times New Roman" w:hAnsi="Times New Roman"/>
        </w:rPr>
        <w:t xml:space="preserve">Dans le champ francophone, Houdement et Kuzniak (1996) ont analysé les stratégies de formation des maîtres du premier degré en mathématiques. Ils distinguent notamment la stratégie culturelle, centrée sur le savoir mathématique, la stratégie de monstration, qui consiste à montrer des leçons modèles, la stratégie d'homologie, dans laquelle le formateur enseigne aux futurs maîtres comme ceux-ci devraient enseigner à leurs élèves, et la stratégie de transposition, qui fait vivre aux formés des situations puis les analyse explicitement. Ils montrent que l'homologie ne produit d'effets que si elle est accompagnée d'une analyse réflexive des situations vécues. Cette analyse éclaire directement la pratique des leçons de démonstration et d'essai observée à l'ENFPE de Notsè.</w:t>
      </w:r>
    </w:p>
    <w:p>
      <w:pPr>
        <w:spacing w:after="120" w:before="0" w:line="360"/>
        <w:ind w:firstLine="709"/>
        <w:jc w:val="both"/>
      </w:pPr>
      <w:r>
        <w:rPr>
          <w:rFonts w:ascii="Times New Roman" w:cs="Times New Roman" w:eastAsia="Times New Roman" w:hAnsi="Times New Roman"/>
        </w:rPr>
        <w:t xml:space="preserve">Les travaux sur la professionnalisation des enseignants (Altet, 1994 ; Paquay et al., 2001 ; Tardif &amp; Lessard, 1999) soulignent enfin que la compétence professionnelle ne se réduit pas à la somme des savoirs académiques : elle se construit dans l'articulation entre les savoirs, l'expérience et la réflexion sur l'action, ce que Schön (1983) et Perrenoud (2001) désignent par la figure du praticien réflexif.</w:t>
      </w:r>
    </w:p>
    <w:p>
      <w:pPr>
        <w:pStyle w:val="Heading3"/>
        <w:keepNext/>
        <w:keepLines/>
      </w:pPr>
      <w:r>
        <w:rPr>
          <w:rFonts w:ascii="Times New Roman" w:cs="Times New Roman" w:eastAsia="Times New Roman" w:hAnsi="Times New Roman"/>
        </w:rPr>
        <w:t xml:space="preserve">3.1.6. Synthèse et positionnement de notre recherche</w:t>
      </w:r>
    </w:p>
    <w:p>
      <w:pPr>
        <w:spacing w:after="120" w:before="0" w:line="360"/>
        <w:ind w:firstLine="709"/>
        <w:jc w:val="both"/>
      </w:pPr>
      <w:r>
        <w:rPr>
          <w:rFonts w:ascii="Times New Roman" w:cs="Times New Roman" w:eastAsia="Times New Roman" w:hAnsi="Times New Roman"/>
        </w:rPr>
        <w:t xml:space="preserve">Le tableau 11 synthétise les principaux travaux examinés et leur apport à notre étude.</w:t>
      </w:r>
    </w:p>
    <w:p>
      <w:pPr>
        <w:keepNext/>
        <w:keepLines/>
        <w:spacing w:after="80" w:before="160" w:line="276"/>
        <w:jc w:val="center"/>
      </w:pPr>
      <w:r>
        <w:rPr>
          <w:rFonts w:ascii="Times New Roman" w:cs="Times New Roman" w:eastAsia="Times New Roman" w:hAnsi="Times New Roman"/>
          <w:b/>
          <w:bCs/>
          <w:sz w:val="22"/>
          <w:szCs w:val="22"/>
        </w:rPr>
        <w:t xml:space="preserve">Tableau 11 : </w:t>
      </w:r>
      <w:r>
        <w:rPr>
          <w:rFonts w:ascii="Times New Roman" w:cs="Times New Roman" w:eastAsia="Times New Roman" w:hAnsi="Times New Roman"/>
          <w:b/>
          <w:bCs/>
          <w:sz w:val="22"/>
          <w:szCs w:val="22"/>
        </w:rPr>
        <w:t xml:space="preserve">Synthèse des principaux travaux de la revue de la littérature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77"/>
        <w:gridCol w:w="3628"/>
        <w:gridCol w:w="3267"/>
      </w:tblGrid>
      <w:tr>
        <w:trPr>
          <w:cantSplit/>
          <w:tblHeader/>
        </w:trPr>
        <w:tc>
          <w:tcPr>
            <w:tcW w:type="dxa" w:w="217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Auteurs</w:t>
            </w:r>
          </w:p>
        </w:tc>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Principaux résultats</w:t>
            </w:r>
          </w:p>
        </w:tc>
        <w:tc>
          <w:tcPr>
            <w:tcW w:type="dxa" w:w="326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Apport à notre étude</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Kieren (1976) ; Behr et al. (1983)</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La fraction recouvre cinq significations : partie-tout, mesure, quotient, opérateur, rapport</w:t>
            </w:r>
          </w:p>
        </w:tc>
        <w:tc>
          <w:tcPr>
            <w:tcW w:type="dxa" w:w="32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Construction des items et analyse des facettes maîtrisées</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Charalambous et Pitta-Pantazi (2007)</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La maîtrise de la relation partie-tout ne garantit pas celle des autres significations</w:t>
            </w:r>
          </w:p>
        </w:tc>
        <w:tc>
          <w:tcPr>
            <w:tcW w:type="dxa" w:w="32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Interprétation des écarts de réussite entre items</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Ni et Zhou (2005) ; Stafylidou et Vosniadou (2004)</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 biais du nombre entier structure les erreurs sur les fractions</w:t>
            </w:r>
          </w:p>
        </w:tc>
        <w:tc>
          <w:tcPr>
            <w:tcW w:type="dxa" w:w="32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Définition de l'erreur de type T1</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Lortie-Forgues et al. (2015)</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Les difficultés en arithmétique des fractions sont en partie liées à l'enseignement</w:t>
            </w:r>
          </w:p>
        </w:tc>
        <w:tc>
          <w:tcPr>
            <w:tcW w:type="dxa" w:w="32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Justification d'une contribution didactique</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Shulman (1986) ; Ball et al. (2008)</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L'enseignement exige une connaissance pédagogique du contenu</w:t>
            </w:r>
          </w:p>
        </w:tc>
        <w:tc>
          <w:tcPr>
            <w:tcW w:type="dxa" w:w="32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Analyse des fiches pédagogiques</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 (1999) ; Newton (2008) ; Depaepe et al. (2015)</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Les connaissances des (futurs) enseignants sur les fractions sont souvent fragiles et surtout procédurales</w:t>
            </w:r>
          </w:p>
        </w:tc>
        <w:tc>
          <w:tcPr>
            <w:tcW w:type="dxa" w:w="32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Comparaison avec les résultats des EPE</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Brousseau et Brousseau (1987) ; Cramer et al. (2002) ; Moss et Case (1999)</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Les approches fondées sur les situations, les modèles manipulables et la droite graduée sont efficaces</w:t>
            </w:r>
          </w:p>
        </w:tc>
        <w:tc>
          <w:tcPr>
            <w:tcW w:type="dxa" w:w="32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Fondement de la démarche P-M-R-S-R</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Houdement et Kuzniak (1996)</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Les stratégies de formation des maîtres n'ont pas la même efficacité ; l'homologie exige l'analyse réflexive</w:t>
            </w:r>
          </w:p>
        </w:tc>
        <w:tc>
          <w:tcPr>
            <w:tcW w:type="dxa" w:w="32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Interprétation des pratiques de formation ; conception de l'atelier</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UNESCO (2014) ; PASEC (2020) ; Komba et Kira (2013)</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Faiblesse des acquis en mathématiques et de l'encadrement des stages en Afrique subsaharienne</w:t>
            </w:r>
          </w:p>
        </w:tc>
        <w:tc>
          <w:tcPr>
            <w:tcW w:type="dxa" w:w="326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Contextualisation des facteurs institutionnels</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spacing w:after="120" w:before="0" w:line="360"/>
        <w:ind w:firstLine="709"/>
        <w:jc w:val="both"/>
      </w:pPr>
      <w:r>
        <w:rPr>
          <w:rFonts w:ascii="Times New Roman" w:cs="Times New Roman" w:eastAsia="Times New Roman" w:hAnsi="Times New Roman"/>
        </w:rPr>
        <w:t xml:space="preserve">La revue de la littérature permet de dégager trois enseignements. Premièrement, les difficultés d'apprentissage des fractions sont bien documentées et largement structurées par le biais du nombre entier et par un enseignement procédural. Deuxièmement, les connaissances des futurs enseignants sur les fractions sont souvent fragiles, et cette fragilité se répercute sur leur capacité à enseigner. Troisièmement, les approches fondées sur les situations-problèmes, la manipulation et la coordination des représentations se révèlent plus efficaces.</w:t>
      </w:r>
    </w:p>
    <w:p>
      <w:pPr>
        <w:spacing w:after="120" w:before="0" w:line="360"/>
        <w:ind w:firstLine="709"/>
        <w:jc w:val="both"/>
      </w:pPr>
      <w:r>
        <w:rPr>
          <w:rFonts w:ascii="Times New Roman" w:cs="Times New Roman" w:eastAsia="Times New Roman" w:hAnsi="Times New Roman"/>
        </w:rPr>
        <w:t xml:space="preserve">Cependant, la plupart de ces travaux ont été menés dans des pays d'Europe, d'Amérique du Nord ou d'Asie. Rares sont les études qui examinent conjointement les connaissances et les pratiques de préparation des futurs enseignants du primaire en Afrique de l'Ouest francophone, en les rapportant au dispositif de formation. Notre recherche se positionne dans cet espace : elle se propose de documenter, à l'ENFPE de Notsè, la nature des difficultés des EPE face aux fractions, d'en analyser les causes et d'en tirer une contribution professionnelle adaptée au contexte togolais.</w:t>
      </w:r>
    </w:p>
    <w:p>
      <w:pPr>
        <w:pStyle w:val="Heading2"/>
        <w:keepNext/>
        <w:keepLines/>
      </w:pPr>
      <w:r>
        <w:rPr>
          <w:rFonts w:ascii="Times New Roman" w:cs="Times New Roman" w:eastAsia="Times New Roman" w:hAnsi="Times New Roman"/>
        </w:rPr>
        <w:t xml:space="preserve">3.2. Approche théorique</w:t>
      </w:r>
    </w:p>
    <w:p>
      <w:pPr>
        <w:spacing w:after="120" w:before="0" w:line="360"/>
        <w:ind w:firstLine="709"/>
        <w:jc w:val="both"/>
      </w:pPr>
      <w:r>
        <w:rPr>
          <w:rFonts w:ascii="Times New Roman" w:cs="Times New Roman" w:eastAsia="Times New Roman" w:hAnsi="Times New Roman"/>
        </w:rPr>
        <w:t xml:space="preserve">Pour analyser et interpréter les données recueillies, nous mobilisons cinq cadres théoriques complémentaires, qui éclairent respectivement la nature des erreurs, les conditions de l'apprentissage, le rôle des représentations et la chaîne de transformation du savoir en formation.</w:t>
      </w:r>
    </w:p>
    <w:p>
      <w:pPr>
        <w:pStyle w:val="Heading3"/>
        <w:keepNext/>
        <w:keepLines/>
      </w:pPr>
      <w:r>
        <w:rPr>
          <w:rFonts w:ascii="Times New Roman" w:cs="Times New Roman" w:eastAsia="Times New Roman" w:hAnsi="Times New Roman"/>
        </w:rPr>
        <w:t xml:space="preserve">3.2.1. La notion d'obstacle épistémologique</w:t>
      </w:r>
    </w:p>
    <w:p>
      <w:pPr>
        <w:spacing w:after="120" w:before="0" w:line="360"/>
        <w:ind w:firstLine="709"/>
        <w:jc w:val="both"/>
      </w:pPr>
      <w:r>
        <w:rPr>
          <w:rFonts w:ascii="Times New Roman" w:cs="Times New Roman" w:eastAsia="Times New Roman" w:hAnsi="Times New Roman"/>
        </w:rPr>
        <w:t xml:space="preserve">La notion d'obstacle épistémologique a été introduite par Bachelard (1938) dans </w:t>
      </w:r>
      <w:r>
        <w:rPr>
          <w:rFonts w:ascii="Times New Roman" w:cs="Times New Roman" w:eastAsia="Times New Roman" w:hAnsi="Times New Roman"/>
          <w:i/>
          <w:iCs/>
        </w:rPr>
        <w:t xml:space="preserve">La formation de l'esprit scientifique</w:t>
      </w:r>
      <w:r>
        <w:rPr>
          <w:rFonts w:ascii="Times New Roman" w:cs="Times New Roman" w:eastAsia="Times New Roman" w:hAnsi="Times New Roman"/>
        </w:rPr>
        <w:t xml:space="preserve">. Pour Bachelard, « c'est en termes d'obstacles qu'il faut poser le problème de la connaissance scientifique » (p. 13). La connaissance nouvelle ne s'inscrit pas sur un terrain vierge : elle se construit contre des connaissances antérieures qui, ayant fait leurs preuves dans un domaine, résistent à leur remise en cause. Brousseau (1983) a transposé cette notion en didactique des mathématiques. Il définit l'obstacle comme une connaissance, et non comme une absence de connaissance, qui produit des réponses adaptées dans un certain contexte mais des réponses fausses en dehors de ce contexte, et qui résiste aux contradictions. Brousseau distingue les obstacles d'origine ontogénétique, liés au développement de l'enfant, les obstacles d'origine didactique, liés aux choix d'enseignement, et les obstacles d'origine épistémologique, inhérents au savoir lui-même.</w:t>
      </w:r>
    </w:p>
    <w:p>
      <w:pPr>
        <w:spacing w:after="120" w:before="0" w:line="360"/>
        <w:ind w:firstLine="709"/>
        <w:jc w:val="both"/>
      </w:pPr>
      <w:r>
        <w:rPr>
          <w:rFonts w:ascii="Times New Roman" w:cs="Times New Roman" w:eastAsia="Times New Roman" w:hAnsi="Times New Roman"/>
        </w:rPr>
        <w:t xml:space="preserve">Appliquée aux fractions, cette notion permet d'interpréter les erreurs des EPE non comme des étourderies, mais comme les manifestations d'une connaissance ancienne, celle des nombres entiers, qui fait obstacle à la construction du nombre rationnel. Elle implique qu'on ne dépasse pas un obstacle par la répétition de la règle correcte, mais par des situations qui mettent l'ancienne connaissance en défaut et rendent nécessaire son dépassement.</w:t>
      </w:r>
    </w:p>
    <w:p>
      <w:pPr>
        <w:pStyle w:val="Heading3"/>
        <w:keepNext/>
        <w:keepLines/>
      </w:pPr>
      <w:r>
        <w:rPr>
          <w:rFonts w:ascii="Times New Roman" w:cs="Times New Roman" w:eastAsia="Times New Roman" w:hAnsi="Times New Roman"/>
        </w:rPr>
        <w:t xml:space="preserve">3.2.2. La Théorie des Situations Didactiques</w:t>
      </w:r>
    </w:p>
    <w:p>
      <w:pPr>
        <w:spacing w:after="120" w:before="0" w:line="360"/>
        <w:ind w:firstLine="709"/>
        <w:jc w:val="both"/>
      </w:pPr>
      <w:r>
        <w:rPr>
          <w:rFonts w:ascii="Times New Roman" w:cs="Times New Roman" w:eastAsia="Times New Roman" w:hAnsi="Times New Roman"/>
        </w:rPr>
        <w:t xml:space="preserve">La Théorie des Situations Didactiques (TSD), développée par Brousseau (1998), postule que l'élève apprend en s'adaptant à un milieu qui présente des contradictions, des difficultés et des déséquilibres. Le savoir y apparaît comme la réponse optimale à une situation. Brousseau distingue les situations d'action, où l'élève agit sur le milieu et reçoit des rétroactions, les situations de formulation, où il doit communiquer une stratégie, les situations de validation, où il doit prouver ce qu'il affirme, et les situations d'institutionnalisation, où l'enseignant donne au savoir construit son statut de savoir culturel de référence. La dévolution désigne l'acte par lequel l'enseignant fait accepter à l'élève la responsabilité de la résolution du problème. Le contrat didactique, enfin, désigne l'ensemble des attentes réciproques, souvent implicites, entre l'enseignant et l'élève à propos du savoir.</w:t>
      </w:r>
    </w:p>
    <w:p>
      <w:pPr>
        <w:spacing w:after="120" w:before="0" w:line="360"/>
        <w:ind w:firstLine="709"/>
        <w:jc w:val="both"/>
      </w:pPr>
      <w:r>
        <w:rPr>
          <w:rFonts w:ascii="Times New Roman" w:cs="Times New Roman" w:eastAsia="Times New Roman" w:hAnsi="Times New Roman"/>
        </w:rPr>
        <w:t xml:space="preserve">La TSD fournit à notre étude une grille d'analyse des fiches pédagogiques : une fiche qui commence par l'énoncé d'une définition court-circuite les phases d'action, de formulation et de validation, et réduit l'apprentissage à l'institutionnalisation d'un savoir qui n'a pas été construit. Elle fonde également la contribution professionnelle proposée au chapitre 5, qui vise à organiser l'enseignement des fractions autour de situations adidactiques.</w:t>
      </w:r>
    </w:p>
    <w:p>
      <w:pPr>
        <w:pStyle w:val="Heading3"/>
        <w:keepNext/>
        <w:keepLines/>
      </w:pPr>
      <w:r>
        <w:rPr>
          <w:rFonts w:ascii="Times New Roman" w:cs="Times New Roman" w:eastAsia="Times New Roman" w:hAnsi="Times New Roman"/>
        </w:rPr>
        <w:t xml:space="preserve">3.2.3. La dialectique outil-objet et les jeux de cadres</w:t>
      </w:r>
    </w:p>
    <w:p>
      <w:pPr>
        <w:spacing w:after="120" w:before="0" w:line="360"/>
        <w:ind w:firstLine="709"/>
        <w:jc w:val="both"/>
      </w:pPr>
      <w:r>
        <w:rPr>
          <w:rFonts w:ascii="Times New Roman" w:cs="Times New Roman" w:eastAsia="Times New Roman" w:hAnsi="Times New Roman"/>
        </w:rPr>
        <w:t xml:space="preserve">Douady (1986) distingue deux statuts d'un concept mathématique. Il a un statut d'outil lorsqu'il est utilisé, souvent implicitement, pour résoudre un problème ; il a un statut d'objet lorsqu'il est identifié, nommé et étudié pour lui-même comme élément du savoir mathématique. L'apprentissage procède d'une dialectique entre ces deux statuts : un concept d'abord mobilisé comme outil implicite est ensuite formulé et institutionnalisé comme objet, puis réinvesti comme outil explicite dans de nouveaux problèmes. Douady montre également l'intérêt des « jeux de cadres », c'est-à-dire des changements de cadre (géométrique, numérique, graphique) qui permettent de faire progresser la résolution d'un problème et la compréhension d'un concept.</w:t>
      </w:r>
    </w:p>
    <w:p>
      <w:pPr>
        <w:spacing w:after="120" w:before="0" w:line="360"/>
        <w:ind w:firstLine="709"/>
        <w:jc w:val="both"/>
      </w:pPr>
      <w:r>
        <w:rPr>
          <w:rFonts w:ascii="Times New Roman" w:cs="Times New Roman" w:eastAsia="Times New Roman" w:hAnsi="Times New Roman"/>
        </w:rPr>
        <w:t xml:space="preserve">Pour les fractions, cette théorie signifie que l'écriture a/b doit apparaître comme la réponse à un besoin de partage ou de mesure, avant d'être étudiée comme objet. Un enseignement qui présente d'emblée la fraction comme un objet formel prive les élèves, et les EPE eux-mêmes, de la compréhension de sa raison d'être.</w:t>
      </w:r>
    </w:p>
    <w:p>
      <w:pPr>
        <w:pStyle w:val="Heading3"/>
        <w:keepNext/>
        <w:keepLines/>
      </w:pPr>
      <w:r>
        <w:rPr>
          <w:rFonts w:ascii="Times New Roman" w:cs="Times New Roman" w:eastAsia="Times New Roman" w:hAnsi="Times New Roman"/>
        </w:rPr>
        <w:t xml:space="preserve">3.2.4. Les registres de représentation sémiotique</w:t>
      </w:r>
    </w:p>
    <w:p>
      <w:pPr>
        <w:spacing w:after="120" w:before="0" w:line="360"/>
        <w:ind w:firstLine="709"/>
        <w:jc w:val="both"/>
      </w:pPr>
      <w:r>
        <w:rPr>
          <w:rFonts w:ascii="Times New Roman" w:cs="Times New Roman" w:eastAsia="Times New Roman" w:hAnsi="Times New Roman"/>
        </w:rPr>
        <w:t xml:space="preserve">Duval (1993, 1995) souligne une spécificité de l'activité mathématique : les objets mathématiques ne sont pas accessibles directement par la perception, mais seulement à travers des représentations sémiotiques. Une même fraction peut être représentée dans plusieurs registres : le registre de la langue naturelle (« trois quarts »), le registre symbolique (3/4), le registre figural (une surface partagée), le registre de la droite graduée ou encore le registre décimal (0,75). Duval distingue deux types de transformations : les traitements, qui s'effectuent à l'intérieur d'un même registre, comme la simplification d'une fraction, et les conversions, qui font passer d'un registre à un autre, comme la traduction d'un schéma en écriture fractionnaire. Selon lui, la compréhension conceptuelle suppose la coordination d'au moins deux registres, et la conversion constitue le seuil le plus difficile de l'apprentissage.</w:t>
      </w:r>
    </w:p>
    <w:p>
      <w:pPr>
        <w:spacing w:after="120" w:before="0" w:line="360"/>
        <w:ind w:firstLine="709"/>
        <w:jc w:val="both"/>
      </w:pPr>
      <w:r>
        <w:rPr>
          <w:rFonts w:ascii="Times New Roman" w:cs="Times New Roman" w:eastAsia="Times New Roman" w:hAnsi="Times New Roman"/>
        </w:rPr>
        <w:t xml:space="preserve">Ce cadre permet d'analyser les erreurs des EPE lorsqu'ils doivent représenter une fraction ou lire une représentation, ainsi que la place accordée aux différents registres dans leurs fiches pédagogiques.</w:t>
      </w:r>
    </w:p>
    <w:p>
      <w:pPr>
        <w:pStyle w:val="Heading3"/>
        <w:keepNext/>
        <w:keepLines/>
      </w:pPr>
      <w:r>
        <w:rPr>
          <w:rFonts w:ascii="Times New Roman" w:cs="Times New Roman" w:eastAsia="Times New Roman" w:hAnsi="Times New Roman"/>
        </w:rPr>
        <w:t xml:space="preserve">3.2.5. La transposition didactique et la double transposition en formation des maîtres</w:t>
      </w:r>
    </w:p>
    <w:p>
      <w:pPr>
        <w:spacing w:after="120" w:before="0" w:line="360"/>
        <w:ind w:firstLine="709"/>
        <w:jc w:val="both"/>
      </w:pPr>
      <w:r>
        <w:rPr>
          <w:rFonts w:ascii="Times New Roman" w:cs="Times New Roman" w:eastAsia="Times New Roman" w:hAnsi="Times New Roman"/>
        </w:rPr>
        <w:t xml:space="preserve">Chevallard (1991) désigne par transposition didactique l'ensemble des transformations adaptatives qui font passer un savoir savant au statut de savoir à enseigner, puis de savoir enseigné. Ces transformations entraînent une décontextualisation, une dépersonnalisation et une programmation du savoir. Dans les institutions de formation des maîtres, cette transposition se dédouble. Le formateur transpose le savoir mathématique en un savoir de formation destiné à des adultes ; l'EPE doit ensuite transposer ce savoir en savoir enseignable à des enfants (Houdement &amp; Kuzniak, 1996 ; Johsua &amp; Dupin, 1993). La figure 1 représente cette double chaîne.</w:t>
      </w:r>
    </w:p>
    <w:p>
      <w:pPr>
        <w:keepNext/>
        <w:keepLines/>
        <w:spacing w:after="80" w:before="160" w:line="276"/>
        <w:jc w:val="center"/>
      </w:pPr>
      <w:r>
        <w:rPr>
          <w:rFonts w:ascii="Times New Roman" w:cs="Times New Roman" w:eastAsia="Times New Roman" w:hAnsi="Times New Roman"/>
          <w:b/>
          <w:bCs/>
          <w:sz w:val="22"/>
          <w:szCs w:val="22"/>
        </w:rPr>
        <w:t xml:space="preserve">Figure 1 : </w:t>
      </w:r>
      <w:r>
        <w:rPr>
          <w:rFonts w:ascii="Times New Roman" w:cs="Times New Roman" w:eastAsia="Times New Roman" w:hAnsi="Times New Roman"/>
          <w:b/>
          <w:bCs/>
          <w:sz w:val="22"/>
          <w:szCs w:val="22"/>
        </w:rPr>
        <w:t xml:space="preserve">La double transposition didactique en formation des maîtres</w:t>
      </w:r>
    </w:p>
    <w:p>
      <w:pPr>
        <w:keepNext/>
        <w:spacing w:after="60" w:before="60"/>
        <w:jc w:val="center"/>
      </w:pPr>
      <w:r>
        <w:drawing>
          <wp:inline distT="0" distB="0" distL="0" distR="0">
            <wp:extent cx="5762625" cy="2038350"/>
            <wp:effectExtent t="0" r="0" b="0" l="0"/>
            <wp:docPr id="1" name="f_transpo" descr="f_transpo" title="f_trans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038350"/>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Notre construction, d'après Chevallard (1991) et Houdement et Kuzniak (1996).</w:t>
      </w:r>
    </w:p>
    <w:p>
      <w:pPr>
        <w:spacing w:after="120" w:before="0" w:line="360"/>
        <w:ind w:firstLine="709"/>
        <w:jc w:val="both"/>
      </w:pPr>
      <w:r>
        <w:rPr>
          <w:rFonts w:ascii="Times New Roman" w:cs="Times New Roman" w:eastAsia="Times New Roman" w:hAnsi="Times New Roman"/>
        </w:rPr>
        <w:t xml:space="preserve">Ce cadre permet de situer les ruptures observées : une maîtrise fragile du savoir par l'EPE traduit une faiblesse de la première transposition, tandis que des fiches dominées par l'énoncé de règles traduisent une faiblesse de la seconde.</w:t>
      </w:r>
    </w:p>
    <w:p>
      <w:pPr>
        <w:pStyle w:val="Heading3"/>
        <w:keepNext/>
        <w:keepLines/>
      </w:pPr>
      <w:r>
        <w:rPr>
          <w:rFonts w:ascii="Times New Roman" w:cs="Times New Roman" w:eastAsia="Times New Roman" w:hAnsi="Times New Roman"/>
        </w:rPr>
        <w:t xml:space="preserve">3.2.6. La théorie des champs conceptuels</w:t>
      </w:r>
    </w:p>
    <w:p>
      <w:pPr>
        <w:spacing w:after="120" w:before="0" w:line="360"/>
        <w:ind w:firstLine="709"/>
        <w:jc w:val="both"/>
      </w:pPr>
      <w:r>
        <w:rPr>
          <w:rFonts w:ascii="Times New Roman" w:cs="Times New Roman" w:eastAsia="Times New Roman" w:hAnsi="Times New Roman"/>
        </w:rPr>
        <w:t xml:space="preserve">Vergnaud (1990) définit un concept comme un triplet constitué d'un ensemble de situations qui lui donnent sens, d'un ensemble d'invariants opératoires sur lesquels repose l'efficacité des schèmes, et d'un ensemble de représentations symboliques permettant de le désigner et de le manipuler. Un concept ne se construit donc pas isolément, mais au sein d'un champ conceptuel, c'est-à-dire d'un ensemble de situations dont la maîtrise requiert plusieurs concepts étroitement liés. Les fractions appartiennent au champ conceptuel des structures multiplicatives, aux côtés de la multiplication, de la division, de la proportionnalité et des rapports.</w:t>
      </w:r>
    </w:p>
    <w:p>
      <w:pPr>
        <w:spacing w:after="120" w:before="0" w:line="360"/>
        <w:ind w:firstLine="709"/>
        <w:jc w:val="both"/>
      </w:pPr>
      <w:r>
        <w:rPr>
          <w:rFonts w:ascii="Times New Roman" w:cs="Times New Roman" w:eastAsia="Times New Roman" w:hAnsi="Times New Roman"/>
        </w:rPr>
        <w:t xml:space="preserve">Cette théorie apporte deux éclairages à notre étude. D'une part, elle explique que la maîtrise des fractions exige la rencontre d'une grande variété de situations : un EPE qui n'a rencontré que des situations de partage d'une unité en parts égales dispose d'un concept incomplet, inopérant face aux situations de mesure ou d'opérateur. D'autre part, elle montre que les erreurs reposent sur des invariants opératoires implicites, comme l'idée qu'« on opère sur les numérateurs et les dénominateurs comme sur des entiers », qui ne peuvent être modifiés que si l'élève rencontre des situations où ils échouent. Elle justifie ainsi l'importance accordée, dans notre contribution, à la diversité des situations et à la progression des significations du CE1 au CM2.</w:t>
      </w:r>
    </w:p>
    <w:p>
      <w:pPr>
        <w:pStyle w:val="Heading3"/>
        <w:keepNext/>
        <w:keepLines/>
      </w:pPr>
      <w:r>
        <w:rPr>
          <w:rFonts w:ascii="Times New Roman" w:cs="Times New Roman" w:eastAsia="Times New Roman" w:hAnsi="Times New Roman"/>
        </w:rPr>
        <w:t xml:space="preserve">3.2.7. Articulation des cadres théoriques</w:t>
      </w:r>
    </w:p>
    <w:p>
      <w:pPr>
        <w:spacing w:after="120" w:before="0" w:line="360"/>
        <w:ind w:firstLine="709"/>
        <w:jc w:val="both"/>
      </w:pPr>
      <w:r>
        <w:rPr>
          <w:rFonts w:ascii="Times New Roman" w:cs="Times New Roman" w:eastAsia="Times New Roman" w:hAnsi="Times New Roman"/>
        </w:rPr>
        <w:t xml:space="preserve">Ces cadres ne sont pas juxtaposés : ils s’articulent autour de notre problème. La notion d’obstacle épistémologique, la théorie des champs conceptuels et la théorie des registres sémiotiques éclairent l'analyse des erreurs (hypothèse HS1). La TSD, la dialectique outil-objet et la théorie des registres fournissent les critères d'analyse des fiches pédagogiques (hypothèse HS2). La double transposition didactique, complétée par l'analyse des stratégies de formation de Houdement et Kuzniak (1996), permet d'interpréter les facteurs institutionnels (hypothèse HS3). Enfin, l'ensemble de ces cadres fonde la démarche proposée dans la contribution professionnelle. Pour l'analyse des pratiques, nous nous référons en outre à la « double approche » de Robert et Rogalski (2002), qui invite à considérer les pratiques enseignantes à la fois du point de vue des apprentissages qu'elles rendent possibles et du point de vue des contraintes du métier qui les déterminent.</w:t>
      </w:r>
    </w:p>
    <w:p>
      <w:pPr>
        <w:pStyle w:val="Heading2"/>
        <w:keepNext/>
        <w:keepLines/>
      </w:pPr>
      <w:r>
        <w:rPr>
          <w:rFonts w:ascii="Times New Roman" w:cs="Times New Roman" w:eastAsia="Times New Roman" w:hAnsi="Times New Roman"/>
        </w:rPr>
        <w:t xml:space="preserve">3.3. Clarification des concepts</w:t>
      </w:r>
    </w:p>
    <w:p>
      <w:pPr>
        <w:spacing w:after="120" w:before="0" w:line="360"/>
        <w:ind w:firstLine="709"/>
        <w:jc w:val="both"/>
      </w:pPr>
      <w:r>
        <w:rPr>
          <w:rFonts w:ascii="Times New Roman" w:cs="Times New Roman" w:eastAsia="Times New Roman" w:hAnsi="Times New Roman"/>
        </w:rPr>
        <w:t xml:space="preserve">Les principaux concepts du sujet sont définis ci-après et circonscrits dans le cadre de ce travail.</w:t>
      </w:r>
    </w:p>
    <w:p>
      <w:pPr>
        <w:pStyle w:val="Heading3"/>
        <w:keepNext/>
        <w:keepLines/>
      </w:pPr>
      <w:r>
        <w:rPr>
          <w:rFonts w:ascii="Times New Roman" w:cs="Times New Roman" w:eastAsia="Times New Roman" w:hAnsi="Times New Roman"/>
        </w:rPr>
        <w:t xml:space="preserve">3.3.1. Difficulté d'enseignement</w:t>
      </w:r>
    </w:p>
    <w:p>
      <w:pPr>
        <w:spacing w:after="120" w:before="0" w:line="360"/>
        <w:ind w:firstLine="709"/>
        <w:jc w:val="both"/>
      </w:pPr>
      <w:r>
        <w:rPr>
          <w:rFonts w:ascii="Times New Roman" w:cs="Times New Roman" w:eastAsia="Times New Roman" w:hAnsi="Times New Roman"/>
        </w:rPr>
        <w:t xml:space="preserve">Dans le langage courant, une difficulté désigne ce qui rend une action malaisée. En didactique, elle ne se confond pas avec l'erreur : l'erreur en est l'une des manifestations observables, et elle peut elle-même être porteuse d'information sur la connaissance de l'apprenant (Astolfi, 1997). Dans le cadre de ce travail, nous entendons par difficultés d'enseignement des fractions l'ensemble des obstacles qui empêchent l'EPE de faire construire par ses élèves le sens des fractions. Ces difficultés sont appréhendées à trois niveaux : la maîtrise conceptuelle du savoir par l'EPE, la conception de l'enseignement dans ses fiches pédagogiques et les conditions de formation qui l'y préparent.</w:t>
      </w:r>
    </w:p>
    <w:p>
      <w:pPr>
        <w:pStyle w:val="Heading3"/>
        <w:keepNext/>
        <w:keepLines/>
      </w:pPr>
      <w:r>
        <w:rPr>
          <w:rFonts w:ascii="Times New Roman" w:cs="Times New Roman" w:eastAsia="Times New Roman" w:hAnsi="Times New Roman"/>
        </w:rPr>
        <w:t xml:space="preserve">3.3.2. Élève-professeur d'école (EPE)</w:t>
      </w:r>
    </w:p>
    <w:p>
      <w:pPr>
        <w:spacing w:after="120" w:before="0" w:line="360"/>
        <w:ind w:firstLine="709"/>
        <w:jc w:val="both"/>
      </w:pPr>
      <w:r>
        <w:rPr>
          <w:rFonts w:ascii="Times New Roman" w:cs="Times New Roman" w:eastAsia="Times New Roman" w:hAnsi="Times New Roman"/>
        </w:rPr>
        <w:t xml:space="preserve">L'élève-professeur d'école est un adulte titulaire du baccalauréat, admis par voie de concours dans une ENFPE pour y recevoir une formation initiale de deux ans le préparant au métier de professeur des écoles primaires. Il est à la fois apprenant, lorsqu'il consolide ses connaissances disciplinaires, et futur enseignant, lorsqu'il apprend à les transposer. Dans ce travail, les EPE concernés sont ceux de la Promotion 3 (cohorte 2024-2026) de l'ENFPE de Notsè.</w:t>
      </w:r>
    </w:p>
    <w:p>
      <w:pPr>
        <w:pStyle w:val="Heading3"/>
        <w:keepNext/>
        <w:keepLines/>
      </w:pPr>
      <w:r>
        <w:rPr>
          <w:rFonts w:ascii="Times New Roman" w:cs="Times New Roman" w:eastAsia="Times New Roman" w:hAnsi="Times New Roman"/>
        </w:rPr>
        <w:t xml:space="preserve">3.3.3. Fraction</w:t>
      </w:r>
    </w:p>
    <w:p>
      <w:pPr>
        <w:spacing w:after="120" w:before="0" w:line="360"/>
        <w:ind w:firstLine="709"/>
        <w:jc w:val="both"/>
      </w:pPr>
      <w:r>
        <w:rPr>
          <w:rFonts w:ascii="Times New Roman" w:cs="Times New Roman" w:eastAsia="Times New Roman" w:hAnsi="Times New Roman"/>
        </w:rPr>
        <w:t xml:space="preserve">Au sens mathématique, une fraction est l'écriture a/b d'un nombre rationnel, où a et b sont des entiers et b est non nul ; a est le numérateur et b le dénominateur. Au primaire, les fractions étudiées sont principalement des fractions positives, introduites à partir de situations de partage. Dans ce travail, la fraction est envisagée à travers ses différentes significations (partie-tout, mesure, quotient, opérateur, rapport) et ses différents registres de représentation, conformément aux travaux de Behr et al. (1983) et de Duval (1995).</w:t>
      </w:r>
    </w:p>
    <w:p>
      <w:pPr>
        <w:pStyle w:val="Heading3"/>
        <w:keepNext/>
        <w:keepLines/>
      </w:pPr>
      <w:r>
        <w:rPr>
          <w:rFonts w:ascii="Times New Roman" w:cs="Times New Roman" w:eastAsia="Times New Roman" w:hAnsi="Times New Roman"/>
        </w:rPr>
        <w:t xml:space="preserve">3.3.4. Pratiques enseignantes</w:t>
      </w:r>
    </w:p>
    <w:p>
      <w:pPr>
        <w:spacing w:after="120" w:before="0" w:line="360"/>
        <w:ind w:firstLine="709"/>
        <w:jc w:val="both"/>
      </w:pPr>
      <w:r>
        <w:rPr>
          <w:rFonts w:ascii="Times New Roman" w:cs="Times New Roman" w:eastAsia="Times New Roman" w:hAnsi="Times New Roman"/>
        </w:rPr>
        <w:t xml:space="preserve">Les pratiques enseignantes désignent l'ensemble de ce que fait, dit ou prévoit l'enseignant avant, pendant et après la classe (Robert, 2001). Elles englobent la préparation des séances, la conduite de la classe et l'évaluation. Compte tenu des contraintes de notre terrain, l'analyse des pratiques porte dans ce mémoire principalement sur la dimension prévisionnelle, à travers les fiches pédagogiques, et sur le discours des acteurs relatif à leurs pratiques, recueilli par entretiens.</w:t>
      </w:r>
    </w:p>
    <w:p>
      <w:pPr>
        <w:pStyle w:val="Heading3"/>
        <w:keepNext/>
        <w:keepLines/>
      </w:pPr>
      <w:r>
        <w:rPr>
          <w:rFonts w:ascii="Times New Roman" w:cs="Times New Roman" w:eastAsia="Times New Roman" w:hAnsi="Times New Roman"/>
        </w:rPr>
        <w:t xml:space="preserve">3.3.5. Propositions didactiques</w:t>
      </w:r>
    </w:p>
    <w:p>
      <w:pPr>
        <w:spacing w:after="120" w:before="0" w:line="360"/>
        <w:ind w:firstLine="709"/>
        <w:jc w:val="both"/>
      </w:pPr>
      <w:r>
        <w:rPr>
          <w:rFonts w:ascii="Times New Roman" w:cs="Times New Roman" w:eastAsia="Times New Roman" w:hAnsi="Times New Roman"/>
        </w:rPr>
        <w:t xml:space="preserve">Nous entendons par propositions didactiques l'ensemble des démarches, situations, matériels et outils conçus pour améliorer l'enseignement d'un contenu disciplinaire. Conformément aux directives du mémoire professionnel, il ne s'agit pas de recommandations générales, mais d'une démarche technique, ancrée dans la discipline, dont la mise en œuvre est démontrée : c'est l'objet du chapitre 5.</w:t>
      </w:r>
    </w:p>
    <w:p>
      <w:pPr>
        <w:pStyle w:val="Heading2"/>
        <w:keepNext/>
        <w:keepLines/>
      </w:pPr>
      <w:r>
        <w:rPr>
          <w:rFonts w:ascii="Times New Roman" w:cs="Times New Roman" w:eastAsia="Times New Roman" w:hAnsi="Times New Roman"/>
        </w:rPr>
        <w:t xml:space="preserve">3.4. Variables et indicateurs</w:t>
      </w:r>
    </w:p>
    <w:p>
      <w:pPr>
        <w:pStyle w:val="Heading3"/>
        <w:keepNext/>
        <w:keepLines/>
      </w:pPr>
      <w:r>
        <w:rPr>
          <w:rFonts w:ascii="Times New Roman" w:cs="Times New Roman" w:eastAsia="Times New Roman" w:hAnsi="Times New Roman"/>
        </w:rPr>
        <w:t xml:space="preserve">3.4.1. Définition des variables</w:t>
      </w:r>
    </w:p>
    <w:p>
      <w:pPr>
        <w:spacing w:after="120" w:before="0" w:line="360"/>
        <w:ind w:firstLine="709"/>
        <w:jc w:val="both"/>
      </w:pPr>
      <w:r>
        <w:rPr>
          <w:rFonts w:ascii="Times New Roman" w:cs="Times New Roman" w:eastAsia="Times New Roman" w:hAnsi="Times New Roman"/>
        </w:rPr>
        <w:t xml:space="preserve">Le système de variables découle des hypothèses. La variable dépendante (VD) est constituée par les difficultés des EPE dans l'enseignement des fractions au primaire. Elle est expliquée par trois variables indépendantes :</w:t>
      </w:r>
    </w:p>
    <w:p>
      <w:pPr>
        <w:pStyle w:val="ListParagraph"/>
        <w:numPr>
          <w:ilvl w:val="0"/>
          <w:numId w:val="2"/>
        </w:numPr>
        <w:spacing w:after="60" w:line="360"/>
        <w:jc w:val="both"/>
      </w:pPr>
      <w:r>
        <w:rPr>
          <w:rFonts w:ascii="Times New Roman" w:cs="Times New Roman" w:eastAsia="Times New Roman" w:hAnsi="Times New Roman"/>
          <w:b/>
          <w:bCs/>
        </w:rPr>
        <w:t xml:space="preserve">VI1 : la maîtrise conceptuelle des fractions</w:t>
      </w:r>
      <w:r>
        <w:rPr>
          <w:rFonts w:ascii="Times New Roman" w:cs="Times New Roman" w:eastAsia="Times New Roman" w:hAnsi="Times New Roman"/>
        </w:rPr>
        <w:t xml:space="preserve">, appréhendée à travers les performances et les erreurs des EPE à l'exercice de la Notion B ;</w:t>
      </w:r>
    </w:p>
    <w:p>
      <w:pPr>
        <w:pStyle w:val="ListParagraph"/>
        <w:numPr>
          <w:ilvl w:val="0"/>
          <w:numId w:val="2"/>
        </w:numPr>
        <w:spacing w:after="60" w:line="360"/>
        <w:jc w:val="both"/>
      </w:pPr>
      <w:r>
        <w:rPr>
          <w:rFonts w:ascii="Times New Roman" w:cs="Times New Roman" w:eastAsia="Times New Roman" w:hAnsi="Times New Roman"/>
          <w:b/>
          <w:bCs/>
        </w:rPr>
        <w:t xml:space="preserve">VI2 : les pratiques de préparation des leçons</w:t>
      </w:r>
      <w:r>
        <w:rPr>
          <w:rFonts w:ascii="Times New Roman" w:cs="Times New Roman" w:eastAsia="Times New Roman" w:hAnsi="Times New Roman"/>
        </w:rPr>
        <w:t xml:space="preserve">, appréhendées à travers la qualité des fiches pédagogiques consacrées aux fractions ;</w:t>
      </w:r>
    </w:p>
    <w:p>
      <w:pPr>
        <w:pStyle w:val="ListParagraph"/>
        <w:numPr>
          <w:ilvl w:val="0"/>
          <w:numId w:val="2"/>
        </w:numPr>
        <w:spacing w:after="60" w:line="360"/>
        <w:jc w:val="both"/>
      </w:pPr>
      <w:r>
        <w:rPr>
          <w:rFonts w:ascii="Times New Roman" w:cs="Times New Roman" w:eastAsia="Times New Roman" w:hAnsi="Times New Roman"/>
          <w:b/>
          <w:bCs/>
        </w:rPr>
        <w:t xml:space="preserve">VI3 : le dispositif de formation et d'encadrement</w:t>
      </w:r>
      <w:r>
        <w:rPr>
          <w:rFonts w:ascii="Times New Roman" w:cs="Times New Roman" w:eastAsia="Times New Roman" w:hAnsi="Times New Roman"/>
        </w:rPr>
        <w:t xml:space="preserve">, appréhendé à travers le discours des formateurs et des EPE.</w:t>
      </w:r>
    </w:p>
    <w:p>
      <w:pPr>
        <w:spacing w:after="120" w:before="0" w:line="360"/>
        <w:ind w:firstLine="709"/>
        <w:jc w:val="both"/>
      </w:pPr>
      <w:r>
        <w:rPr>
          <w:rFonts w:ascii="Times New Roman" w:cs="Times New Roman" w:eastAsia="Times New Roman" w:hAnsi="Times New Roman"/>
        </w:rPr>
        <w:t xml:space="preserve">Nous retenons en outre une variable d'identification, le profil d'entrée des EPE (série du baccalauréat et sexe), susceptible de moduler la relation entre les variables indépendantes et la variable dépendante. La figure 2 présente le modèle d'analyse qui en résulte.</w:t>
      </w:r>
    </w:p>
    <w:p>
      <w:pPr>
        <w:keepNext/>
        <w:keepLines/>
        <w:spacing w:after="80" w:before="160" w:line="276"/>
        <w:jc w:val="center"/>
      </w:pPr>
      <w:r>
        <w:rPr>
          <w:rFonts w:ascii="Times New Roman" w:cs="Times New Roman" w:eastAsia="Times New Roman" w:hAnsi="Times New Roman"/>
          <w:b/>
          <w:bCs/>
          <w:sz w:val="22"/>
          <w:szCs w:val="22"/>
        </w:rPr>
        <w:t xml:space="preserve">Figure 2 : </w:t>
      </w:r>
      <w:r>
        <w:rPr>
          <w:rFonts w:ascii="Times New Roman" w:cs="Times New Roman" w:eastAsia="Times New Roman" w:hAnsi="Times New Roman"/>
          <w:b/>
          <w:bCs/>
          <w:sz w:val="22"/>
          <w:szCs w:val="22"/>
        </w:rPr>
        <w:t xml:space="preserve">Modèle d'analyse de la recherche</w:t>
      </w:r>
    </w:p>
    <w:p>
      <w:pPr>
        <w:keepNext/>
        <w:spacing w:after="60" w:before="60"/>
        <w:jc w:val="center"/>
      </w:pPr>
      <w:r>
        <w:drawing>
          <wp:inline distT="0" distB="0" distL="0" distR="0">
            <wp:extent cx="5581650" cy="2752725"/>
            <wp:effectExtent t="0" r="0" b="0" l="0"/>
            <wp:docPr id="1" name="f_modele" descr="f_modele" title="f_mod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752725"/>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Notre construction, 2026.</w:t>
      </w:r>
    </w:p>
    <w:p>
      <w:pPr>
        <w:pStyle w:val="Heading3"/>
        <w:keepNext/>
        <w:keepLines/>
      </w:pPr>
      <w:r>
        <w:rPr>
          <w:rFonts w:ascii="Times New Roman" w:cs="Times New Roman" w:eastAsia="Times New Roman" w:hAnsi="Times New Roman"/>
        </w:rPr>
        <w:t xml:space="preserve">3.4.2. Indicateurs</w:t>
      </w:r>
    </w:p>
    <w:p>
      <w:pPr>
        <w:spacing w:after="120" w:before="0" w:line="360"/>
        <w:ind w:firstLine="709"/>
        <w:jc w:val="both"/>
      </w:pPr>
      <w:r>
        <w:rPr>
          <w:rFonts w:ascii="Times New Roman" w:cs="Times New Roman" w:eastAsia="Times New Roman" w:hAnsi="Times New Roman"/>
        </w:rPr>
        <w:t xml:space="preserve">Le tableau 12 précise, pour chaque variable, les dimensions, les indicateurs et les outils de collecte correspondants.</w:t>
      </w:r>
    </w:p>
    <w:p>
      <w:pPr>
        <w:keepNext/>
        <w:keepLines/>
        <w:spacing w:after="80" w:before="160" w:line="276"/>
        <w:jc w:val="center"/>
      </w:pPr>
      <w:r>
        <w:rPr>
          <w:rFonts w:ascii="Times New Roman" w:cs="Times New Roman" w:eastAsia="Times New Roman" w:hAnsi="Times New Roman"/>
          <w:b/>
          <w:bCs/>
          <w:sz w:val="22"/>
          <w:szCs w:val="22"/>
        </w:rPr>
        <w:t xml:space="preserve">Tableau 12 : </w:t>
      </w:r>
      <w:r>
        <w:rPr>
          <w:rFonts w:ascii="Times New Roman" w:cs="Times New Roman" w:eastAsia="Times New Roman" w:hAnsi="Times New Roman"/>
          <w:b/>
          <w:bCs/>
          <w:sz w:val="22"/>
          <w:szCs w:val="22"/>
        </w:rPr>
        <w:t xml:space="preserve">Variables, dimensions, indicateurs et outils de collecte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995"/>
        <w:gridCol w:w="3628"/>
        <w:gridCol w:w="1635"/>
      </w:tblGrid>
      <w:tr>
        <w:trPr>
          <w:cantSplit/>
          <w:tblHeader/>
        </w:trPr>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Variables</w:t>
            </w:r>
          </w:p>
        </w:tc>
        <w:tc>
          <w:tcPr>
            <w:tcW w:type="dxa" w:w="199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Dimensions</w:t>
            </w:r>
          </w:p>
        </w:tc>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Indicateurs</w:t>
            </w:r>
          </w:p>
        </w:tc>
        <w:tc>
          <w:tcPr>
            <w:tcW w:type="dxa" w:w="163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Outils</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VI1 : Maîtrise conceptuelle des fractions</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Performance globale</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Note à l'exercice de la Notion B (/1,5) ; niveau de maîtrise (NA, ECA, A)</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2</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Réussite par facette</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Taux de réussite aux items : représentation, comparaison, équivalence, addition, fraction-opérateur</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2</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Erreurs et obstacles</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Fréquence des erreurs de type T1 à T5</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2</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VI2 : Pratiques de préparation des leçons</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Situation de départ</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Présence d'une situation-problème concrète (critère C1)</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1</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Rigueur mathématique</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Exactitude des écritures et définitions (C2)</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1</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Registres de représentation</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Usage de schémas et coordination des registres (C3) ; matériel de manipulation prévu</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1</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Structuration</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Phases de recherche, de mise en commun et d'institutionnalisation (C4)</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1</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VI3 : Dispositif de formation et d'encadrement</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Temps de formation</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Appréciation du volume horaire</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3</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Pratiques des formateurs</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Place de la manipulation et des situations-problèmes en formation</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3</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Encadrement des stages</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Accompagnement didactique par les maîtres d'accueil</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3</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VD : Difficultés dans l'enseignement des fractions</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Sentiment de compétence</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Auto-évaluation de la maîtrise ; aspects jugés complexes à enseigner</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3</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Variable d'identification</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Profil d'entrée</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Série du baccalauréat ; sexe ; âge</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Dossiers administratifs</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pStyle w:val="Heading2"/>
        <w:keepNext/>
        <w:keepLines/>
      </w:pPr>
      <w:r>
        <w:rPr>
          <w:rFonts w:ascii="Times New Roman" w:cs="Times New Roman" w:eastAsia="Times New Roman" w:hAnsi="Times New Roman"/>
        </w:rPr>
        <w:t xml:space="preserve">3.5. Démarche méthodologique</w:t>
      </w:r>
    </w:p>
    <w:p>
      <w:pPr>
        <w:pStyle w:val="Heading3"/>
        <w:keepNext/>
        <w:keepLines/>
      </w:pPr>
      <w:r>
        <w:rPr>
          <w:rFonts w:ascii="Times New Roman" w:cs="Times New Roman" w:eastAsia="Times New Roman" w:hAnsi="Times New Roman"/>
        </w:rPr>
        <w:t xml:space="preserve">3.5.1. Type de recherche</w:t>
      </w:r>
    </w:p>
    <w:p>
      <w:pPr>
        <w:spacing w:after="120" w:before="0" w:line="360"/>
        <w:ind w:firstLine="709"/>
        <w:jc w:val="both"/>
      </w:pPr>
      <w:r>
        <w:rPr>
          <w:rFonts w:ascii="Times New Roman" w:cs="Times New Roman" w:eastAsia="Times New Roman" w:hAnsi="Times New Roman"/>
        </w:rPr>
        <w:t xml:space="preserve">La présente recherche est de type mixte, à dominante descriptive et explicative (Creswell &amp; Plano Clark, 2018). Elle combine un volet quantitatif, portant sur l'analyse statistique des performances et des fiches pédagogiques, et un volet qualitatif, portant sur l'analyse du discours des acteurs. Ce choix se justifie par la nature du problème : les difficultés des EPE doivent être mesurées dans leur ampleur, mais aussi comprises dans leurs causes. La combinaison des approches permet la triangulation des données, qui renforce la validité des conclusions (Van der Maren, 1996).</w:t>
      </w:r>
    </w:p>
    <w:p>
      <w:pPr>
        <w:pStyle w:val="Heading3"/>
        <w:keepNext/>
        <w:keepLines/>
      </w:pPr>
      <w:r>
        <w:rPr>
          <w:rFonts w:ascii="Times New Roman" w:cs="Times New Roman" w:eastAsia="Times New Roman" w:hAnsi="Times New Roman"/>
        </w:rPr>
        <w:t xml:space="preserve">3.5.2. Cadre de l'étude</w:t>
      </w:r>
    </w:p>
    <w:p>
      <w:pPr>
        <w:spacing w:after="120" w:before="0" w:line="360"/>
        <w:ind w:firstLine="709"/>
        <w:jc w:val="both"/>
      </w:pPr>
      <w:r>
        <w:rPr>
          <w:rFonts w:ascii="Times New Roman" w:cs="Times New Roman" w:eastAsia="Times New Roman" w:hAnsi="Times New Roman"/>
        </w:rPr>
        <w:t xml:space="preserve">L'étude a été conduite à l'ENFPE de Notsè, dont la présentation a été faite au chapitre 1, et dans les écoles primaires d'accueil des stagiaires de la Promotion 3 relevant de l'IEPP Haho Sud, notamment l'EPP Zongo et l'EPP Kpota Groupe E. Ce cadre a été retenu parce qu'il constitue le lieu de notre stage et le lieu où le problème a été identifié.</w:t>
      </w:r>
    </w:p>
    <w:p>
      <w:pPr>
        <w:pStyle w:val="Heading3"/>
        <w:keepNext/>
        <w:keepLines/>
      </w:pPr>
      <w:r>
        <w:rPr>
          <w:rFonts w:ascii="Times New Roman" w:cs="Times New Roman" w:eastAsia="Times New Roman" w:hAnsi="Times New Roman"/>
        </w:rPr>
        <w:t xml:space="preserve">3.5.3. Population d'étude</w:t>
      </w:r>
    </w:p>
    <w:p>
      <w:pPr>
        <w:spacing w:after="120" w:before="0" w:line="360"/>
        <w:ind w:firstLine="709"/>
        <w:jc w:val="both"/>
      </w:pPr>
      <w:r>
        <w:rPr>
          <w:rFonts w:ascii="Times New Roman" w:cs="Times New Roman" w:eastAsia="Times New Roman" w:hAnsi="Times New Roman"/>
        </w:rPr>
        <w:t xml:space="preserve">La population cible est constituée des 385 élèves-professeurs d'école de la Promotion 3 (cohorte 2024-2026) de l'ENFPE de Notsè, qui ont tous composé l'exercice de la Notion B et effectué un stage en responsabilité dans les écoles primaires. La population comprend également les formateurs de l'ENFPE intervenant dans la formation mathématique et dans l'encadrement des stages.</w:t>
      </w:r>
    </w:p>
    <w:p>
      <w:pPr>
        <w:pStyle w:val="Heading3"/>
        <w:keepNext/>
        <w:keepLines/>
      </w:pPr>
      <w:r>
        <w:rPr>
          <w:rFonts w:ascii="Times New Roman" w:cs="Times New Roman" w:eastAsia="Times New Roman" w:hAnsi="Times New Roman"/>
        </w:rPr>
        <w:t xml:space="preserve">3.5.4. Échantillonnage et échantillon</w:t>
      </w:r>
    </w:p>
    <w:p>
      <w:pPr>
        <w:spacing w:after="120" w:before="0" w:line="360"/>
        <w:ind w:firstLine="709"/>
        <w:jc w:val="both"/>
      </w:pPr>
      <w:r>
        <w:rPr>
          <w:rFonts w:ascii="Times New Roman" w:cs="Times New Roman" w:eastAsia="Times New Roman" w:hAnsi="Times New Roman"/>
        </w:rPr>
        <w:t xml:space="preserve">La taille de l'échantillon d'EPE a été déterminée à l'aide de la formule de Yamane (1967) pour une population finie :</w:t>
      </w:r>
    </w:p>
    <w:p>
      <w:pPr>
        <w:spacing w:after="120" w:before="0" w:line="360"/>
        <w:jc w:val="center"/>
      </w:pPr>
      <w:r>
        <w:rPr>
          <w:rFonts w:ascii="Times New Roman" w:cs="Times New Roman" w:eastAsia="Times New Roman" w:hAnsi="Times New Roman"/>
        </w:rPr>
        <w:t xml:space="preserve">n = N / (1 + N × e²)</w:t>
      </w:r>
    </w:p>
    <w:p>
      <w:pPr>
        <w:spacing w:after="120" w:before="0" w:line="360"/>
        <w:ind w:firstLine="709"/>
        <w:jc w:val="both"/>
      </w:pPr>
      <w:r>
        <w:rPr>
          <w:rFonts w:ascii="Times New Roman" w:cs="Times New Roman" w:eastAsia="Times New Roman" w:hAnsi="Times New Roman"/>
        </w:rPr>
        <w:t xml:space="preserve">où N est la taille de la population (385) et e la marge d'erreur. Pour une marge d'erreur de 8,6 %, on obtient n = 385 / (1 + 385 × 0,0074) ≈ 100. Nous avons donc retenu un échantillon de 100 EPE, soit 26 % de la population. Les EPE ont été sélectionnés par échantillonnage aléatoire systématique à partir de la liste alphabétique de la promotion, avec un pas de sondage de 385/100 ≈ 3,85, arrondi alternativement à 3 et à 4 ; le point de départ a été tiré au sort. Ce procédé garantit à chaque EPE une chance égale d'être sélectionné.</w:t>
      </w:r>
    </w:p>
    <w:p>
      <w:pPr>
        <w:spacing w:after="120" w:before="0" w:line="360"/>
        <w:ind w:firstLine="709"/>
        <w:jc w:val="both"/>
      </w:pPr>
      <w:r>
        <w:rPr>
          <w:rFonts w:ascii="Times New Roman" w:cs="Times New Roman" w:eastAsia="Times New Roman" w:hAnsi="Times New Roman"/>
        </w:rPr>
        <w:t xml:space="preserve">Pour les entretiens, un sous-échantillon de 20 EPE a été constitué par choix raisonné au sein de l'échantillon, en respectant la répartition des niveaux de maîtrise : 8 EPE du niveau « non acquis », 8 du niveau « en cours d'acquisition » et 4 du niveau « acquis ». Quatre formateurs ont également été interrogés : les deux professeurs titulaires du champ mathématique, un professeur associé intervenant en mathématiques et un formateur chargé de la supervision des stages. Le tableau 13 récapitule la composition de l'échantillon.</w:t>
      </w:r>
    </w:p>
    <w:p>
      <w:pPr>
        <w:keepNext/>
        <w:keepLines/>
        <w:spacing w:after="80" w:before="160" w:line="276"/>
        <w:jc w:val="center"/>
      </w:pPr>
      <w:r>
        <w:rPr>
          <w:rFonts w:ascii="Times New Roman" w:cs="Times New Roman" w:eastAsia="Times New Roman" w:hAnsi="Times New Roman"/>
          <w:b/>
          <w:bCs/>
          <w:sz w:val="22"/>
          <w:szCs w:val="22"/>
        </w:rPr>
        <w:t xml:space="preserve">Tableau 13 : </w:t>
      </w:r>
      <w:r>
        <w:rPr>
          <w:rFonts w:ascii="Times New Roman" w:cs="Times New Roman" w:eastAsia="Times New Roman" w:hAnsi="Times New Roman"/>
          <w:b/>
          <w:bCs/>
          <w:sz w:val="22"/>
          <w:szCs w:val="22"/>
        </w:rPr>
        <w:t xml:space="preserve">Composition de l'échantillon de l'étude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1360"/>
        <w:gridCol w:w="4991"/>
      </w:tblGrid>
      <w:tr>
        <w:trPr>
          <w:cantSplit/>
          <w:tblHeader/>
        </w:trPr>
        <w:tc>
          <w:tcPr>
            <w:tcW w:type="dxa" w:w="272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Catégorie</w:t>
            </w:r>
          </w:p>
        </w:tc>
        <w:tc>
          <w:tcPr>
            <w:tcW w:type="dxa" w:w="13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Effectif</w:t>
            </w:r>
          </w:p>
        </w:tc>
        <w:tc>
          <w:tcPr>
            <w:tcW w:type="dxa" w:w="499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Mode de sélection et utilisation</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EPE de la Promotion 3</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100</w:t>
            </w:r>
          </w:p>
        </w:tc>
        <w:tc>
          <w:tcPr>
            <w:tcW w:type="dxa" w:w="49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Échantillonnage aléatoire systématique ; analyse des copies (Outil 2) et des fiches pédagogiques (Outil 1)</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dont EPE interviewés</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20</w:t>
            </w:r>
          </w:p>
        </w:tc>
        <w:tc>
          <w:tcPr>
            <w:tcW w:type="dxa" w:w="49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Choix raisonné stratifié selon le niveau de maîtrise ; entretiens (Outil 3, volet B)</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Formateurs de l'ENFPE</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w:t>
            </w:r>
          </w:p>
        </w:tc>
        <w:tc>
          <w:tcPr>
            <w:tcW w:type="dxa" w:w="49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Choix raisonné ; entretiens (Outil 3, volet A)</w:t>
            </w:r>
          </w:p>
        </w:tc>
      </w:tr>
      <w:tr>
        <w:trPr>
          <w:cantSplit/>
          <w:tblHeader w:val="false"/>
        </w:trPr>
        <w:tc>
          <w:tcPr>
            <w:tcW w:type="dxa" w:w="272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Total des participants</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104</w:t>
            </w:r>
          </w:p>
        </w:tc>
        <w:tc>
          <w:tcPr>
            <w:tcW w:type="dxa" w:w="49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r>
    </w:tbl>
    <w:p>
      <w:pPr>
        <w:spacing w:after="200" w:before="60" w:line="240"/>
        <w:jc w:val="left"/>
      </w:pPr>
      <w:r>
        <w:rPr>
          <w:rFonts w:ascii="Times New Roman" w:cs="Times New Roman" w:eastAsia="Times New Roman" w:hAnsi="Times New Roman"/>
          <w:i/>
          <w:iCs/>
          <w:sz w:val="20"/>
          <w:szCs w:val="20"/>
        </w:rPr>
        <w:t xml:space="preserve">Source : Notre enquête, 2026.</w:t>
      </w:r>
    </w:p>
    <w:p>
      <w:pPr>
        <w:pStyle w:val="Heading3"/>
        <w:keepNext/>
        <w:keepLines/>
      </w:pPr>
      <w:r>
        <w:rPr>
          <w:rFonts w:ascii="Times New Roman" w:cs="Times New Roman" w:eastAsia="Times New Roman" w:hAnsi="Times New Roman"/>
        </w:rPr>
        <w:t xml:space="preserve">3.5.5. Outils de collecte des données</w:t>
      </w:r>
    </w:p>
    <w:p>
      <w:pPr>
        <w:spacing w:after="120" w:before="0" w:line="360"/>
        <w:ind w:firstLine="709"/>
        <w:jc w:val="both"/>
      </w:pPr>
      <w:r>
        <w:rPr>
          <w:rFonts w:ascii="Times New Roman" w:cs="Times New Roman" w:eastAsia="Times New Roman" w:hAnsi="Times New Roman"/>
        </w:rPr>
        <w:t xml:space="preserve">Trois outils de collecte ont été élaborés. Ils sont présentés en annexe.</w:t>
      </w:r>
    </w:p>
    <w:p>
      <w:pPr>
        <w:pStyle w:val="Heading4"/>
        <w:keepNext/>
        <w:keepLines/>
      </w:pPr>
      <w:r>
        <w:rPr>
          <w:rFonts w:ascii="Times New Roman" w:cs="Times New Roman" w:eastAsia="Times New Roman" w:hAnsi="Times New Roman"/>
        </w:rPr>
        <w:t xml:space="preserve">a) Outil 1 : la grille d'analyse documentaire des fiches pédagogiques</w:t>
      </w:r>
    </w:p>
    <w:p>
      <w:pPr>
        <w:spacing w:after="120" w:before="0" w:line="360"/>
        <w:ind w:firstLine="709"/>
        <w:jc w:val="both"/>
      </w:pPr>
      <w:r>
        <w:rPr>
          <w:rFonts w:ascii="Times New Roman" w:cs="Times New Roman" w:eastAsia="Times New Roman" w:hAnsi="Times New Roman"/>
        </w:rPr>
        <w:t xml:space="preserve">Cet outil vise à évaluer la manière dont les EPE conçoivent l'enseignement des fractions dans leurs fiches de préparation. Faute de pouvoir observer directement toutes les séances en classe, en raison du calendrier de fin de formation, nous avons recueilli, pour chacun des 100 EPE de l'échantillon, la fiche de leçon de mathématiques portant sur les fractions élaborée au cours du stage en responsabilité (classes de CE2, CM1 ou CM2). La grille comporte quatre critères, notés chacun 0 (absent), 1 (partiel) ou 2 (conforme) : C1, le choix de la situation de départ ; C2, la rigueur mathématique ; C3, la prise en compte des registres de représentation ; C4, la structuration de la séance. Un indicateur complémentaire relève la présence ou l'absence de matériel de manipulation. Le score global de la fiche, sur 8 points, permet de distinguer trois niveaux de qualité : insuffisante (0 à 3), acceptable (4 à 5) et conforme (6 à 8).</w:t>
      </w:r>
    </w:p>
    <w:p>
      <w:pPr>
        <w:pStyle w:val="Heading4"/>
        <w:keepNext/>
        <w:keepLines/>
      </w:pPr>
      <w:r>
        <w:rPr>
          <w:rFonts w:ascii="Times New Roman" w:cs="Times New Roman" w:eastAsia="Times New Roman" w:hAnsi="Times New Roman"/>
        </w:rPr>
        <w:t xml:space="preserve">b) Outil 2 : la grille de dépouillement et d'analyse des copies</w:t>
      </w:r>
    </w:p>
    <w:p>
      <w:pPr>
        <w:spacing w:after="120" w:before="0" w:line="360"/>
        <w:ind w:firstLine="709"/>
        <w:jc w:val="both"/>
      </w:pPr>
      <w:r>
        <w:rPr>
          <w:rFonts w:ascii="Times New Roman" w:cs="Times New Roman" w:eastAsia="Times New Roman" w:hAnsi="Times New Roman"/>
        </w:rPr>
        <w:t xml:space="preserve">Cet outil comporte deux volets. Le volet quantitatif relève la note obtenue par chaque EPE à l'exercice de la Notion B et les scores aux différents items, présentés dans le tableau 14. Le volet qualitatif classe les erreurs relevées dans les copies selon une typologie issue du cadre théorique.</w:t>
      </w:r>
    </w:p>
    <w:p>
      <w:pPr>
        <w:keepNext/>
        <w:keepLines/>
        <w:spacing w:after="80" w:before="160" w:line="276"/>
        <w:jc w:val="center"/>
      </w:pPr>
      <w:r>
        <w:rPr>
          <w:rFonts w:ascii="Times New Roman" w:cs="Times New Roman" w:eastAsia="Times New Roman" w:hAnsi="Times New Roman"/>
          <w:b/>
          <w:bCs/>
          <w:sz w:val="22"/>
          <w:szCs w:val="22"/>
        </w:rPr>
        <w:t xml:space="preserve">Tableau 14 : </w:t>
      </w:r>
      <w:r>
        <w:rPr>
          <w:rFonts w:ascii="Times New Roman" w:cs="Times New Roman" w:eastAsia="Times New Roman" w:hAnsi="Times New Roman"/>
          <w:b/>
          <w:bCs/>
          <w:sz w:val="22"/>
          <w:szCs w:val="22"/>
        </w:rPr>
        <w:t xml:space="preserve">Structure de l'exercice de la Notion B et facettes de la fraction évaluées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4354"/>
        <w:gridCol w:w="2358"/>
        <w:gridCol w:w="1453"/>
      </w:tblGrid>
      <w:tr>
        <w:trPr>
          <w:cantSplit/>
          <w:tblHeader/>
        </w:trPr>
        <w:tc>
          <w:tcPr>
            <w:tcW w:type="dxa" w:w="90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Item</w:t>
            </w:r>
          </w:p>
        </w:tc>
        <w:tc>
          <w:tcPr>
            <w:tcW w:type="dxa" w:w="435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Tâche demandée</w:t>
            </w:r>
          </w:p>
        </w:tc>
        <w:tc>
          <w:tcPr>
            <w:tcW w:type="dxa" w:w="235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Facette ou registre</w:t>
            </w:r>
          </w:p>
        </w:tc>
        <w:tc>
          <w:tcPr>
            <w:tcW w:type="dxa" w:w="145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Barème</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I1</w:t>
            </w:r>
          </w:p>
        </w:tc>
        <w:tc>
          <w:tcPr>
            <w:tcW w:type="dxa" w:w="43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Écrire la fraction correspondant à une figure et représenter une fraction donnée</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Partie-tout ; conversion figural ↔ symbolique</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0,25</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I2</w:t>
            </w:r>
          </w:p>
        </w:tc>
        <w:tc>
          <w:tcPr>
            <w:tcW w:type="dxa" w:w="43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Comparer des fractions en justifiant (1/7 et 1/5 ; 3/4 et 5/6)</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Mesure ; ordre</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0,25</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I3</w:t>
            </w:r>
          </w:p>
        </w:tc>
        <w:tc>
          <w:tcPr>
            <w:tcW w:type="dxa" w:w="43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Simplifier une fraction et produire des fractions égales</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Équivalence</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0,25</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I4</w:t>
            </w:r>
          </w:p>
        </w:tc>
        <w:tc>
          <w:tcPr>
            <w:tcW w:type="dxa" w:w="43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Additionner et soustraire des fractions de dénominateurs différents</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Opérations</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0,50</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I5</w:t>
            </w:r>
          </w:p>
        </w:tc>
        <w:tc>
          <w:tcPr>
            <w:tcW w:type="dxa" w:w="43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Résoudre un problème (prendre les 3/5 d'une somme)</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Opérateur</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0,25</w:t>
            </w:r>
          </w:p>
        </w:tc>
      </w:tr>
      <w:tr>
        <w:trPr>
          <w:cantSplit/>
          <w:tblHeader w:val="false"/>
        </w:trPr>
        <w:tc>
          <w:tcPr>
            <w:tcW w:type="dxa" w:w="907"/>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Total</w:t>
            </w:r>
          </w:p>
        </w:tc>
        <w:tc>
          <w:tcPr>
            <w:tcW w:type="dxa" w:w="43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1,50</w:t>
            </w:r>
          </w:p>
        </w:tc>
      </w:tr>
    </w:tbl>
    <w:p>
      <w:pPr>
        <w:spacing w:after="200" w:before="60" w:line="240"/>
        <w:jc w:val="left"/>
      </w:pPr>
      <w:r>
        <w:rPr>
          <w:rFonts w:ascii="Times New Roman" w:cs="Times New Roman" w:eastAsia="Times New Roman" w:hAnsi="Times New Roman"/>
          <w:i/>
          <w:iCs/>
          <w:sz w:val="20"/>
          <w:szCs w:val="20"/>
        </w:rPr>
        <w:t xml:space="preserve">Source : Épreuve de fin de semestre, ENFPE de Notsè, 2026.</w:t>
      </w:r>
    </w:p>
    <w:p>
      <w:pPr>
        <w:spacing w:after="120" w:before="0" w:line="360"/>
        <w:ind w:firstLine="709"/>
        <w:jc w:val="both"/>
      </w:pPr>
      <w:r>
        <w:rPr>
          <w:rFonts w:ascii="Times New Roman" w:cs="Times New Roman" w:eastAsia="Times New Roman" w:hAnsi="Times New Roman"/>
        </w:rPr>
        <w:t xml:space="preserve">La typologie des erreurs comprend cinq types : T1, l'interférence du modèle des nombres entiers dans la comparaison ; T2, l'algorithme erroné consistant à additionner les numérateurs et les dénominateurs entre eux ; T3, le défaut de conversion entre registres de représentation ; T4, la mauvaise interprétation de la fraction-opérateur ; T5, la simplification erronée, par exemple par soustraction d'un même nombre au numérateur et au dénominateur. Les types T1 à T3 sont considérés comme des manifestations directes d'obstacles épistémologiques ou sémiotiques.</w:t>
      </w:r>
    </w:p>
    <w:p>
      <w:pPr>
        <w:pStyle w:val="Heading4"/>
        <w:keepNext/>
        <w:keepLines/>
      </w:pPr>
      <w:r>
        <w:rPr>
          <w:rFonts w:ascii="Times New Roman" w:cs="Times New Roman" w:eastAsia="Times New Roman" w:hAnsi="Times New Roman"/>
        </w:rPr>
        <w:t xml:space="preserve">c) Outil 3 : le guide d'entretien semi-directif</w:t>
      </w:r>
    </w:p>
    <w:p>
      <w:pPr>
        <w:spacing w:after="120" w:before="0" w:line="360"/>
        <w:ind w:firstLine="709"/>
        <w:jc w:val="both"/>
      </w:pPr>
      <w:r>
        <w:rPr>
          <w:rFonts w:ascii="Times New Roman" w:cs="Times New Roman" w:eastAsia="Times New Roman" w:hAnsi="Times New Roman"/>
        </w:rPr>
        <w:t xml:space="preserve">L'entretien semi-directif permet de recueillir le discours des acteurs sur leurs pratiques et leurs difficultés tout en laissant place à l'expression de leurs points de vue (De Ketele &amp; Roegiers, 2009). Le guide comporte deux volets. Le volet A, destiné aux formateurs, porte sur l'explication des difficultés des EPE, les obstacles observés et les lacunes récurrentes des fiches pédagogiques. Le volet B, destiné aux EPE, porte sur l'auto-évaluation de leur maîtrise des fractions, les aspects jugés les plus complexes à enseigner et l'appréciation des outils reçus en formation. Chaque volet comprend trois questions principales, assorties de relances.</w:t>
      </w:r>
    </w:p>
    <w:p>
      <w:pPr>
        <w:pStyle w:val="Heading4"/>
        <w:keepNext/>
        <w:keepLines/>
      </w:pPr>
      <w:r>
        <w:rPr>
          <w:rFonts w:ascii="Times New Roman" w:cs="Times New Roman" w:eastAsia="Times New Roman" w:hAnsi="Times New Roman"/>
        </w:rPr>
        <w:t xml:space="preserve">d) Validité et fidélité des outils</w:t>
      </w:r>
    </w:p>
    <w:p>
      <w:pPr>
        <w:spacing w:after="120" w:before="0" w:line="360"/>
        <w:ind w:firstLine="709"/>
        <w:jc w:val="both"/>
      </w:pPr>
      <w:r>
        <w:rPr>
          <w:rFonts w:ascii="Times New Roman" w:cs="Times New Roman" w:eastAsia="Times New Roman" w:hAnsi="Times New Roman"/>
        </w:rPr>
        <w:t xml:space="preserve">Les outils ont été soumis à plusieurs contrôles avant leur utilisation. Leur validité de contenu repose sur leur construction à partir du cadre théorique : les critères de l'Outil 1 découlent de la TSD, de la dialectique outil-objet et des registres sémiotiques ; la typologie des erreurs de l'Outil 2 découle de la notion d'obstacle et des travaux sur le biais du nombre entier ; les questions de l'Outil 3 correspondent aux dimensions de la variable relative au dispositif de formation. Les outils ont été soumis à l'appréciation des professeurs titulaires du champ mathématique, dont les observations ont conduit à préciser la formulation de certains indicateurs.</w:t>
      </w:r>
    </w:p>
    <w:p>
      <w:pPr>
        <w:spacing w:after="120" w:before="0" w:line="360"/>
        <w:ind w:firstLine="709"/>
        <w:jc w:val="both"/>
      </w:pPr>
      <w:r>
        <w:rPr>
          <w:rFonts w:ascii="Times New Roman" w:cs="Times New Roman" w:eastAsia="Times New Roman" w:hAnsi="Times New Roman"/>
        </w:rPr>
        <w:t xml:space="preserve">Pour assurer la fidélité du codage, les grilles ont été pré-testées sur dix copies et dix fiches n'appartenant pas à l'échantillon. Un double codage indépendant a ensuite été réalisé avec un collègue stagiaire du champ mathématique sur un sous-ensemble de vingt copies et de vingt fiches ; les désaccords ont été discutés et ont conduit à préciser les règles de décision, par exemple la distinction entre une réponse partielle (1) et une réponse conforme (2) au critère C3. Le guide d'entretien a été testé auprès de deux EPE n'appartenant pas au sous-échantillon, ce qui a permis de reformuler une question jugée trop technique.</w:t>
      </w:r>
    </w:p>
    <w:p>
      <w:pPr>
        <w:pStyle w:val="Heading3"/>
        <w:keepNext/>
        <w:keepLines/>
      </w:pPr>
      <w:r>
        <w:rPr>
          <w:rFonts w:ascii="Times New Roman" w:cs="Times New Roman" w:eastAsia="Times New Roman" w:hAnsi="Times New Roman"/>
        </w:rPr>
        <w:t xml:space="preserve">3.5.6. Déroulement de la collecte</w:t>
      </w:r>
    </w:p>
    <w:p>
      <w:pPr>
        <w:spacing w:after="120" w:before="0" w:line="360"/>
        <w:ind w:firstLine="709"/>
        <w:jc w:val="both"/>
      </w:pPr>
      <w:r>
        <w:rPr>
          <w:rFonts w:ascii="Times New Roman" w:cs="Times New Roman" w:eastAsia="Times New Roman" w:hAnsi="Times New Roman"/>
        </w:rPr>
        <w:t xml:space="preserve">La collecte s'est déroulée d'avril à mai 2026. Les copies de l'exercice de la Notion B ont été consultées avec l'autorisation de la Direction et du délégué du champ mathématique, puis anonymisées. Les fiches pédagogiques ont été recueillies auprès des EPE lors du suivi du stage et de la correction des rapports de stage. Les entretiens ont été conduits individuellement, à l'ENFPE ou dans les écoles d'accueil, avec l'accord des participants ; d'une durée de 20 à 35 minutes, ils ont été enregistrés puis transcrits.</w:t>
      </w:r>
    </w:p>
    <w:p>
      <w:pPr>
        <w:pStyle w:val="Heading3"/>
        <w:keepNext/>
        <w:keepLines/>
      </w:pPr>
      <w:r>
        <w:rPr>
          <w:rFonts w:ascii="Times New Roman" w:cs="Times New Roman" w:eastAsia="Times New Roman" w:hAnsi="Times New Roman"/>
        </w:rPr>
        <w:t xml:space="preserve">3.5.7. Traitement et analyse des données</w:t>
      </w:r>
    </w:p>
    <w:p>
      <w:pPr>
        <w:spacing w:after="120" w:before="0" w:line="360"/>
        <w:ind w:firstLine="709"/>
        <w:jc w:val="both"/>
      </w:pPr>
      <w:r>
        <w:rPr>
          <w:rFonts w:ascii="Times New Roman" w:cs="Times New Roman" w:eastAsia="Times New Roman" w:hAnsi="Times New Roman"/>
        </w:rPr>
        <w:t xml:space="preserve">Les données quantitatives ont été saisies et traitées à l'aide d'un tableur (Microsoft Excel) et d'un logiciel de statistiques. Nous avons calculé des effectifs, des pourcentages, des moyennes et des écarts-types. Les relations entre variables qualitatives ont été testées à l'aide du test du khi-deux (χ²) d'indépendance, au seuil de signification de 5 %, et leur intensité mesurée par le V de Cramer. Lorsque la condition des effectifs théoriques supérieurs à 5 n'était pas remplie, des modalités ont été regroupées. La relation entre la note à l'exercice et le score de la fiche a été mesurée par le coefficient de corrélation de rang de Spearman (ρ). La représentativité de l'échantillon a été vérifiée par un test d'ajustement du khi-deux.</w:t>
      </w:r>
    </w:p>
    <w:p>
      <w:pPr>
        <w:spacing w:after="120" w:before="0" w:line="360"/>
        <w:ind w:firstLine="709"/>
        <w:jc w:val="both"/>
      </w:pPr>
      <w:r>
        <w:rPr>
          <w:rFonts w:ascii="Times New Roman" w:cs="Times New Roman" w:eastAsia="Times New Roman" w:hAnsi="Times New Roman"/>
        </w:rPr>
        <w:t xml:space="preserve">Les principales formules utilisées sont les suivantes. Le khi-deux d'indépendance est calculé par :</w:t>
      </w:r>
    </w:p>
    <w:p>
      <w:pPr>
        <w:spacing w:after="120" w:before="0" w:line="360"/>
        <w:jc w:val="center"/>
      </w:pPr>
      <w:r>
        <w:rPr>
          <w:rFonts w:ascii="Times New Roman" w:cs="Times New Roman" w:eastAsia="Times New Roman" w:hAnsi="Times New Roman"/>
        </w:rPr>
        <w:t xml:space="preserve">χ² = Σ (Oᵢⱼ – Eᵢⱼ)² / Eᵢⱼ</w:t>
      </w:r>
    </w:p>
    <w:p>
      <w:pPr>
        <w:spacing w:after="120" w:before="0" w:line="360"/>
        <w:ind w:firstLine="709"/>
        <w:jc w:val="both"/>
      </w:pPr>
      <w:r>
        <w:rPr>
          <w:rFonts w:ascii="Times New Roman" w:cs="Times New Roman" w:eastAsia="Times New Roman" w:hAnsi="Times New Roman"/>
        </w:rPr>
        <w:t xml:space="preserve">où Oᵢⱼ désigne l'effectif observé dans la cellule (i, j) du tableau croisé et Eᵢⱼ l'effectif théorique sous l'hypothèse d'indépendance, égal au produit des totaux de la ligne et de la colonne divisé par l'effectif total. Le nombre de degrés de liberté est égal à (l – 1)(c – 1), l et c désignant le nombre de lignes et de colonnes. L'hypothèse d'indépendance est rejetée lorsque la probabilité associée (p) est inférieure à 0,05. L'intensité de la liaison est mesurée par le V de Cramer :</w:t>
      </w:r>
    </w:p>
    <w:p>
      <w:pPr>
        <w:spacing w:after="120" w:before="0" w:line="360"/>
        <w:jc w:val="center"/>
      </w:pPr>
      <w:r>
        <w:rPr>
          <w:rFonts w:ascii="Times New Roman" w:cs="Times New Roman" w:eastAsia="Times New Roman" w:hAnsi="Times New Roman"/>
        </w:rPr>
        <w:t xml:space="preserve">V = √[ χ² / (n × min(l – 1 ; c – 1)) ]</w:t>
      </w:r>
    </w:p>
    <w:p>
      <w:pPr>
        <w:spacing w:after="120" w:before="0" w:line="360"/>
        <w:ind w:firstLine="709"/>
        <w:jc w:val="both"/>
      </w:pPr>
      <w:r>
        <w:rPr>
          <w:rFonts w:ascii="Times New Roman" w:cs="Times New Roman" w:eastAsia="Times New Roman" w:hAnsi="Times New Roman"/>
        </w:rPr>
        <w:t xml:space="preserve">dont la valeur varie de 0 (absence de liaison) à 1 (liaison parfaite) ; on considère usuellement qu'une valeur comprise entre 0,10 et 0,30 traduit une liaison faible, entre 0,30 et 0,50 une liaison moyenne et au-delà une liaison forte. Le coefficient de Spearman (ρ), qui varie de – 1 à + 1, a été retenu pour mesurer la relation entre la note et le score de la fiche, car ces deux variables sont ordinales et ne suivent pas une distribution normale.</w:t>
      </w:r>
    </w:p>
    <w:p>
      <w:pPr>
        <w:spacing w:after="120" w:before="0" w:line="360"/>
        <w:ind w:firstLine="709"/>
        <w:jc w:val="both"/>
      </w:pPr>
      <w:r>
        <w:rPr>
          <w:rFonts w:ascii="Times New Roman" w:cs="Times New Roman" w:eastAsia="Times New Roman" w:hAnsi="Times New Roman"/>
        </w:rPr>
        <w:t xml:space="preserve">Les données qualitatives issues des entretiens ont fait l'objet d'une analyse de contenu thématique (Bardin, 1977). Les transcriptions ont été découpées en unités de sens, codées selon une grille de thèmes construite à partir des questions de l'entretien et enrichie par les thèmes émergents, puis dénombrées afin de mesurer la fréquence de chaque thème (Miles &amp; Huberman, 2003). Les verbatims les plus représentatifs ont été retenus pour illustrer les résultats. Les formateurs sont désignés par les codes F1 à F4 et les EPE par les codes E1 à E20.</w:t>
      </w:r>
    </w:p>
    <w:p>
      <w:pPr>
        <w:pStyle w:val="Heading3"/>
        <w:keepNext/>
        <w:keepLines/>
      </w:pPr>
      <w:r>
        <w:rPr>
          <w:rFonts w:ascii="Times New Roman" w:cs="Times New Roman" w:eastAsia="Times New Roman" w:hAnsi="Times New Roman"/>
        </w:rPr>
        <w:t xml:space="preserve">3.5.8. Critères de vérification des hypothèses</w:t>
      </w:r>
    </w:p>
    <w:p>
      <w:pPr>
        <w:spacing w:after="120" w:before="0" w:line="360"/>
        <w:ind w:firstLine="709"/>
        <w:jc w:val="both"/>
      </w:pPr>
      <w:r>
        <w:rPr>
          <w:rFonts w:ascii="Times New Roman" w:cs="Times New Roman" w:eastAsia="Times New Roman" w:hAnsi="Times New Roman"/>
        </w:rPr>
        <w:t xml:space="preserve">Afin d'objectiver la vérification des hypothèses, nous avons fixé a priori les critères présentés dans le tableau 15.</w:t>
      </w:r>
    </w:p>
    <w:p>
      <w:pPr>
        <w:keepNext/>
        <w:keepLines/>
        <w:spacing w:after="80" w:before="160" w:line="276"/>
        <w:jc w:val="center"/>
      </w:pPr>
      <w:r>
        <w:rPr>
          <w:rFonts w:ascii="Times New Roman" w:cs="Times New Roman" w:eastAsia="Times New Roman" w:hAnsi="Times New Roman"/>
          <w:b/>
          <w:bCs/>
          <w:sz w:val="22"/>
          <w:szCs w:val="22"/>
        </w:rPr>
        <w:t xml:space="preserve">Tableau 15 : </w:t>
      </w:r>
      <w:r>
        <w:rPr>
          <w:rFonts w:ascii="Times New Roman" w:cs="Times New Roman" w:eastAsia="Times New Roman" w:hAnsi="Times New Roman"/>
          <w:b/>
          <w:bCs/>
          <w:sz w:val="22"/>
          <w:szCs w:val="22"/>
        </w:rPr>
        <w:t xml:space="preserve">Critères de vérification des hypothèses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88"/>
        <w:gridCol w:w="7984"/>
      </w:tblGrid>
      <w:tr>
        <w:trPr>
          <w:cantSplit/>
          <w:tblHeader/>
        </w:trPr>
        <w:tc>
          <w:tcPr>
            <w:tcW w:type="dxa" w:w="108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Hypothèse</w:t>
            </w:r>
          </w:p>
        </w:tc>
        <w:tc>
          <w:tcPr>
            <w:tcW w:type="dxa" w:w="798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Critère de confirmation</w:t>
            </w:r>
          </w:p>
        </w:tc>
      </w:tr>
      <w:tr>
        <w:trPr>
          <w:cantSplit/>
          <w:tblHeader w:val="false"/>
        </w:trPr>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HS1</w:t>
            </w:r>
          </w:p>
        </w:tc>
        <w:tc>
          <w:tcPr>
            <w:tcW w:type="dxa" w:w="79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Au moins 50 % des copies présentent au moins une erreur de type T1, T2 ou T3, et le taux de réussite est inférieur à 50 % pour au moins deux items conceptuels</w:t>
            </w:r>
          </w:p>
        </w:tc>
      </w:tr>
      <w:tr>
        <w:trPr>
          <w:cantSplit/>
          <w:tblHeader w:val="false"/>
        </w:trPr>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HS2</w:t>
            </w:r>
          </w:p>
        </w:tc>
        <w:tc>
          <w:tcPr>
            <w:tcW w:type="dxa" w:w="79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Au moins 50 % des fiches obtiennent 0 au critère C1, au moins 50 % ne prévoient aucun matériel de manipulation, et la moyenne au critère C3 est inférieure à 1 sur 2</w:t>
            </w:r>
          </w:p>
        </w:tc>
      </w:tr>
      <w:tr>
        <w:trPr>
          <w:cantSplit/>
          <w:tblHeader w:val="false"/>
        </w:trPr>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HS3</w:t>
            </w:r>
          </w:p>
        </w:tc>
        <w:tc>
          <w:tcPr>
            <w:tcW w:type="dxa" w:w="79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Chacun des trois facteurs (volume horaire, pratiques transmissives, encadrement) est évoqué par au moins 3 formateurs sur 4 et par au moins la moitié des EPE interviewés (10 sur 20)</w:t>
            </w:r>
          </w:p>
        </w:tc>
      </w:tr>
      <w:tr>
        <w:trPr>
          <w:cantSplit/>
          <w:tblHeader w:val="false"/>
        </w:trPr>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HP</w:t>
            </w:r>
          </w:p>
        </w:tc>
        <w:tc>
          <w:tcPr>
            <w:tcW w:type="dxa" w:w="79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Confirmée si les trois hypothèses secondaires sont confirmées ; partiellement confirmée si au moins deux le sont</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pStyle w:val="Heading3"/>
        <w:keepNext/>
        <w:keepLines/>
      </w:pPr>
      <w:r>
        <w:rPr>
          <w:rFonts w:ascii="Times New Roman" w:cs="Times New Roman" w:eastAsia="Times New Roman" w:hAnsi="Times New Roman"/>
        </w:rPr>
        <w:t xml:space="preserve">3.5.9. Considérations éthiques</w:t>
      </w:r>
    </w:p>
    <w:p>
      <w:pPr>
        <w:spacing w:after="120" w:before="0" w:line="360"/>
        <w:ind w:firstLine="709"/>
        <w:jc w:val="both"/>
      </w:pPr>
      <w:r>
        <w:rPr>
          <w:rFonts w:ascii="Times New Roman" w:cs="Times New Roman" w:eastAsia="Times New Roman" w:hAnsi="Times New Roman"/>
        </w:rPr>
        <w:t xml:space="preserve">La recherche a été conduite dans le respect des principes éthiques. L'autorisation de la Direction de l'ENFPE a été obtenue avant la consultation des documents. Les participants aux entretiens ont été informés des objectifs de l'étude et ont donné leur accord ; ils pouvaient se retirer à tout moment. Les copies, les fiches et les transcriptions ont été anonymisées, et les données n'ont été utilisées qu'à des fins de recherche.</w:t>
      </w:r>
    </w:p>
    <w:p>
      <w:pPr>
        <w:pStyle w:val="Heading3"/>
        <w:keepNext/>
        <w:keepLines/>
      </w:pPr>
      <w:r>
        <w:rPr>
          <w:rFonts w:ascii="Times New Roman" w:cs="Times New Roman" w:eastAsia="Times New Roman" w:hAnsi="Times New Roman"/>
        </w:rPr>
        <w:t xml:space="preserve">3.5.10. Difficultés rencontrées et limites méthodologiques</w:t>
      </w:r>
    </w:p>
    <w:p>
      <w:pPr>
        <w:spacing w:after="120" w:before="0" w:line="360"/>
        <w:ind w:firstLine="709"/>
        <w:jc w:val="both"/>
      </w:pPr>
      <w:r>
        <w:rPr>
          <w:rFonts w:ascii="Times New Roman" w:cs="Times New Roman" w:eastAsia="Times New Roman" w:hAnsi="Times New Roman"/>
        </w:rPr>
        <w:t xml:space="preserve">La principale difficulté méthodologique tient à l'impossibilité d'observer directement toutes les séances d'enseignement des fractions en classe, en raison du calendrier de fin de formation et de la dispersion des EPE dans les écoles d'accueil. Cette contrainte a conduit à privilégier l'analyse documentaire des fiches, qui renseigne sur les pratiques prévues mais non sur les pratiques effectives. Par ailleurs, les entretiens rétrospectifs recueillent un discours sur les pratiques, susceptible de biais de désirabilité sociale. La triangulation des trois sources de données vise à atténuer ces limites.</w:t>
      </w:r>
    </w:p>
    <w:p>
      <w:pPr>
        <w:pStyle w:val="Heading2"/>
        <w:keepNext/>
        <w:keepLines/>
      </w:pPr>
      <w:r>
        <w:rPr>
          <w:rFonts w:ascii="Times New Roman" w:cs="Times New Roman" w:eastAsia="Times New Roman" w:hAnsi="Times New Roman"/>
        </w:rPr>
        <w:t xml:space="preserve">Conclusion</w:t>
      </w:r>
    </w:p>
    <w:p>
      <w:pPr>
        <w:spacing w:after="120" w:before="0" w:line="360"/>
        <w:ind w:firstLine="709"/>
        <w:jc w:val="both"/>
      </w:pPr>
      <w:r>
        <w:rPr>
          <w:rFonts w:ascii="Times New Roman" w:cs="Times New Roman" w:eastAsia="Times New Roman" w:hAnsi="Times New Roman"/>
        </w:rPr>
        <w:t xml:space="preserve">Ce troisième chapitre a situé notre recherche dans le champ des connaissances existantes. La revue de la littérature a montré la complexité du concept de fraction, la force du biais du nombre entier, la fragilité fréquente des connaissances des futurs enseignants et l'efficacité des approches fondées sur les situations et les représentations. Le cadre théorique, articulant obstacle épistémologique, Théorie des Situations Didactiques, dialectique outil-objet, registres sémiotiques et double transposition didactique, fournit les outils d'analyse. La démarche méthodologique mixte, conduite auprès de 100 EPE et de 4 formateurs à l'aide de trois outils, permet désormais de présenter, d'analyser et de discuter les résultats : c'est l'objet du chapitre suivant.</w:t>
      </w:r>
    </w:p>
    <w:p>
      <w:pPr>
        <w:pStyle w:val="Heading1"/>
        <w:keepNext/>
        <w:keepLines/>
        <w:pageBreakBefore/>
      </w:pPr>
      <w:r>
        <w:rPr>
          <w:rFonts w:ascii="Times New Roman" w:cs="Times New Roman" w:eastAsia="Times New Roman" w:hAnsi="Times New Roman"/>
        </w:rPr>
        <w:t xml:space="preserve">CHAPITRE 4 : PRÉSENTATION, ANALYSE, INTERPRÉTATION ET DISCUSSION DES RÉSULTATS</w:t>
      </w:r>
    </w:p>
    <w:p>
      <w:pPr>
        <w:pStyle w:val="Heading2"/>
        <w:keepNext/>
        <w:keepLines/>
      </w:pPr>
      <w:r>
        <w:rPr>
          <w:rFonts w:ascii="Times New Roman" w:cs="Times New Roman" w:eastAsia="Times New Roman" w:hAnsi="Times New Roman"/>
        </w:rPr>
        <w:t xml:space="preserve">Introduction</w:t>
      </w:r>
    </w:p>
    <w:p>
      <w:pPr>
        <w:spacing w:after="120" w:before="0" w:line="360"/>
        <w:ind w:firstLine="709"/>
        <w:jc w:val="both"/>
      </w:pPr>
      <w:r>
        <w:rPr>
          <w:rFonts w:ascii="Times New Roman" w:cs="Times New Roman" w:eastAsia="Times New Roman" w:hAnsi="Times New Roman"/>
        </w:rPr>
        <w:t xml:space="preserve">Le chapitre précédent a défini le cadre théorique de l'étude et la démarche méthodologique adoptée. Le présent chapitre expose les résultats obtenus à l'aide des trois outils de collecte, les analyse, les interprète à la lumière du cadre théorique et procède à la vérification des hypothèses. Il présente d'abord les caractéristiques de l'échantillon. Il expose ensuite successivement les résultats relatifs à la maîtrise conceptuelle des fractions (Outil 2), aux pratiques de préparation des leçons (Outil 1) et au dispositif de formation et d'encadrement (Outil 3). Il procède enfin à la vérification des hypothèses et à la discussion des résultats au regard de la littérature.</w:t>
      </w:r>
    </w:p>
    <w:p>
      <w:pPr>
        <w:pStyle w:val="Heading2"/>
        <w:keepNext/>
        <w:keepLines/>
      </w:pPr>
      <w:r>
        <w:rPr>
          <w:rFonts w:ascii="Times New Roman" w:cs="Times New Roman" w:eastAsia="Times New Roman" w:hAnsi="Times New Roman"/>
        </w:rPr>
        <w:t xml:space="preserve">4.1. Caractéristiques de l'échantillon</w:t>
      </w:r>
    </w:p>
    <w:p>
      <w:pPr>
        <w:pStyle w:val="Heading3"/>
        <w:keepNext/>
        <w:keepLines/>
      </w:pPr>
      <w:r>
        <w:rPr>
          <w:rFonts w:ascii="Times New Roman" w:cs="Times New Roman" w:eastAsia="Times New Roman" w:hAnsi="Times New Roman"/>
        </w:rPr>
        <w:t xml:space="preserve">4.1.1. Répartition selon le sexe, l'âge et la série du baccalauréat</w:t>
      </w:r>
    </w:p>
    <w:p>
      <w:pPr>
        <w:spacing w:after="120" w:before="0" w:line="360"/>
        <w:ind w:firstLine="709"/>
        <w:jc w:val="both"/>
      </w:pPr>
      <w:r>
        <w:rPr>
          <w:rFonts w:ascii="Times New Roman" w:cs="Times New Roman" w:eastAsia="Times New Roman" w:hAnsi="Times New Roman"/>
        </w:rPr>
        <w:t xml:space="preserve">Le tableau 16 présente les caractéristiques sociodémographiques et académiques des 100 EPE de l'échantillon.</w:t>
      </w:r>
    </w:p>
    <w:p>
      <w:pPr>
        <w:keepNext/>
        <w:keepLines/>
        <w:spacing w:after="80" w:before="160" w:line="276"/>
        <w:jc w:val="center"/>
      </w:pPr>
      <w:r>
        <w:rPr>
          <w:rFonts w:ascii="Times New Roman" w:cs="Times New Roman" w:eastAsia="Times New Roman" w:hAnsi="Times New Roman"/>
          <w:b/>
          <w:bCs/>
          <w:sz w:val="22"/>
          <w:szCs w:val="22"/>
        </w:rPr>
        <w:t xml:space="preserve">Tableau 16 : </w:t>
      </w:r>
      <w:r>
        <w:rPr>
          <w:rFonts w:ascii="Times New Roman" w:cs="Times New Roman" w:eastAsia="Times New Roman" w:hAnsi="Times New Roman"/>
          <w:b/>
          <w:bCs/>
          <w:sz w:val="22"/>
          <w:szCs w:val="22"/>
        </w:rPr>
        <w:t xml:space="preserve">Caractéristiques des EPE de l'échantillon (n = 100)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3265"/>
        <w:gridCol w:w="1360"/>
        <w:gridCol w:w="1363"/>
      </w:tblGrid>
      <w:tr>
        <w:trPr>
          <w:cantSplit/>
          <w:tblHeader/>
        </w:trPr>
        <w:tc>
          <w:tcPr>
            <w:tcW w:type="dxa" w:w="308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Variable</w:t>
            </w:r>
          </w:p>
        </w:tc>
        <w:tc>
          <w:tcPr>
            <w:tcW w:type="dxa" w:w="326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Modalités</w:t>
            </w:r>
          </w:p>
        </w:tc>
        <w:tc>
          <w:tcPr>
            <w:tcW w:type="dxa" w:w="13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Effectif</w:t>
            </w:r>
          </w:p>
        </w:tc>
        <w:tc>
          <w:tcPr>
            <w:tcW w:type="dxa" w:w="136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Pourcentage</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Sexe</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Masculin</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61</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61 %</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Féminin</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39</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39 %</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Âge</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20 à 24 ans</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34</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34 %</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25 à 29 ans</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47</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47 %</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30 ans et plus</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19</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19 %</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Série du baccalauréat</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A4 (littéraire)</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46</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46 %</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 (scientifique)</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41</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41 %</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 ou E (scientifiques)</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13</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13 %</w:t>
            </w:r>
          </w:p>
        </w:tc>
      </w:tr>
      <w:tr>
        <w:trPr>
          <w:cantSplit/>
          <w:tblHeader w:val="false"/>
        </w:trPr>
        <w:tc>
          <w:tcPr>
            <w:tcW w:type="dxa" w:w="30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Total</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100</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100 %</w:t>
            </w:r>
          </w:p>
        </w:tc>
      </w:tr>
    </w:tbl>
    <w:p>
      <w:pPr>
        <w:spacing w:after="200" w:before="60" w:line="240"/>
        <w:jc w:val="left"/>
      </w:pPr>
      <w:r>
        <w:rPr>
          <w:rFonts w:ascii="Times New Roman" w:cs="Times New Roman" w:eastAsia="Times New Roman" w:hAnsi="Times New Roman"/>
          <w:i/>
          <w:iCs/>
          <w:sz w:val="20"/>
          <w:szCs w:val="20"/>
        </w:rPr>
        <w:t xml:space="preserve">Source : Dossiers administratifs des EPE, ENFPE de Notsè, 2026.</w:t>
      </w:r>
    </w:p>
    <w:p>
      <w:pPr>
        <w:spacing w:after="120" w:before="0" w:line="360"/>
        <w:ind w:firstLine="709"/>
        <w:jc w:val="both"/>
      </w:pPr>
      <w:r>
        <w:rPr>
          <w:rFonts w:ascii="Times New Roman" w:cs="Times New Roman" w:eastAsia="Times New Roman" w:hAnsi="Times New Roman"/>
        </w:rPr>
        <w:t xml:space="preserve">L'échantillon est majoritairement masculin (61 %), ce qui reflète la composition de la promotion. La tranche d'âge de 25 à 29 ans est la plus représentée (47 %). Sur le plan académique, près de la moitié des EPE (46 %) sont titulaires d'un baccalauréat littéraire de série A4, contre 54 % issus des séries scientifiques D, C ou E. Le graphique 1 illustre cette répartition.</w:t>
      </w:r>
    </w:p>
    <w:p>
      <w:pPr>
        <w:keepNext/>
        <w:keepLines/>
        <w:spacing w:after="80" w:before="160" w:line="276"/>
        <w:jc w:val="center"/>
      </w:pPr>
      <w:r>
        <w:rPr>
          <w:rFonts w:ascii="Times New Roman" w:cs="Times New Roman" w:eastAsia="Times New Roman" w:hAnsi="Times New Roman"/>
          <w:b/>
          <w:bCs/>
          <w:sz w:val="22"/>
          <w:szCs w:val="22"/>
        </w:rPr>
        <w:t xml:space="preserve">Graphique 1 : </w:t>
      </w:r>
      <w:r>
        <w:rPr>
          <w:rFonts w:ascii="Times New Roman" w:cs="Times New Roman" w:eastAsia="Times New Roman" w:hAnsi="Times New Roman"/>
          <w:b/>
          <w:bCs/>
          <w:sz w:val="22"/>
          <w:szCs w:val="22"/>
        </w:rPr>
        <w:t xml:space="preserve">Répartition des EPE de l'échantillon selon la série du baccalauréat</w:t>
      </w:r>
    </w:p>
    <w:p>
      <w:pPr>
        <w:keepNext/>
        <w:spacing w:after="60" w:before="60"/>
        <w:jc w:val="center"/>
      </w:pPr>
      <w:r>
        <w:drawing>
          <wp:inline distT="0" distB="0" distL="0" distR="0">
            <wp:extent cx="5581650" cy="2638425"/>
            <wp:effectExtent t="0" r="0" b="0" l="0"/>
            <wp:docPr id="1" name="f_serie" descr="f_serie" title="f_s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638425"/>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Notre enquête, 2026.</w:t>
      </w:r>
    </w:p>
    <w:p>
      <w:pPr>
        <w:spacing w:after="120" w:before="0" w:line="360"/>
        <w:ind w:firstLine="709"/>
        <w:jc w:val="both"/>
      </w:pPr>
      <w:r>
        <w:rPr>
          <w:rFonts w:ascii="Times New Roman" w:cs="Times New Roman" w:eastAsia="Times New Roman" w:hAnsi="Times New Roman"/>
        </w:rPr>
        <w:t xml:space="preserve">Cette forte proportion d'EPE issus d'une série littéraire est une donnée importante pour notre étude. Ces EPE ont suivi, au second cycle du secondaire, un enseignement des mathématiques plus réduit, ce qui laisse présager une consolidation moindre des connaissances relatives aux nombres rationnels.</w:t>
      </w:r>
    </w:p>
    <w:p>
      <w:pPr>
        <w:pStyle w:val="Heading3"/>
        <w:keepNext/>
        <w:keepLines/>
      </w:pPr>
      <w:r>
        <w:rPr>
          <w:rFonts w:ascii="Times New Roman" w:cs="Times New Roman" w:eastAsia="Times New Roman" w:hAnsi="Times New Roman"/>
        </w:rPr>
        <w:t xml:space="preserve">4.1.2. Représentativité de l'échantillon</w:t>
      </w:r>
    </w:p>
    <w:p>
      <w:pPr>
        <w:spacing w:after="120" w:before="0" w:line="360"/>
        <w:ind w:firstLine="709"/>
        <w:jc w:val="both"/>
      </w:pPr>
      <w:r>
        <w:rPr>
          <w:rFonts w:ascii="Times New Roman" w:cs="Times New Roman" w:eastAsia="Times New Roman" w:hAnsi="Times New Roman"/>
        </w:rPr>
        <w:t xml:space="preserve">Pour vérifier la représentativité de l'échantillon, nous avons comparé la répartition des EPE selon le niveau de maîtrise de la Notion B dans l'échantillon et dans la population (tableau 17).</w:t>
      </w:r>
    </w:p>
    <w:p>
      <w:pPr>
        <w:keepNext/>
        <w:keepLines/>
        <w:spacing w:after="80" w:before="160" w:line="276"/>
        <w:jc w:val="center"/>
      </w:pPr>
      <w:r>
        <w:rPr>
          <w:rFonts w:ascii="Times New Roman" w:cs="Times New Roman" w:eastAsia="Times New Roman" w:hAnsi="Times New Roman"/>
          <w:b/>
          <w:bCs/>
          <w:sz w:val="22"/>
          <w:szCs w:val="22"/>
        </w:rPr>
        <w:t xml:space="preserve">Tableau 17 : </w:t>
      </w:r>
      <w:r>
        <w:rPr>
          <w:rFonts w:ascii="Times New Roman" w:cs="Times New Roman" w:eastAsia="Times New Roman" w:hAnsi="Times New Roman"/>
          <w:b/>
          <w:bCs/>
          <w:sz w:val="22"/>
          <w:szCs w:val="22"/>
        </w:rPr>
        <w:t xml:space="preserve">Comparaison de la répartition par niveau de maîtrise dans la population et dans l'échantillon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1995"/>
        <w:gridCol w:w="1995"/>
        <w:gridCol w:w="1998"/>
      </w:tblGrid>
      <w:tr>
        <w:trPr>
          <w:cantSplit/>
          <w:tblHeader/>
        </w:trPr>
        <w:tc>
          <w:tcPr>
            <w:tcW w:type="dxa" w:w="308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Niveau de maîtrise</w:t>
            </w:r>
          </w:p>
        </w:tc>
        <w:tc>
          <w:tcPr>
            <w:tcW w:type="dxa" w:w="199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Population (N = 385)</w:t>
            </w:r>
          </w:p>
        </w:tc>
        <w:tc>
          <w:tcPr>
            <w:tcW w:type="dxa" w:w="199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Échantillon (n = 100)</w:t>
            </w:r>
          </w:p>
        </w:tc>
        <w:tc>
          <w:tcPr>
            <w:tcW w:type="dxa" w:w="199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Écart (points)</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Non acquis [0 – 0,50]</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35,85 %</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36 %</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+ 0,15</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 cours d'acquisition [0,51 – 1,00]</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42,08 %</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42 %</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 0,08</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Acquis [1,01 – 1,50]</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22,07 %</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22 %</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 0,07</w:t>
            </w:r>
          </w:p>
        </w:tc>
      </w:tr>
      <w:tr>
        <w:trPr>
          <w:cantSplit/>
          <w:tblHeader w:val="false"/>
        </w:trPr>
        <w:tc>
          <w:tcPr>
            <w:tcW w:type="dxa" w:w="30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Test d'ajustement</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χ² = 0,001 ; ddl = 2 ; p = 0,999</w:t>
            </w:r>
          </w:p>
        </w:tc>
      </w:tr>
    </w:tbl>
    <w:p>
      <w:pPr>
        <w:spacing w:after="200" w:before="60" w:line="240"/>
        <w:jc w:val="left"/>
      </w:pPr>
      <w:r>
        <w:rPr>
          <w:rFonts w:ascii="Times New Roman" w:cs="Times New Roman" w:eastAsia="Times New Roman" w:hAnsi="Times New Roman"/>
          <w:i/>
          <w:iCs/>
          <w:sz w:val="20"/>
          <w:szCs w:val="20"/>
        </w:rPr>
        <w:t xml:space="preserve">Source : Tableau d'analyse notionnelle et notre enquête, 2026.</w:t>
      </w:r>
    </w:p>
    <w:p>
      <w:pPr>
        <w:spacing w:after="120" w:before="0" w:line="360"/>
        <w:ind w:firstLine="709"/>
        <w:jc w:val="both"/>
      </w:pPr>
      <w:r>
        <w:rPr>
          <w:rFonts w:ascii="Times New Roman" w:cs="Times New Roman" w:eastAsia="Times New Roman" w:hAnsi="Times New Roman"/>
        </w:rPr>
        <w:t xml:space="preserve">Les écarts entre l'échantillon et la population sont inférieurs à 0,2 point pour chaque niveau, et le test d'ajustement du khi-deux n'est pas significatif (p = 0,999). L'échantillon reproduit donc fidèlement la structure de la population, ce que confirme le graphique 2. Les résultats obtenus peuvent, dans les limites de la marge d'erreur retenue, être généralisés à l'ensemble de la Promotion 3.</w:t>
      </w:r>
    </w:p>
    <w:p>
      <w:pPr>
        <w:keepNext/>
        <w:keepLines/>
        <w:spacing w:after="80" w:before="160" w:line="276"/>
        <w:jc w:val="center"/>
      </w:pPr>
      <w:r>
        <w:rPr>
          <w:rFonts w:ascii="Times New Roman" w:cs="Times New Roman" w:eastAsia="Times New Roman" w:hAnsi="Times New Roman"/>
          <w:b/>
          <w:bCs/>
          <w:sz w:val="22"/>
          <w:szCs w:val="22"/>
        </w:rPr>
        <w:t xml:space="preserve">Graphique 2 : </w:t>
      </w:r>
      <w:r>
        <w:rPr>
          <w:rFonts w:ascii="Times New Roman" w:cs="Times New Roman" w:eastAsia="Times New Roman" w:hAnsi="Times New Roman"/>
          <w:b/>
          <w:bCs/>
          <w:sz w:val="22"/>
          <w:szCs w:val="22"/>
        </w:rPr>
        <w:t xml:space="preserve">Répartition par niveau de maîtrise : population et échantillon</w:t>
      </w:r>
    </w:p>
    <w:p>
      <w:pPr>
        <w:keepNext/>
        <w:spacing w:after="60" w:before="60"/>
        <w:jc w:val="center"/>
      </w:pPr>
      <w:r>
        <w:drawing>
          <wp:inline distT="0" distB="0" distL="0" distR="0">
            <wp:extent cx="5581650" cy="2962275"/>
            <wp:effectExtent t="0" r="0" b="0" l="0"/>
            <wp:docPr id="1" name="f_popech" descr="f_popech" title="f_pop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962275"/>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Tableau d'analyse notionnelle et notre enquête, 2026.</w:t>
      </w:r>
    </w:p>
    <w:p>
      <w:pPr>
        <w:pStyle w:val="Heading2"/>
        <w:keepNext/>
        <w:keepLines/>
      </w:pPr>
      <w:r>
        <w:rPr>
          <w:rFonts w:ascii="Times New Roman" w:cs="Times New Roman" w:eastAsia="Times New Roman" w:hAnsi="Times New Roman"/>
        </w:rPr>
        <w:t xml:space="preserve">4.2. Résultats relatifs à la maîtrise conceptuelle des fractions</w:t>
      </w:r>
    </w:p>
    <w:p>
      <w:pPr>
        <w:spacing w:after="120" w:before="0" w:line="360"/>
        <w:ind w:firstLine="709"/>
        <w:jc w:val="both"/>
      </w:pPr>
      <w:r>
        <w:rPr>
          <w:rFonts w:ascii="Times New Roman" w:cs="Times New Roman" w:eastAsia="Times New Roman" w:hAnsi="Times New Roman"/>
        </w:rPr>
        <w:t xml:space="preserve">Cette section présente les résultats issus de l'Outil 2, la grille de dépouillement et d'analyse des copies de l'exercice de la Notion B. Elle répond à la question secondaire QS1 et permet de tester l'hypothèse HS1.</w:t>
      </w:r>
    </w:p>
    <w:p>
      <w:pPr>
        <w:pStyle w:val="Heading3"/>
        <w:keepNext/>
        <w:keepLines/>
      </w:pPr>
      <w:r>
        <w:rPr>
          <w:rFonts w:ascii="Times New Roman" w:cs="Times New Roman" w:eastAsia="Times New Roman" w:hAnsi="Times New Roman"/>
        </w:rPr>
        <w:t xml:space="preserve">4.2.1. Performances globales à l'exercice de la Notion B</w:t>
      </w:r>
    </w:p>
    <w:p>
      <w:pPr>
        <w:spacing w:after="120" w:before="0" w:line="360"/>
        <w:ind w:firstLine="709"/>
        <w:jc w:val="both"/>
      </w:pPr>
      <w:r>
        <w:rPr>
          <w:rFonts w:ascii="Times New Roman" w:cs="Times New Roman" w:eastAsia="Times New Roman" w:hAnsi="Times New Roman"/>
        </w:rPr>
        <w:t xml:space="preserve">Le tableau 18 présente la distribution des notes obtenues par les 100 EPE, et le tableau 19 les principaux indicateurs statistiques.</w:t>
      </w:r>
    </w:p>
    <w:p>
      <w:pPr>
        <w:keepNext/>
        <w:keepLines/>
        <w:spacing w:after="80" w:before="160" w:line="276"/>
        <w:jc w:val="center"/>
      </w:pPr>
      <w:r>
        <w:rPr>
          <w:rFonts w:ascii="Times New Roman" w:cs="Times New Roman" w:eastAsia="Times New Roman" w:hAnsi="Times New Roman"/>
          <w:b/>
          <w:bCs/>
          <w:sz w:val="22"/>
          <w:szCs w:val="22"/>
        </w:rPr>
        <w:t xml:space="preserve">Tableau 18 : </w:t>
      </w:r>
      <w:r>
        <w:rPr>
          <w:rFonts w:ascii="Times New Roman" w:cs="Times New Roman" w:eastAsia="Times New Roman" w:hAnsi="Times New Roman"/>
          <w:b/>
          <w:bCs/>
          <w:sz w:val="22"/>
          <w:szCs w:val="22"/>
        </w:rPr>
        <w:t xml:space="preserve">Distribution des notes des EPE à l'exercice de la Notion B (/1,5)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3084"/>
        <w:gridCol w:w="1270"/>
        <w:gridCol w:w="1270"/>
        <w:gridCol w:w="1453"/>
      </w:tblGrid>
      <w:tr>
        <w:trPr>
          <w:cantSplit/>
          <w:tblHeader/>
        </w:trPr>
        <w:tc>
          <w:tcPr>
            <w:tcW w:type="dxa" w:w="199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Note (/1,5)</w:t>
            </w:r>
          </w:p>
        </w:tc>
        <w:tc>
          <w:tcPr>
            <w:tcW w:type="dxa" w:w="308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Interprétation</w:t>
            </w:r>
          </w:p>
        </w:tc>
        <w:tc>
          <w:tcPr>
            <w:tcW w:type="dxa" w:w="127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Effectif</w:t>
            </w:r>
          </w:p>
        </w:tc>
        <w:tc>
          <w:tcPr>
            <w:tcW w:type="dxa" w:w="127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w:t>
            </w:r>
          </w:p>
        </w:tc>
        <w:tc>
          <w:tcPr>
            <w:tcW w:type="dxa" w:w="145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 cumulé</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0 et 0,25</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Non-maîtrise critique</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16</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16 %</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16 %</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0,50</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Obstacles majeurs</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20</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20 %</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36 %</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0,75</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Maîtrise très fragile</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23</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23 %</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59 %</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1,00</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Maîtrise partielle</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19</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19 %</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78 %</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1,25</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Maîtrise satisfaisante</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14</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14 %</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92 %</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1,50</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Maîtrise complète</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8</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8 %</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100 %</w:t>
            </w:r>
          </w:p>
        </w:tc>
      </w:tr>
      <w:tr>
        <w:trPr>
          <w:cantSplit/>
          <w:tblHeader w:val="false"/>
        </w:trPr>
        <w:tc>
          <w:tcPr>
            <w:tcW w:type="dxa" w:w="1995"/>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Total</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100</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100 %</w:t>
            </w:r>
          </w:p>
        </w:tc>
        <w:tc>
          <w:tcPr>
            <w:tcW w:type="dxa" w:w="14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2).</w:t>
      </w:r>
    </w:p>
    <w:p>
      <w:pPr>
        <w:keepNext/>
        <w:keepLines/>
        <w:spacing w:after="80" w:before="160" w:line="276"/>
        <w:jc w:val="center"/>
      </w:pPr>
      <w:r>
        <w:rPr>
          <w:rFonts w:ascii="Times New Roman" w:cs="Times New Roman" w:eastAsia="Times New Roman" w:hAnsi="Times New Roman"/>
          <w:b/>
          <w:bCs/>
          <w:sz w:val="22"/>
          <w:szCs w:val="22"/>
        </w:rPr>
        <w:t xml:space="preserve">Tableau 19 : </w:t>
      </w:r>
      <w:r>
        <w:rPr>
          <w:rFonts w:ascii="Times New Roman" w:cs="Times New Roman" w:eastAsia="Times New Roman" w:hAnsi="Times New Roman"/>
          <w:b/>
          <w:bCs/>
          <w:sz w:val="22"/>
          <w:szCs w:val="22"/>
        </w:rPr>
        <w:t xml:space="preserve">Indicateurs statistiques des notes à l'exercice de la Notion B</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2268"/>
        <w:gridCol w:w="2268"/>
      </w:tblGrid>
      <w:tr>
        <w:trPr>
          <w:cantSplit/>
          <w:tblHeader/>
        </w:trPr>
        <w:tc>
          <w:tcPr>
            <w:tcW w:type="dxa" w:w="453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Indicateur</w:t>
            </w:r>
          </w:p>
        </w:tc>
        <w:tc>
          <w:tcPr>
            <w:tcW w:type="dxa" w:w="226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Valeur (/1,5)</w:t>
            </w:r>
          </w:p>
        </w:tc>
        <w:tc>
          <w:tcPr>
            <w:tcW w:type="dxa" w:w="226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Équivalent sur 20</w:t>
            </w:r>
          </w:p>
        </w:tc>
      </w:tr>
      <w:tr>
        <w:trPr>
          <w:cantSplit/>
          <w:tblHeader w:val="false"/>
        </w:trPr>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Moyenne</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0,78</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10,43</w:t>
            </w:r>
          </w:p>
        </w:tc>
      </w:tr>
      <w:tr>
        <w:trPr>
          <w:cantSplit/>
          <w:tblHeader w:val="false"/>
        </w:trPr>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Écart-type</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0,40</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5,39</w:t>
            </w:r>
          </w:p>
        </w:tc>
      </w:tr>
      <w:tr>
        <w:trPr>
          <w:cantSplit/>
          <w:tblHeader w:val="false"/>
        </w:trPr>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Médiane</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0,75</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10,00</w:t>
            </w:r>
          </w:p>
        </w:tc>
      </w:tr>
      <w:tr>
        <w:trPr>
          <w:cantSplit/>
          <w:tblHeader w:val="false"/>
        </w:trPr>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Mode</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0,75</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10,00</w:t>
            </w:r>
          </w:p>
        </w:tc>
      </w:tr>
      <w:tr>
        <w:trPr>
          <w:cantSplit/>
          <w:tblHeader w:val="false"/>
        </w:trPr>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Premier quartile (Q1)</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0,50</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6,67</w:t>
            </w:r>
          </w:p>
        </w:tc>
      </w:tr>
      <w:tr>
        <w:trPr>
          <w:cantSplit/>
          <w:tblHeader w:val="false"/>
        </w:trPr>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Troisième quartile (Q3)</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1,00</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13,33</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2).</w:t>
      </w:r>
    </w:p>
    <w:p>
      <w:pPr>
        <w:spacing w:after="120" w:before="0" w:line="360"/>
        <w:ind w:firstLine="709"/>
        <w:jc w:val="both"/>
      </w:pPr>
      <w:r>
        <w:rPr>
          <w:rFonts w:ascii="Times New Roman" w:cs="Times New Roman" w:eastAsia="Times New Roman" w:hAnsi="Times New Roman"/>
        </w:rPr>
        <w:t xml:space="preserve">La moyenne de l'échantillon s'établit à 0,78 sur 1,5, soit un peu plus de la moitié du barème, avec un écart-type de 0,40 qui traduit une forte dispersion des performances. La médiane et le mode se situent à 0,75, c'est-à-dire exactement à la moitié du barème : la moitié des EPE n'atteignent donc pas la moyenne sur un exercice portant sur une notion du primaire. Le premier quartile, situé à 0,50, indique qu'un quart des EPE obtiennent au plus le tiers des points.</w:t>
      </w:r>
    </w:p>
    <w:p>
      <w:pPr>
        <w:keepNext/>
        <w:keepLines/>
        <w:spacing w:after="80" w:before="160" w:line="276"/>
        <w:jc w:val="center"/>
      </w:pPr>
      <w:r>
        <w:rPr>
          <w:rFonts w:ascii="Times New Roman" w:cs="Times New Roman" w:eastAsia="Times New Roman" w:hAnsi="Times New Roman"/>
          <w:b/>
          <w:bCs/>
          <w:sz w:val="22"/>
          <w:szCs w:val="22"/>
        </w:rPr>
        <w:t xml:space="preserve">Graphique 3 : </w:t>
      </w:r>
      <w:r>
        <w:rPr>
          <w:rFonts w:ascii="Times New Roman" w:cs="Times New Roman" w:eastAsia="Times New Roman" w:hAnsi="Times New Roman"/>
          <w:b/>
          <w:bCs/>
          <w:sz w:val="22"/>
          <w:szCs w:val="22"/>
        </w:rPr>
        <w:t xml:space="preserve">Distribution des notes à l'exercice de la Notion B</w:t>
      </w:r>
    </w:p>
    <w:p>
      <w:pPr>
        <w:keepNext/>
        <w:spacing w:after="60" w:before="60"/>
        <w:jc w:val="center"/>
      </w:pPr>
      <w:r>
        <w:drawing>
          <wp:inline distT="0" distB="0" distL="0" distR="0">
            <wp:extent cx="5581650" cy="2962275"/>
            <wp:effectExtent t="0" r="0" b="0" l="0"/>
            <wp:docPr id="1" name="f_notes" descr="f_notes" title="f_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962275"/>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Notre enquête, 2026 (Outil 2).</w:t>
      </w:r>
    </w:p>
    <w:p>
      <w:pPr>
        <w:spacing w:after="120" w:before="0" w:line="360"/>
        <w:ind w:firstLine="709"/>
        <w:jc w:val="both"/>
      </w:pPr>
      <w:r>
        <w:rPr>
          <w:rFonts w:ascii="Times New Roman" w:cs="Times New Roman" w:eastAsia="Times New Roman" w:hAnsi="Times New Roman"/>
        </w:rPr>
        <w:t xml:space="preserve">Au total, 36 % des EPE se situent au niveau « non acquis », 42 % au niveau « en cours d'acquisition » et 22 % seulement au niveau « acquis ». Autrement dit, près de quatre futurs enseignants sur cinq (78 %) ne maîtrisent pas, ou maîtrisent de manière fragile, une notion qu'ils auront à enseigner dès leur prise de fonction. Ce premier résultat confirme l'ampleur du problème identifié au cours du stage.</w:t>
      </w:r>
    </w:p>
    <w:p>
      <w:pPr>
        <w:pStyle w:val="Heading3"/>
        <w:keepNext/>
        <w:keepLines/>
      </w:pPr>
      <w:r>
        <w:rPr>
          <w:rFonts w:ascii="Times New Roman" w:cs="Times New Roman" w:eastAsia="Times New Roman" w:hAnsi="Times New Roman"/>
        </w:rPr>
        <w:t xml:space="preserve">4.2.2. Performances selon les items de l'exercice</w:t>
      </w:r>
    </w:p>
    <w:p>
      <w:pPr>
        <w:spacing w:after="120" w:before="0" w:line="360"/>
        <w:ind w:firstLine="709"/>
        <w:jc w:val="both"/>
      </w:pPr>
      <w:r>
        <w:rPr>
          <w:rFonts w:ascii="Times New Roman" w:cs="Times New Roman" w:eastAsia="Times New Roman" w:hAnsi="Times New Roman"/>
        </w:rPr>
        <w:t xml:space="preserve">Afin d'identifier les facettes de la fraction les moins maîtrisées, nous avons analysé la réussite à chacun des items (tableau 20).</w:t>
      </w:r>
    </w:p>
    <w:p>
      <w:pPr>
        <w:keepNext/>
        <w:keepLines/>
        <w:spacing w:after="80" w:before="160" w:line="276"/>
        <w:jc w:val="center"/>
      </w:pPr>
      <w:r>
        <w:rPr>
          <w:rFonts w:ascii="Times New Roman" w:cs="Times New Roman" w:eastAsia="Times New Roman" w:hAnsi="Times New Roman"/>
          <w:b/>
          <w:bCs/>
          <w:sz w:val="22"/>
          <w:szCs w:val="22"/>
        </w:rPr>
        <w:t xml:space="preserve">Tableau 20 : </w:t>
      </w:r>
      <w:r>
        <w:rPr>
          <w:rFonts w:ascii="Times New Roman" w:cs="Times New Roman" w:eastAsia="Times New Roman" w:hAnsi="Times New Roman"/>
          <w:b/>
          <w:bCs/>
          <w:sz w:val="22"/>
          <w:szCs w:val="22"/>
        </w:rPr>
        <w:t xml:space="preserve">Taux de réussite des EPE aux différents items de l'exercice de la Notion B</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810"/>
        <w:gridCol w:w="1814"/>
        <w:gridCol w:w="1723"/>
        <w:gridCol w:w="1725"/>
      </w:tblGrid>
      <w:tr>
        <w:trPr>
          <w:cantSplit/>
          <w:tblHeader/>
        </w:trPr>
        <w:tc>
          <w:tcPr>
            <w:tcW w:type="dxa" w:w="381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Item (facette évaluée)</w:t>
            </w:r>
          </w:p>
        </w:tc>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Réussite complète</w:t>
            </w:r>
          </w:p>
        </w:tc>
        <w:tc>
          <w:tcPr>
            <w:tcW w:type="dxa" w:w="172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Réussite partielle</w:t>
            </w:r>
          </w:p>
        </w:tc>
        <w:tc>
          <w:tcPr>
            <w:tcW w:type="dxa" w:w="172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Échec</w:t>
            </w:r>
          </w:p>
        </w:tc>
      </w:tr>
      <w:tr>
        <w:trPr>
          <w:cantSplit/>
          <w:tblHeader w:val="false"/>
        </w:trPr>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I1 – Représentation graphique (partie-tout, conversion)</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76 %</w:t>
            </w:r>
          </w:p>
        </w:tc>
        <w:tc>
          <w:tcPr>
            <w:tcW w:type="dxa" w:w="1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c>
          <w:tcPr>
            <w:tcW w:type="dxa" w:w="1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24 %</w:t>
            </w:r>
          </w:p>
        </w:tc>
      </w:tr>
      <w:tr>
        <w:trPr>
          <w:cantSplit/>
          <w:tblHeader w:val="false"/>
        </w:trPr>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I3 – Équivalence et simplification</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64 %</w:t>
            </w:r>
          </w:p>
        </w:tc>
        <w:tc>
          <w:tcPr>
            <w:tcW w:type="dxa" w:w="1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c>
          <w:tcPr>
            <w:tcW w:type="dxa" w:w="1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36 %</w:t>
            </w:r>
          </w:p>
        </w:tc>
      </w:tr>
      <w:tr>
        <w:trPr>
          <w:cantSplit/>
          <w:tblHeader w:val="false"/>
        </w:trPr>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I2 – Comparaison de fractions (ordre)</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53 %</w:t>
            </w:r>
          </w:p>
        </w:tc>
        <w:tc>
          <w:tcPr>
            <w:tcW w:type="dxa" w:w="1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c>
          <w:tcPr>
            <w:tcW w:type="dxa" w:w="1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47 %</w:t>
            </w:r>
          </w:p>
        </w:tc>
      </w:tr>
      <w:tr>
        <w:trPr>
          <w:cantSplit/>
          <w:tblHeader w:val="false"/>
        </w:trPr>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I5 – Problème (fraction-opérateur)</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46 %</w:t>
            </w:r>
          </w:p>
        </w:tc>
        <w:tc>
          <w:tcPr>
            <w:tcW w:type="dxa" w:w="1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c>
          <w:tcPr>
            <w:tcW w:type="dxa" w:w="1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54 %</w:t>
            </w:r>
          </w:p>
        </w:tc>
      </w:tr>
      <w:tr>
        <w:trPr>
          <w:cantSplit/>
          <w:tblHeader w:val="false"/>
        </w:trPr>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I4 – Addition et soustraction (dénominateurs différents)</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18 %</w:t>
            </w:r>
          </w:p>
        </w:tc>
        <w:tc>
          <w:tcPr>
            <w:tcW w:type="dxa" w:w="1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38 %</w:t>
            </w:r>
          </w:p>
        </w:tc>
        <w:tc>
          <w:tcPr>
            <w:tcW w:type="dxa" w:w="1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44 %</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2).</w:t>
      </w:r>
    </w:p>
    <w:p>
      <w:pPr>
        <w:keepNext/>
        <w:keepLines/>
        <w:spacing w:after="80" w:before="160" w:line="276"/>
        <w:jc w:val="center"/>
      </w:pPr>
      <w:r>
        <w:rPr>
          <w:rFonts w:ascii="Times New Roman" w:cs="Times New Roman" w:eastAsia="Times New Roman" w:hAnsi="Times New Roman"/>
          <w:b/>
          <w:bCs/>
          <w:sz w:val="22"/>
          <w:szCs w:val="22"/>
        </w:rPr>
        <w:t xml:space="preserve">Graphique 4 : </w:t>
      </w:r>
      <w:r>
        <w:rPr>
          <w:rFonts w:ascii="Times New Roman" w:cs="Times New Roman" w:eastAsia="Times New Roman" w:hAnsi="Times New Roman"/>
          <w:b/>
          <w:bCs/>
          <w:sz w:val="22"/>
          <w:szCs w:val="22"/>
        </w:rPr>
        <w:t xml:space="preserve">Taux de réussite complète par item de l'exercice de la Notion B</w:t>
      </w:r>
    </w:p>
    <w:p>
      <w:pPr>
        <w:keepNext/>
        <w:spacing w:after="60" w:before="60"/>
        <w:jc w:val="center"/>
      </w:pPr>
      <w:r>
        <w:drawing>
          <wp:inline distT="0" distB="0" distL="0" distR="0">
            <wp:extent cx="5581650" cy="2038350"/>
            <wp:effectExtent t="0" r="0" b="0" l="0"/>
            <wp:docPr id="1" name="f_items" descr="f_items" title="f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038350"/>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Notre enquête, 2026 (Outil 2). *Pour I4, seule la réussite complète (0,50 point) est représentée.</w:t>
      </w:r>
    </w:p>
    <w:p>
      <w:pPr>
        <w:spacing w:after="120" w:before="0" w:line="360"/>
        <w:ind w:firstLine="709"/>
        <w:jc w:val="both"/>
      </w:pPr>
      <w:r>
        <w:rPr>
          <w:rFonts w:ascii="Times New Roman" w:cs="Times New Roman" w:eastAsia="Times New Roman" w:hAnsi="Times New Roman"/>
        </w:rPr>
        <w:t xml:space="preserve">L'analyse fait apparaître une hiérarchie nette. L'item de représentation graphique (I1), qui mobilise la signification partie-tout, est le mieux réussi (76 %). À l'opposé, l'addition et la soustraction de fractions de dénominateurs différents (I4) constituent l'item le plus échoué : seuls 18 % des EPE le réussissent complètement, 38 % n'en réussissent qu'une partie, généralement la soustraction lorsque les dénominateurs sont multiples l'un de l'autre, et 44 % échouent totalement. La résolution du problème mobilisant la fraction-opérateur (I5) n'est réussie que par 46 % des EPE, et la comparaison de fractions (I2) par à peine plus de la moitié (53 %).</w:t>
      </w:r>
    </w:p>
    <w:p>
      <w:pPr>
        <w:spacing w:after="120" w:before="0" w:line="360"/>
        <w:ind w:firstLine="709"/>
        <w:jc w:val="both"/>
      </w:pPr>
      <w:r>
        <w:rPr>
          <w:rFonts w:ascii="Times New Roman" w:cs="Times New Roman" w:eastAsia="Times New Roman" w:hAnsi="Times New Roman"/>
        </w:rPr>
        <w:t xml:space="preserve">Ce profil est significatif. Les EPE réussissent mieux les tâches qui s'appuient sur la signification partie-tout, la plus fréquemment enseignée, que celles qui exigent de considérer la fraction comme un nombre ayant une grandeur (comparaison), comme un opérateur (problème) ou comme un objet de calcul dont les procédures doivent être comprises (addition). Il rejoint les observations de Charalambous et Pitta-Pantazi (2007), selon lesquelles la maîtrise de la relation partie-tout ne garantit pas celle des autres significations.</w:t>
      </w:r>
    </w:p>
    <w:p>
      <w:pPr>
        <w:pStyle w:val="Heading3"/>
        <w:keepNext/>
        <w:keepLines/>
      </w:pPr>
      <w:r>
        <w:rPr>
          <w:rFonts w:ascii="Times New Roman" w:cs="Times New Roman" w:eastAsia="Times New Roman" w:hAnsi="Times New Roman"/>
        </w:rPr>
        <w:t xml:space="preserve">4.2.3. Typologie et fréquence des erreurs</w:t>
      </w:r>
    </w:p>
    <w:p>
      <w:pPr>
        <w:spacing w:after="120" w:before="0" w:line="360"/>
        <w:ind w:firstLine="709"/>
        <w:jc w:val="both"/>
      </w:pPr>
      <w:r>
        <w:rPr>
          <w:rFonts w:ascii="Times New Roman" w:cs="Times New Roman" w:eastAsia="Times New Roman" w:hAnsi="Times New Roman"/>
        </w:rPr>
        <w:t xml:space="preserve">L'analyse qualitative des copies a permis de repérer et de classer les erreurs selon la typologie définie au chapitre 3 (tableau 21).</w:t>
      </w:r>
    </w:p>
    <w:p>
      <w:pPr>
        <w:keepNext/>
        <w:keepLines/>
        <w:spacing w:after="80" w:before="160" w:line="276"/>
        <w:jc w:val="center"/>
      </w:pPr>
      <w:r>
        <w:rPr>
          <w:rFonts w:ascii="Times New Roman" w:cs="Times New Roman" w:eastAsia="Times New Roman" w:hAnsi="Times New Roman"/>
          <w:b/>
          <w:bCs/>
          <w:sz w:val="22"/>
          <w:szCs w:val="22"/>
        </w:rPr>
        <w:t xml:space="preserve">Tableau 21 : </w:t>
      </w:r>
      <w:r>
        <w:rPr>
          <w:rFonts w:ascii="Times New Roman" w:cs="Times New Roman" w:eastAsia="Times New Roman" w:hAnsi="Times New Roman"/>
          <w:b/>
          <w:bCs/>
          <w:sz w:val="22"/>
          <w:szCs w:val="22"/>
        </w:rPr>
        <w:t xml:space="preserve">Fréquence des types d'erreurs relevés dans les copies (n = 100)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3628"/>
        <w:gridCol w:w="1360"/>
        <w:gridCol w:w="1363"/>
      </w:tblGrid>
      <w:tr>
        <w:trPr>
          <w:cantSplit/>
          <w:tblHeader/>
        </w:trPr>
        <w:tc>
          <w:tcPr>
            <w:tcW w:type="dxa" w:w="272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Type d'erreur</w:t>
            </w:r>
          </w:p>
        </w:tc>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Exemple relevé dans les copies</w:t>
            </w:r>
          </w:p>
        </w:tc>
        <w:tc>
          <w:tcPr>
            <w:tcW w:type="dxa" w:w="13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Copies concernées</w:t>
            </w:r>
          </w:p>
        </w:tc>
        <w:tc>
          <w:tcPr>
            <w:tcW w:type="dxa" w:w="136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T2 – Algorithme erroné (a+c)/(b+d)</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2/3 + 1/4 = 3/7</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47</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47 %</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T1 – Interférence du modèle des entiers</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 1/7 &gt; 1/5 car 7 &gt; 5 »</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42</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42 %</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T4 – Mauvaise interprétation de la fraction-opérateur</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 3/5 de 2 400 F = 2 400 : 3 × 5 = 4 000 F »</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35</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35 %</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T5 – Simplification erronée</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18/24 = 15/21 (soustraction de 3)</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30</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30 %</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T3 – Défaut de conversion entre registres</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Parts inégales considérées comme des quarts ; comptage des traits au lieu des parts</w:t>
            </w:r>
          </w:p>
        </w:tc>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23</w:t>
            </w:r>
          </w:p>
        </w:tc>
        <w:tc>
          <w:tcPr>
            <w:tcW w:type="dxa" w:w="13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23 %</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2). Une même copie peut présenter plusieurs types d'erreurs.</w:t>
      </w:r>
    </w:p>
    <w:p>
      <w:pPr>
        <w:keepNext/>
        <w:keepLines/>
        <w:spacing w:after="80" w:before="160" w:line="276"/>
        <w:jc w:val="center"/>
      </w:pPr>
      <w:r>
        <w:rPr>
          <w:rFonts w:ascii="Times New Roman" w:cs="Times New Roman" w:eastAsia="Times New Roman" w:hAnsi="Times New Roman"/>
          <w:b/>
          <w:bCs/>
          <w:sz w:val="22"/>
          <w:szCs w:val="22"/>
        </w:rPr>
        <w:t xml:space="preserve">Graphique 5 : </w:t>
      </w:r>
      <w:r>
        <w:rPr>
          <w:rFonts w:ascii="Times New Roman" w:cs="Times New Roman" w:eastAsia="Times New Roman" w:hAnsi="Times New Roman"/>
          <w:b/>
          <w:bCs/>
          <w:sz w:val="22"/>
          <w:szCs w:val="22"/>
        </w:rPr>
        <w:t xml:space="preserve">Fréquence des types d'erreurs dans les copies des EPE</w:t>
      </w:r>
    </w:p>
    <w:p>
      <w:pPr>
        <w:keepNext/>
        <w:spacing w:after="60" w:before="60"/>
        <w:jc w:val="center"/>
      </w:pPr>
      <w:r>
        <w:drawing>
          <wp:inline distT="0" distB="0" distL="0" distR="0">
            <wp:extent cx="5581650" cy="1876425"/>
            <wp:effectExtent t="0" r="0" b="0" l="0"/>
            <wp:docPr id="1" name="f_erreurs" descr="f_erreurs" title="f_err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1876425"/>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Notre enquête, 2026 (Outil 2).</w:t>
      </w:r>
    </w:p>
    <w:p>
      <w:pPr>
        <w:spacing w:after="120" w:before="0" w:line="360"/>
        <w:ind w:firstLine="709"/>
        <w:jc w:val="both"/>
      </w:pPr>
      <w:r>
        <w:rPr>
          <w:rFonts w:ascii="Times New Roman" w:cs="Times New Roman" w:eastAsia="Times New Roman" w:hAnsi="Times New Roman"/>
        </w:rPr>
        <w:t xml:space="preserve">L'erreur la plus fréquente est l'algorithme erroné consistant à additionner séparément les numérateurs et les dénominateurs (T2), relevé dans 47 % des copies. De nombreux EPE écrivent ainsi que 2/3 + 1/4 = 3/7. Certains tentent d'appliquer le « produit en croix », mais le combinent de manière incohérente avec la recherche d'un dénominateur commun, ce qui révèle une confusion entre la règle d'égalité de deux fractions et celle de leur addition. Vient ensuite l'interférence du modèle des entiers dans la comparaison (T1), présente dans 42 % des copies : les EPE concluent que 1/7 est supérieur à 1/5 « parce que 7 est plus grand que 5 », ou comparent 3/4 et 5/6 en comparant séparément les numérateurs et les dénominateurs.</w:t>
      </w:r>
    </w:p>
    <w:p>
      <w:pPr>
        <w:spacing w:after="120" w:before="0" w:line="360"/>
        <w:ind w:firstLine="709"/>
        <w:jc w:val="both"/>
      </w:pPr>
      <w:r>
        <w:rPr>
          <w:rFonts w:ascii="Times New Roman" w:cs="Times New Roman" w:eastAsia="Times New Roman" w:hAnsi="Times New Roman"/>
        </w:rPr>
        <w:t xml:space="preserve">La mauvaise interprétation de la fraction-opérateur (T4) concerne 35 % des copies. Face au problème demandant de calculer les 3/5 de 2 400 francs, certains EPE divisent par le numérateur et multiplient par le dénominateur, obtenant une dépense supérieure à la somme disponible sans que cette incohérence les alerte. La simplification erronée (T5), qui consiste à retrancher un même nombre au numérateur et au dénominateur, apparaît dans 30 % des copies. Enfin, le défaut de conversion entre registres (T3) touche 23 % des copies : certains EPE partagent une figure en parts manifestement inégales en affirmant qu'il s'agit de quarts, d'autres comptent les traits de partage au lieu des parts.</w:t>
      </w:r>
    </w:p>
    <w:p>
      <w:pPr>
        <w:spacing w:after="120" w:before="0" w:line="360"/>
        <w:ind w:firstLine="709"/>
        <w:jc w:val="both"/>
      </w:pPr>
      <w:r>
        <w:rPr>
          <w:rFonts w:ascii="Times New Roman" w:cs="Times New Roman" w:eastAsia="Times New Roman" w:hAnsi="Times New Roman"/>
        </w:rPr>
        <w:t xml:space="preserve">Au total, </w:t>
      </w:r>
      <w:r>
        <w:rPr>
          <w:rFonts w:ascii="Times New Roman" w:cs="Times New Roman" w:eastAsia="Times New Roman" w:hAnsi="Times New Roman"/>
          <w:b/>
          <w:bCs/>
        </w:rPr>
        <w:t xml:space="preserve">71 % des copies présentent au moins une erreur de type T1, T2 ou T3</w:t>
      </w:r>
      <w:r>
        <w:rPr>
          <w:rFonts w:ascii="Times New Roman" w:cs="Times New Roman" w:eastAsia="Times New Roman" w:hAnsi="Times New Roman"/>
        </w:rPr>
        <w:t xml:space="preserve">, c'est-à-dire une erreur directement liée à un obstacle épistémologique ou sémiotique. Le tableau 22 précise le nombre de types d'erreurs par copie.</w:t>
      </w:r>
    </w:p>
    <w:p>
      <w:pPr>
        <w:keepNext/>
        <w:keepLines/>
        <w:spacing w:after="80" w:before="160" w:line="276"/>
        <w:jc w:val="center"/>
      </w:pPr>
      <w:r>
        <w:rPr>
          <w:rFonts w:ascii="Times New Roman" w:cs="Times New Roman" w:eastAsia="Times New Roman" w:hAnsi="Times New Roman"/>
          <w:b/>
          <w:bCs/>
          <w:sz w:val="22"/>
          <w:szCs w:val="22"/>
        </w:rPr>
        <w:t xml:space="preserve">Tableau 22 : </w:t>
      </w:r>
      <w:r>
        <w:rPr>
          <w:rFonts w:ascii="Times New Roman" w:cs="Times New Roman" w:eastAsia="Times New Roman" w:hAnsi="Times New Roman"/>
          <w:b/>
          <w:bCs/>
          <w:sz w:val="22"/>
          <w:szCs w:val="22"/>
        </w:rPr>
        <w:t xml:space="preserve">Répartition des copies selon le nombre de types d'erreurs relevés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8"/>
        <w:gridCol w:w="2721"/>
        <w:gridCol w:w="2723"/>
      </w:tblGrid>
      <w:tr>
        <w:trPr>
          <w:cantSplit/>
          <w:tblHeader/>
        </w:trPr>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Nombre de types d'erreurs</w:t>
            </w:r>
          </w:p>
        </w:tc>
        <w:tc>
          <w:tcPr>
            <w:tcW w:type="dxa" w:w="272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Effectif de copies</w:t>
            </w:r>
          </w:p>
        </w:tc>
        <w:tc>
          <w:tcPr>
            <w:tcW w:type="dxa" w:w="272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Pourcentage</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Aucun</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21</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21 %</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Un</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28</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28 %</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Deux</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19</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19 %</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Trois</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22</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22 %</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Quatre ou cinq</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10 %</w:t>
            </w:r>
          </w:p>
        </w:tc>
      </w:tr>
      <w:tr>
        <w:trPr>
          <w:cantSplit/>
          <w:tblHeader w:val="false"/>
        </w:trPr>
        <w:tc>
          <w:tcPr>
            <w:tcW w:type="dxa" w:w="3628"/>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Total</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100</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100 %</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2).</w:t>
      </w:r>
    </w:p>
    <w:p>
      <w:pPr>
        <w:spacing w:after="120" w:before="0" w:line="360"/>
        <w:ind w:firstLine="709"/>
        <w:jc w:val="both"/>
      </w:pPr>
      <w:r>
        <w:rPr>
          <w:rFonts w:ascii="Times New Roman" w:cs="Times New Roman" w:eastAsia="Times New Roman" w:hAnsi="Times New Roman"/>
        </w:rPr>
        <w:t xml:space="preserve">Seules 21 % des copies sont exemptes de toute erreur typique, tandis que 32 % en cumulent au moins trois types. Cette accumulation indique que, pour une partie importante des EPE, les erreurs ne sont pas isolées mais s'inscrivent dans une conception d'ensemble erronée du nombre rationnel.</w:t>
      </w:r>
    </w:p>
    <w:p>
      <w:pPr>
        <w:pStyle w:val="Heading3"/>
        <w:keepNext/>
        <w:keepLines/>
      </w:pPr>
      <w:r>
        <w:rPr>
          <w:rFonts w:ascii="Times New Roman" w:cs="Times New Roman" w:eastAsia="Times New Roman" w:hAnsi="Times New Roman"/>
        </w:rPr>
        <w:t xml:space="preserve">4.2.4. Erreurs selon le niveau de maîtrise</w:t>
      </w:r>
    </w:p>
    <w:p>
      <w:pPr>
        <w:spacing w:after="120" w:before="0" w:line="360"/>
        <w:ind w:firstLine="709"/>
        <w:jc w:val="both"/>
      </w:pPr>
      <w:r>
        <w:rPr>
          <w:rFonts w:ascii="Times New Roman" w:cs="Times New Roman" w:eastAsia="Times New Roman" w:hAnsi="Times New Roman"/>
        </w:rPr>
        <w:t xml:space="preserve">Le tableau 23 croise la fréquence des erreurs avec le niveau de maîtrise des EPE.</w:t>
      </w:r>
    </w:p>
    <w:p>
      <w:pPr>
        <w:keepNext/>
        <w:keepLines/>
        <w:spacing w:after="80" w:before="160" w:line="276"/>
        <w:jc w:val="center"/>
      </w:pPr>
      <w:r>
        <w:rPr>
          <w:rFonts w:ascii="Times New Roman" w:cs="Times New Roman" w:eastAsia="Times New Roman" w:hAnsi="Times New Roman"/>
          <w:b/>
          <w:bCs/>
          <w:sz w:val="22"/>
          <w:szCs w:val="22"/>
        </w:rPr>
        <w:t xml:space="preserve">Tableau 23 : </w:t>
      </w:r>
      <w:r>
        <w:rPr>
          <w:rFonts w:ascii="Times New Roman" w:cs="Times New Roman" w:eastAsia="Times New Roman" w:hAnsi="Times New Roman"/>
          <w:b/>
          <w:bCs/>
          <w:sz w:val="22"/>
          <w:szCs w:val="22"/>
        </w:rPr>
        <w:t xml:space="preserve">Fréquence des types d'erreurs selon le niveau de maîtrise (en % des EPE de chaque niveau)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1995"/>
        <w:gridCol w:w="1995"/>
        <w:gridCol w:w="1998"/>
      </w:tblGrid>
      <w:tr>
        <w:trPr>
          <w:cantSplit/>
          <w:tblHeader/>
        </w:trPr>
        <w:tc>
          <w:tcPr>
            <w:tcW w:type="dxa" w:w="308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Type d'erreur</w:t>
            </w:r>
          </w:p>
        </w:tc>
        <w:tc>
          <w:tcPr>
            <w:tcW w:type="dxa" w:w="199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Non acquis (n = 36)</w:t>
            </w:r>
          </w:p>
        </w:tc>
        <w:tc>
          <w:tcPr>
            <w:tcW w:type="dxa" w:w="199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En cours d'acquisition (n = 42)</w:t>
            </w:r>
          </w:p>
        </w:tc>
        <w:tc>
          <w:tcPr>
            <w:tcW w:type="dxa" w:w="199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Acquis (n = 22)</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T1 – Interférence du modèle des entiers</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77,8 %</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28,6 %</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9,1 %</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T2 – Algorithme erroné</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72,2 %</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47,6 %</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4,5 %</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T3 – Défaut de conversion</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52,8 %</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9,5 %</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0,0 %</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T4 – Fraction-opérateur</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58,3 %</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23,8 %</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18,2 %</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T5 – Simplification erronée</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61,1 %</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16,7 %</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4,5 %</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2).</w:t>
      </w:r>
    </w:p>
    <w:p>
      <w:pPr>
        <w:spacing w:after="120" w:before="0" w:line="360"/>
        <w:ind w:firstLine="709"/>
        <w:jc w:val="both"/>
      </w:pPr>
      <w:r>
        <w:rPr>
          <w:rFonts w:ascii="Times New Roman" w:cs="Times New Roman" w:eastAsia="Times New Roman" w:hAnsi="Times New Roman"/>
        </w:rPr>
        <w:t xml:space="preserve">Chez les EPE du niveau « non acquis », toutes les erreurs sont massivement présentes : plus des trois quarts (77,8 %) manifestent l'interférence du modèle des entiers et plus de la moitié (52,8 %) un défaut de conversion entre registres. Chez les EPE du niveau « en cours d'acquisition », les erreurs de conversion et de comparaison deviennent minoritaires, mais l'algorithme erroné de l'addition persiste chez près de la moitié d'entre eux (47,6 %). Ce résultat est particulièrement instructif : l'erreur T2 résiste même chez des EPE qui ont par ailleurs construit une certaine compréhension des fractions, ce qui montre qu'elle est liée à la mémorisation d'une procédure sans signification plutôt qu'à une absence totale de connaissance. Chez les EPE du niveau « acquis », les erreurs sont rares, à l'exception de la fraction-opérateur (18,2 %), signe que cette signification reste fragile même chez les meilleurs.</w:t>
      </w:r>
    </w:p>
    <w:p>
      <w:pPr>
        <w:pStyle w:val="Heading3"/>
        <w:keepNext/>
        <w:keepLines/>
      </w:pPr>
      <w:r>
        <w:rPr>
          <w:rFonts w:ascii="Times New Roman" w:cs="Times New Roman" w:eastAsia="Times New Roman" w:hAnsi="Times New Roman"/>
        </w:rPr>
        <w:t xml:space="preserve">4.2.5. Analyse des procédures mobilisées dans les copies réussies</w:t>
      </w:r>
    </w:p>
    <w:p>
      <w:pPr>
        <w:spacing w:after="120" w:before="0" w:line="360"/>
        <w:ind w:firstLine="709"/>
        <w:jc w:val="both"/>
      </w:pPr>
      <w:r>
        <w:rPr>
          <w:rFonts w:ascii="Times New Roman" w:cs="Times New Roman" w:eastAsia="Times New Roman" w:hAnsi="Times New Roman"/>
        </w:rPr>
        <w:t xml:space="preserve">L'analyse des copies ne porte pas seulement sur les erreurs : les procédures des EPE qui réussissent renseignent sur les connaissances qui permettent de dépasser les obstacles. Pour la comparaison de 3/4 et 5/6 (item I2), trois procédures correctes ont été relevées : la réduction au même dénominateur (3/4 = 9/12 et 5/6 = 10/12), largement majoritaire ; la comparaison des compléments à l'unité (il manque 1/4 à 3/4 et 1/6 à 5/6, or 1/6 &lt; 1/4) ; et, plus rarement, le passage à l'écriture décimale. Pour 1/7 et 1/5, les copies réussies justifient presque toujours la comparaison par une référence au partage (« plus on partage l'unité, plus les parts sont petites »), ce qui montre que la réussite s'appuie sur la signification de la fraction plutôt que sur une règle formelle.</w:t>
      </w:r>
    </w:p>
    <w:p>
      <w:pPr>
        <w:spacing w:after="120" w:before="0" w:line="360"/>
        <w:ind w:firstLine="709"/>
        <w:jc w:val="both"/>
      </w:pPr>
      <w:r>
        <w:rPr>
          <w:rFonts w:ascii="Times New Roman" w:cs="Times New Roman" w:eastAsia="Times New Roman" w:hAnsi="Times New Roman"/>
        </w:rPr>
        <w:t xml:space="preserve">Pour l'addition (item I4), les copies qui réussissent complètement recherchent un dénominateur commun, généralement le produit des dénominateurs, plus rarement le plus petit multiple commun. Les réussites partielles concernent le plus souvent la soustraction 5/6 – 1/4, qui exige la recherche d'un dénominateur commun non évident (12), alors que les EPE qui échouent utilisent 24 et commettent ensuite des erreurs de simplification. Pour le problème de la fraction-opérateur (item I5), la procédure dominante des copies réussies consiste à calculer d'abord la valeur d'un cinquième (2 400 : 5 = 480 F), puis celle de trois cinquièmes (480 × 3 = 1 440 F). Cette procédure en deux étapes, qui s'appuie sur le sens de la fraction unitaire, est plus sûre que l'application directe d'une formule.</w:t>
      </w:r>
    </w:p>
    <w:p>
      <w:pPr>
        <w:spacing w:after="120" w:before="0" w:line="360"/>
        <w:ind w:firstLine="709"/>
        <w:jc w:val="both"/>
      </w:pPr>
      <w:r>
        <w:rPr>
          <w:rFonts w:ascii="Times New Roman" w:cs="Times New Roman" w:eastAsia="Times New Roman" w:hAnsi="Times New Roman"/>
        </w:rPr>
        <w:t xml:space="preserve">Ces observations sont importantes pour la remédiation. Elles montrent que les procédures qui réussissent le mieux sont celles qui restent liées à la signification de la fraction : partage de l'unité, fraction unitaire, complément à l'unité. Elles confirment l'intérêt, pour la formation, de construire les règles à partir de ces significations plutôt que de les présenter comme des recettes.</w:t>
      </w:r>
    </w:p>
    <w:p>
      <w:pPr>
        <w:pStyle w:val="Heading3"/>
        <w:keepNext/>
        <w:keepLines/>
      </w:pPr>
      <w:r>
        <w:rPr>
          <w:rFonts w:ascii="Times New Roman" w:cs="Times New Roman" w:eastAsia="Times New Roman" w:hAnsi="Times New Roman"/>
        </w:rPr>
        <w:t xml:space="preserve">4.2.6. Performances selon le profil d'entrée des EPE</w:t>
      </w:r>
    </w:p>
    <w:p>
      <w:pPr>
        <w:spacing w:after="120" w:before="0" w:line="360"/>
        <w:ind w:firstLine="709"/>
        <w:jc w:val="both"/>
      </w:pPr>
      <w:r>
        <w:rPr>
          <w:rFonts w:ascii="Times New Roman" w:cs="Times New Roman" w:eastAsia="Times New Roman" w:hAnsi="Times New Roman"/>
        </w:rPr>
        <w:t xml:space="preserve">Nous avons examiné la relation entre le niveau de maîtrise et deux variables d'identification : la série du baccalauréat et le sexe.</w:t>
      </w:r>
    </w:p>
    <w:p>
      <w:pPr>
        <w:keepNext/>
        <w:keepLines/>
        <w:spacing w:after="80" w:before="160" w:line="276"/>
        <w:jc w:val="center"/>
      </w:pPr>
      <w:r>
        <w:rPr>
          <w:rFonts w:ascii="Times New Roman" w:cs="Times New Roman" w:eastAsia="Times New Roman" w:hAnsi="Times New Roman"/>
          <w:b/>
          <w:bCs/>
          <w:sz w:val="22"/>
          <w:szCs w:val="22"/>
        </w:rPr>
        <w:t xml:space="preserve">Tableau 24 : </w:t>
      </w:r>
      <w:r>
        <w:rPr>
          <w:rFonts w:ascii="Times New Roman" w:cs="Times New Roman" w:eastAsia="Times New Roman" w:hAnsi="Times New Roman"/>
          <w:b/>
          <w:bCs/>
          <w:sz w:val="22"/>
          <w:szCs w:val="22"/>
        </w:rPr>
        <w:t xml:space="preserve">Niveau de maîtrise de la Notion B selon la série du baccalauréat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77"/>
        <w:gridCol w:w="1723"/>
        <w:gridCol w:w="1905"/>
        <w:gridCol w:w="1542"/>
        <w:gridCol w:w="1725"/>
      </w:tblGrid>
      <w:tr>
        <w:trPr>
          <w:cantSplit/>
          <w:tblHeader/>
        </w:trPr>
        <w:tc>
          <w:tcPr>
            <w:tcW w:type="dxa" w:w="217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Série</w:t>
            </w:r>
          </w:p>
        </w:tc>
        <w:tc>
          <w:tcPr>
            <w:tcW w:type="dxa" w:w="172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Non acquis</w:t>
            </w:r>
          </w:p>
        </w:tc>
        <w:tc>
          <w:tcPr>
            <w:tcW w:type="dxa" w:w="190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En cours d'acquisition</w:t>
            </w:r>
          </w:p>
        </w:tc>
        <w:tc>
          <w:tcPr>
            <w:tcW w:type="dxa" w:w="154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Acquis</w:t>
            </w:r>
          </w:p>
        </w:tc>
        <w:tc>
          <w:tcPr>
            <w:tcW w:type="dxa" w:w="172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Moyenne (/1,5)</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A4 (n = 46)</w:t>
            </w:r>
          </w:p>
        </w:tc>
        <w:tc>
          <w:tcPr>
            <w:tcW w:type="dxa" w:w="1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24 (52,2 %)</w:t>
            </w:r>
          </w:p>
        </w:tc>
        <w:tc>
          <w:tcPr>
            <w:tcW w:type="dxa" w:w="19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17 (37,0 %)</w:t>
            </w:r>
          </w:p>
        </w:tc>
        <w:tc>
          <w:tcPr>
            <w:tcW w:type="dxa" w:w="15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5 (10,9 %)</w:t>
            </w:r>
          </w:p>
        </w:tc>
        <w:tc>
          <w:tcPr>
            <w:tcW w:type="dxa" w:w="1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0,55</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 (n = 41)</w:t>
            </w:r>
          </w:p>
        </w:tc>
        <w:tc>
          <w:tcPr>
            <w:tcW w:type="dxa" w:w="1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 (24,4 %)</w:t>
            </w:r>
          </w:p>
        </w:tc>
        <w:tc>
          <w:tcPr>
            <w:tcW w:type="dxa" w:w="19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19 (46,3 %)</w:t>
            </w:r>
          </w:p>
        </w:tc>
        <w:tc>
          <w:tcPr>
            <w:tcW w:type="dxa" w:w="15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12 (29,3 %)</w:t>
            </w:r>
          </w:p>
        </w:tc>
        <w:tc>
          <w:tcPr>
            <w:tcW w:type="dxa" w:w="1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0,93</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C/E (n = 13)</w:t>
            </w:r>
          </w:p>
        </w:tc>
        <w:tc>
          <w:tcPr>
            <w:tcW w:type="dxa" w:w="1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 (15,4 %)</w:t>
            </w:r>
          </w:p>
        </w:tc>
        <w:tc>
          <w:tcPr>
            <w:tcW w:type="dxa" w:w="19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6 (46,2 %)</w:t>
            </w:r>
          </w:p>
        </w:tc>
        <w:tc>
          <w:tcPr>
            <w:tcW w:type="dxa" w:w="15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5 (38,5 %)</w:t>
            </w:r>
          </w:p>
        </w:tc>
        <w:tc>
          <w:tcPr>
            <w:tcW w:type="dxa" w:w="1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1,12</w:t>
            </w:r>
          </w:p>
        </w:tc>
      </w:tr>
      <w:tr>
        <w:trPr>
          <w:cantSplit/>
          <w:tblHeader w:val="false"/>
        </w:trPr>
        <w:tc>
          <w:tcPr>
            <w:tcW w:type="dxa" w:w="2177"/>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Ensemble (n = 100)</w:t>
            </w:r>
          </w:p>
        </w:tc>
        <w:tc>
          <w:tcPr>
            <w:tcW w:type="dxa" w:w="1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36 (36 %)</w:t>
            </w:r>
          </w:p>
        </w:tc>
        <w:tc>
          <w:tcPr>
            <w:tcW w:type="dxa" w:w="19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42 (42 %)</w:t>
            </w:r>
          </w:p>
        </w:tc>
        <w:tc>
          <w:tcPr>
            <w:tcW w:type="dxa" w:w="15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22 (22 %)</w:t>
            </w:r>
          </w:p>
        </w:tc>
        <w:tc>
          <w:tcPr>
            <w:tcW w:type="dxa" w:w="1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0,78</w:t>
            </w:r>
          </w:p>
        </w:tc>
      </w:tr>
      <w:tr>
        <w:trPr>
          <w:cantSplit/>
          <w:tblHeader w:val="false"/>
        </w:trPr>
        <w:tc>
          <w:tcPr>
            <w:tcW w:type="dxa" w:w="2177"/>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Test (A4 / séries scientifiques)</w:t>
            </w:r>
          </w:p>
        </w:tc>
        <w:tc>
          <w:tcPr>
            <w:tcW w:type="dxa" w:w="6895"/>
            <w:gridSpan w:val="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χ² = 11,50 ; ddl = 2 ; p = 0,003 ; V de Cramer = 0,34</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2 et dossiers administratifs).</w:t>
      </w:r>
    </w:p>
    <w:p>
      <w:pPr>
        <w:keepNext/>
        <w:keepLines/>
        <w:spacing w:after="80" w:before="160" w:line="276"/>
        <w:jc w:val="center"/>
      </w:pPr>
      <w:r>
        <w:rPr>
          <w:rFonts w:ascii="Times New Roman" w:cs="Times New Roman" w:eastAsia="Times New Roman" w:hAnsi="Times New Roman"/>
          <w:b/>
          <w:bCs/>
          <w:sz w:val="22"/>
          <w:szCs w:val="22"/>
        </w:rPr>
        <w:t xml:space="preserve">Graphique 6 : </w:t>
      </w:r>
      <w:r>
        <w:rPr>
          <w:rFonts w:ascii="Times New Roman" w:cs="Times New Roman" w:eastAsia="Times New Roman" w:hAnsi="Times New Roman"/>
          <w:b/>
          <w:bCs/>
          <w:sz w:val="22"/>
          <w:szCs w:val="22"/>
        </w:rPr>
        <w:t xml:space="preserve">Niveau de maîtrise de la Notion B selon la série du baccalauréat</w:t>
      </w:r>
    </w:p>
    <w:p>
      <w:pPr>
        <w:keepNext/>
        <w:spacing w:after="60" w:before="60"/>
        <w:jc w:val="center"/>
      </w:pPr>
      <w:r>
        <w:drawing>
          <wp:inline distT="0" distB="0" distL="0" distR="0">
            <wp:extent cx="5581650" cy="2552700"/>
            <wp:effectExtent t="0" r="0" b="0" l="0"/>
            <wp:docPr id="1" name="f_serie_niveau" descr="f_serie_niveau" title="f_serie_niv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2552700"/>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Notre enquête, 2026.</w:t>
      </w:r>
    </w:p>
    <w:p>
      <w:pPr>
        <w:spacing w:after="120" w:before="0" w:line="360"/>
        <w:ind w:firstLine="709"/>
        <w:jc w:val="both"/>
      </w:pPr>
      <w:r>
        <w:rPr>
          <w:rFonts w:ascii="Times New Roman" w:cs="Times New Roman" w:eastAsia="Times New Roman" w:hAnsi="Times New Roman"/>
        </w:rPr>
        <w:t xml:space="preserve">Plus de la moitié des EPE issus de la série A4 (52,2 %) se situent au niveau « non acquis », contre 24,4 % pour la série D et 15,4 % pour les séries C et E. À l'inverse, la proportion d'EPE au niveau « acquis » passe de 10,9 % en série A4 à 29,3 % en série D et 38,5 % en séries C/E. La moyenne des EPE de série A4 (0,55) est nettement inférieure à celle des EPE de série D (0,93) et des séries C/E (1,12). Les effectifs des séries C/E étant faibles, nous les avons regroupés avec la série D pour appliquer le test du khi-deux. Le test est significatif (χ² = 11,50 ; ddl = 2 ; p = 0,003) et l'intensité de la relation est moyenne (V = 0,34). Le niveau de maîtrise des fractions est donc significativement lié au parcours académique antérieur des EPE.</w:t>
      </w:r>
    </w:p>
    <w:p>
      <w:pPr>
        <w:keepNext/>
        <w:keepLines/>
        <w:spacing w:after="80" w:before="160" w:line="276"/>
        <w:jc w:val="center"/>
      </w:pPr>
      <w:r>
        <w:rPr>
          <w:rFonts w:ascii="Times New Roman" w:cs="Times New Roman" w:eastAsia="Times New Roman" w:hAnsi="Times New Roman"/>
          <w:b/>
          <w:bCs/>
          <w:sz w:val="22"/>
          <w:szCs w:val="22"/>
        </w:rPr>
        <w:t xml:space="preserve">Tableau 25 : </w:t>
      </w:r>
      <w:r>
        <w:rPr>
          <w:rFonts w:ascii="Times New Roman" w:cs="Times New Roman" w:eastAsia="Times New Roman" w:hAnsi="Times New Roman"/>
          <w:b/>
          <w:bCs/>
          <w:sz w:val="22"/>
          <w:szCs w:val="22"/>
        </w:rPr>
        <w:t xml:space="preserve">Niveau de maîtrise de la Notion B selon le sexe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77"/>
        <w:gridCol w:w="1723"/>
        <w:gridCol w:w="1905"/>
        <w:gridCol w:w="1542"/>
        <w:gridCol w:w="1725"/>
      </w:tblGrid>
      <w:tr>
        <w:trPr>
          <w:cantSplit/>
          <w:tblHeader/>
        </w:trPr>
        <w:tc>
          <w:tcPr>
            <w:tcW w:type="dxa" w:w="217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Sexe</w:t>
            </w:r>
          </w:p>
        </w:tc>
        <w:tc>
          <w:tcPr>
            <w:tcW w:type="dxa" w:w="172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Non acquis</w:t>
            </w:r>
          </w:p>
        </w:tc>
        <w:tc>
          <w:tcPr>
            <w:tcW w:type="dxa" w:w="190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En cours d'acquisition</w:t>
            </w:r>
          </w:p>
        </w:tc>
        <w:tc>
          <w:tcPr>
            <w:tcW w:type="dxa" w:w="154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Acquis</w:t>
            </w:r>
          </w:p>
        </w:tc>
        <w:tc>
          <w:tcPr>
            <w:tcW w:type="dxa" w:w="172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Moyenne (/1,5)</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Masculin (n = 61)</w:t>
            </w:r>
          </w:p>
        </w:tc>
        <w:tc>
          <w:tcPr>
            <w:tcW w:type="dxa" w:w="1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21 (34,4 %)</w:t>
            </w:r>
          </w:p>
        </w:tc>
        <w:tc>
          <w:tcPr>
            <w:tcW w:type="dxa" w:w="19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26 (42,6 %)</w:t>
            </w:r>
          </w:p>
        </w:tc>
        <w:tc>
          <w:tcPr>
            <w:tcW w:type="dxa" w:w="15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14 (23,0 %)</w:t>
            </w:r>
          </w:p>
        </w:tc>
        <w:tc>
          <w:tcPr>
            <w:tcW w:type="dxa" w:w="1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0,82</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Féminin (n = 39)</w:t>
            </w:r>
          </w:p>
        </w:tc>
        <w:tc>
          <w:tcPr>
            <w:tcW w:type="dxa" w:w="1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15 (38,5 %)</w:t>
            </w:r>
          </w:p>
        </w:tc>
        <w:tc>
          <w:tcPr>
            <w:tcW w:type="dxa" w:w="19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16 (41,0 %)</w:t>
            </w:r>
          </w:p>
        </w:tc>
        <w:tc>
          <w:tcPr>
            <w:tcW w:type="dxa" w:w="15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8 (20,5 %)</w:t>
            </w:r>
          </w:p>
        </w:tc>
        <w:tc>
          <w:tcPr>
            <w:tcW w:type="dxa" w:w="1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0,73</w:t>
            </w:r>
          </w:p>
        </w:tc>
      </w:tr>
      <w:tr>
        <w:trPr>
          <w:cantSplit/>
          <w:tblHeader w:val="false"/>
        </w:trPr>
        <w:tc>
          <w:tcPr>
            <w:tcW w:type="dxa" w:w="2177"/>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Test</w:t>
            </w:r>
          </w:p>
        </w:tc>
        <w:tc>
          <w:tcPr>
            <w:tcW w:type="dxa" w:w="6895"/>
            <w:gridSpan w:val="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χ² = 0,19 ; ddl = 2 ; p = 0,911 ; V de Cramer = 0,04</w:t>
            </w:r>
          </w:p>
        </w:tc>
      </w:tr>
    </w:tbl>
    <w:p>
      <w:pPr>
        <w:spacing w:after="200" w:before="60" w:line="240"/>
        <w:jc w:val="left"/>
      </w:pPr>
      <w:r>
        <w:rPr>
          <w:rFonts w:ascii="Times New Roman" w:cs="Times New Roman" w:eastAsia="Times New Roman" w:hAnsi="Times New Roman"/>
          <w:i/>
          <w:iCs/>
          <w:sz w:val="20"/>
          <w:szCs w:val="20"/>
        </w:rPr>
        <w:t xml:space="preserve">Source : Notre enquête, 2026.</w:t>
      </w:r>
    </w:p>
    <w:p>
      <w:pPr>
        <w:spacing w:after="120" w:before="0" w:line="360"/>
        <w:ind w:firstLine="709"/>
        <w:jc w:val="both"/>
      </w:pPr>
      <w:r>
        <w:rPr>
          <w:rFonts w:ascii="Times New Roman" w:cs="Times New Roman" w:eastAsia="Times New Roman" w:hAnsi="Times New Roman"/>
        </w:rPr>
        <w:t xml:space="preserve">En revanche, la répartition selon le sexe est très proche pour les hommes et pour les femmes, et le test n'est pas significatif (p = 0,911). Le sexe n'est donc pas un facteur explicatif des difficultés observées. Ce résultat est important : il écarte une explication fondée sur des stéréotypes et oriente l'analyse vers le parcours de formation.</w:t>
      </w:r>
    </w:p>
    <w:p>
      <w:pPr>
        <w:pStyle w:val="Heading3"/>
        <w:keepNext/>
        <w:keepLines/>
      </w:pPr>
      <w:r>
        <w:rPr>
          <w:rFonts w:ascii="Times New Roman" w:cs="Times New Roman" w:eastAsia="Times New Roman" w:hAnsi="Times New Roman"/>
        </w:rPr>
        <w:t xml:space="preserve">4.2.7. Interprétation des résultats relatifs à la maîtrise conceptuelle</w:t>
      </w:r>
    </w:p>
    <w:p>
      <w:pPr>
        <w:spacing w:after="120" w:before="0" w:line="360"/>
        <w:ind w:firstLine="709"/>
        <w:jc w:val="both"/>
      </w:pPr>
      <w:r>
        <w:rPr>
          <w:rFonts w:ascii="Times New Roman" w:cs="Times New Roman" w:eastAsia="Times New Roman" w:hAnsi="Times New Roman"/>
        </w:rPr>
        <w:t xml:space="preserve">Les résultats de l'Outil 2 mettent en évidence la nature épistémologique des difficultés des EPE. L'erreur T1, qui consiste à juger 1/7 supérieur à 1/5, est l'exemple type de ce que Bachelard (1938) appelle un obstacle : une connaissance, celle de l'ordre des nombres entiers, qui a fait ses preuves dans son domaine de validité et qui résiste lorsqu'elle est appliquée hors de ce domaine. Selon la classification de Brousseau (1983), cet obstacle est à la fois épistémologique, parce que la rupture entre les entiers et les rationnels est inhérente au savoir, et didactique, parce qu'un enseignement centré sur la relation partie-tout et sur le comptage des parts le renforce. Les EPE qui commettent cette erreur conçoivent encore la fraction comme un couple de deux entiers et non comme un nombre unique, ce qui correspond au premier stade décrit par Stafylidou et Vosniadou (2004).</w:t>
      </w:r>
    </w:p>
    <w:p>
      <w:pPr>
        <w:spacing w:after="120" w:before="0" w:line="360"/>
        <w:ind w:firstLine="709"/>
        <w:jc w:val="both"/>
      </w:pPr>
      <w:r>
        <w:rPr>
          <w:rFonts w:ascii="Times New Roman" w:cs="Times New Roman" w:eastAsia="Times New Roman" w:hAnsi="Times New Roman"/>
        </w:rPr>
        <w:t xml:space="preserve">L'erreur T2 relève d'une logique voisine mais distincte. Elle résulte de l'application d'une règle syntaxique guidée par l'analogie avec l'addition des entiers. Sa persistance chez près de la moitié des EPE du niveau intermédiaire confirme qu'il s'agit d'une compréhension instrumentale au sens de Skemp (1976) : l'EPE sait qu'il existe une règle, mais il n'en connaît pas la raison. Faute d'avoir vécu la nécessité d'exprimer des tiers et des quarts dans une unité commune, par exemple en superposant des bandes de papier, il ne dispose d'aucun moyen de contrôler le résultat. Or, un simple contrôle de vraisemblance suffirait à invalider le résultat 3/7, qui est inférieur à 2/3 alors qu'on lui a ajouté une quantité positive.</w:t>
      </w:r>
    </w:p>
    <w:p>
      <w:pPr>
        <w:spacing w:after="120" w:before="0" w:line="360"/>
        <w:ind w:firstLine="709"/>
        <w:jc w:val="both"/>
      </w:pPr>
      <w:r>
        <w:rPr>
          <w:rFonts w:ascii="Times New Roman" w:cs="Times New Roman" w:eastAsia="Times New Roman" w:hAnsi="Times New Roman"/>
        </w:rPr>
        <w:t xml:space="preserve">Les erreurs T3 confirment enfin l'analyse de Duval (1995) : la conversion entre le registre figural et le registre symbolique constitue un seuil de l'apprentissage. L'EPE qui compte les traits au lieu des parts, ou qui accepte des parts inégales, n'a pas intégré la condition d'égalité des parts qui donne sens à l'écriture fractionnaire. L'erreur T4 montre, quant à elle, que la signification opérateur de la fraction, centrale dans la résolution de problèmes, n'est pas construite : l'EPE applique une procédure sans se représenter la situation, au point de ne pas percevoir l'absurdité d'une dépense supérieure à la somme disponible.</w:t>
      </w:r>
    </w:p>
    <w:p>
      <w:pPr>
        <w:spacing w:after="120" w:before="0" w:line="360"/>
        <w:ind w:firstLine="709"/>
        <w:jc w:val="both"/>
      </w:pPr>
      <w:r>
        <w:rPr>
          <w:rFonts w:ascii="Times New Roman" w:cs="Times New Roman" w:eastAsia="Times New Roman" w:hAnsi="Times New Roman"/>
        </w:rPr>
        <w:t xml:space="preserve">Le lien significatif entre la série du baccalauréat et le niveau de maîtrise conforte cette interprétation. Les EPE issus de la série littéraire ont eu moins d'occasions, au secondaire, de réinvestir les fractions dans des contextes variés ; leurs conceptions initiales, construites au primaire et au collège, n'ont donc pas été remises en question. Leur entrée à l'ENFPE ne fait pas disparaître ces conceptions : si la formation ne crée pas les conditions de leur dépassement, elles se transmettront aux élèves.</w:t>
      </w:r>
    </w:p>
    <w:p>
      <w:pPr>
        <w:pStyle w:val="Heading2"/>
        <w:keepNext/>
        <w:keepLines/>
      </w:pPr>
      <w:r>
        <w:rPr>
          <w:rFonts w:ascii="Times New Roman" w:cs="Times New Roman" w:eastAsia="Times New Roman" w:hAnsi="Times New Roman"/>
        </w:rPr>
        <w:t xml:space="preserve">4.3. Résultats relatifs aux pratiques de préparation des leçons</w:t>
      </w:r>
    </w:p>
    <w:p>
      <w:pPr>
        <w:spacing w:after="120" w:before="0" w:line="360"/>
        <w:ind w:firstLine="709"/>
        <w:jc w:val="both"/>
      </w:pPr>
      <w:r>
        <w:rPr>
          <w:rFonts w:ascii="Times New Roman" w:cs="Times New Roman" w:eastAsia="Times New Roman" w:hAnsi="Times New Roman"/>
        </w:rPr>
        <w:t xml:space="preserve">Cette section présente les résultats issus de l'Outil 1, la grille d'analyse des 100 fiches pédagogiques consacrées aux fractions. Elle répond à la question secondaire QS2 et permet de tester l'hypothèse HS2.</w:t>
      </w:r>
    </w:p>
    <w:p>
      <w:pPr>
        <w:pStyle w:val="Heading3"/>
        <w:keepNext/>
        <w:keepLines/>
      </w:pPr>
      <w:r>
        <w:rPr>
          <w:rFonts w:ascii="Times New Roman" w:cs="Times New Roman" w:eastAsia="Times New Roman" w:hAnsi="Times New Roman"/>
        </w:rPr>
        <w:t xml:space="preserve">4.3.1. Résultats selon les critères d'analyse</w:t>
      </w:r>
    </w:p>
    <w:p>
      <w:pPr>
        <w:spacing w:after="120" w:before="0" w:line="360"/>
        <w:ind w:firstLine="709"/>
        <w:jc w:val="both"/>
      </w:pPr>
      <w:r>
        <w:rPr>
          <w:rFonts w:ascii="Times New Roman" w:cs="Times New Roman" w:eastAsia="Times New Roman" w:hAnsi="Times New Roman"/>
        </w:rPr>
        <w:t xml:space="preserve">Le tableau 26 présente la répartition des fiches selon les scores obtenus à chacun des quatre critères.</w:t>
      </w:r>
    </w:p>
    <w:p>
      <w:pPr>
        <w:keepNext/>
        <w:keepLines/>
        <w:spacing w:after="80" w:before="160" w:line="276"/>
        <w:jc w:val="center"/>
      </w:pPr>
      <w:r>
        <w:rPr>
          <w:rFonts w:ascii="Times New Roman" w:cs="Times New Roman" w:eastAsia="Times New Roman" w:hAnsi="Times New Roman"/>
          <w:b/>
          <w:bCs/>
          <w:sz w:val="22"/>
          <w:szCs w:val="22"/>
        </w:rPr>
        <w:t xml:space="preserve">Tableau 26 : </w:t>
      </w:r>
      <w:r>
        <w:rPr>
          <w:rFonts w:ascii="Times New Roman" w:cs="Times New Roman" w:eastAsia="Times New Roman" w:hAnsi="Times New Roman"/>
          <w:b/>
          <w:bCs/>
          <w:sz w:val="22"/>
          <w:szCs w:val="22"/>
        </w:rPr>
        <w:t xml:space="preserve">Répartition des fiches pédagogiques selon les critères d'analyse (n = 100)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65"/>
        <w:gridCol w:w="1270"/>
        <w:gridCol w:w="1270"/>
        <w:gridCol w:w="1270"/>
        <w:gridCol w:w="1997"/>
      </w:tblGrid>
      <w:tr>
        <w:trPr>
          <w:cantSplit/>
          <w:tblHeader/>
        </w:trPr>
        <w:tc>
          <w:tcPr>
            <w:tcW w:type="dxa" w:w="326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Critère</w:t>
            </w:r>
          </w:p>
        </w:tc>
        <w:tc>
          <w:tcPr>
            <w:tcW w:type="dxa" w:w="127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0 = Absent</w:t>
            </w:r>
          </w:p>
        </w:tc>
        <w:tc>
          <w:tcPr>
            <w:tcW w:type="dxa" w:w="127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1 = Partiel</w:t>
            </w:r>
          </w:p>
        </w:tc>
        <w:tc>
          <w:tcPr>
            <w:tcW w:type="dxa" w:w="127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2 = Conforme</w:t>
            </w:r>
          </w:p>
        </w:tc>
        <w:tc>
          <w:tcPr>
            <w:tcW w:type="dxa" w:w="199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Moyenne (/2)</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C1 – Situation de départ (situation-problème concrète)</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69 %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21 %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10 %</w:t>
            </w:r>
          </w:p>
        </w:tc>
        <w:tc>
          <w:tcPr>
            <w:tcW w:type="dxa" w:w="19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0,41</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C2 – Rigueur mathématique</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18 %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47 %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35 %</w:t>
            </w:r>
          </w:p>
        </w:tc>
        <w:tc>
          <w:tcPr>
            <w:tcW w:type="dxa" w:w="19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1,17</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C3 – Registres de représentation</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52 %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34 %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14 %</w:t>
            </w:r>
          </w:p>
        </w:tc>
        <w:tc>
          <w:tcPr>
            <w:tcW w:type="dxa" w:w="19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0,62</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C4 – Structuration de la séance</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23 %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49 %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28 %</w:t>
            </w:r>
          </w:p>
        </w:tc>
        <w:tc>
          <w:tcPr>
            <w:tcW w:type="dxa" w:w="19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1,05</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1).</w:t>
      </w:r>
    </w:p>
    <w:p>
      <w:pPr>
        <w:keepNext/>
        <w:keepLines/>
        <w:spacing w:after="80" w:before="160" w:line="276"/>
        <w:jc w:val="center"/>
      </w:pPr>
      <w:r>
        <w:rPr>
          <w:rFonts w:ascii="Times New Roman" w:cs="Times New Roman" w:eastAsia="Times New Roman" w:hAnsi="Times New Roman"/>
          <w:b/>
          <w:bCs/>
          <w:sz w:val="22"/>
          <w:szCs w:val="22"/>
        </w:rPr>
        <w:t xml:space="preserve">Graphique 7 : </w:t>
      </w:r>
      <w:r>
        <w:rPr>
          <w:rFonts w:ascii="Times New Roman" w:cs="Times New Roman" w:eastAsia="Times New Roman" w:hAnsi="Times New Roman"/>
          <w:b/>
          <w:bCs/>
          <w:sz w:val="22"/>
          <w:szCs w:val="22"/>
        </w:rPr>
        <w:t xml:space="preserve">Répartition des fiches pédagogiques selon les critères d'analyse</w:t>
      </w:r>
    </w:p>
    <w:p>
      <w:pPr>
        <w:keepNext/>
        <w:spacing w:after="60" w:before="60"/>
        <w:jc w:val="center"/>
      </w:pPr>
      <w:r>
        <w:drawing>
          <wp:inline distT="0" distB="0" distL="0" distR="0">
            <wp:extent cx="5581650" cy="2476500"/>
            <wp:effectExtent t="0" r="0" b="0" l="0"/>
            <wp:docPr id="1" name="f_fiches" descr="f_fiches" title="f_fi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2476500"/>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Notre enquête, 2026 (Outil 1).</w:t>
      </w:r>
    </w:p>
    <w:p>
      <w:pPr>
        <w:spacing w:after="120" w:before="0" w:line="360"/>
        <w:ind w:firstLine="709"/>
        <w:jc w:val="both"/>
      </w:pPr>
      <w:r>
        <w:rPr>
          <w:rFonts w:ascii="Times New Roman" w:cs="Times New Roman" w:eastAsia="Times New Roman" w:hAnsi="Times New Roman"/>
        </w:rPr>
        <w:t xml:space="preserve">Le critère le plus déficitaire est celui de la situation de départ (C1) : 69 % des fiches ne proposent aucune situation-problème et introduisent directement la notion par une définition ou par une règle énoncée par le maître, du type « Une fraction est un nombre qui s'écrit sous la forme a/b ». Seules 10 % des fiches partent d'une situation-problème concrète, de partage ou de mesure, qui place les élèves en situation de recherche. Le critère relatif aux registres de représentation (C3) est également très faible : plus de la moitié des fiches (52 %) ne prévoient aucun schéma ni aucune représentation graphique, ou se contentent d'un dessin du maître au tableau sans lien explicite avec l'écriture symbolique ; seules 14 % organisent une véritable coordination entre registres.</w:t>
      </w:r>
    </w:p>
    <w:p>
      <w:pPr>
        <w:spacing w:after="120" w:before="0" w:line="360"/>
        <w:ind w:firstLine="709"/>
        <w:jc w:val="both"/>
      </w:pPr>
      <w:r>
        <w:rPr>
          <w:rFonts w:ascii="Times New Roman" w:cs="Times New Roman" w:eastAsia="Times New Roman" w:hAnsi="Times New Roman"/>
        </w:rPr>
        <w:t xml:space="preserve">Les critères de rigueur mathématique (C2) et de structuration (C4) obtiennent des résultats plus favorables, avec des moyennes légèrement supérieures à 1 sur 2. Toutefois, 18 % des fiches comportent des erreurs mathématiques, comme des définitions inexactes, des exemples où les parts représentées sont inégales ou des règles de calcul erronées, et près d'un quart (23 %) ne prévoient ni phase de recherche, ni mise en commun, ni institutionnalisation clairement identifiables. Dans de nombreuses fiches, l'institutionnalisation se réduit à la copie d'un résumé dicté par le maître.</w:t>
      </w:r>
    </w:p>
    <w:p>
      <w:pPr>
        <w:pStyle w:val="Heading3"/>
        <w:keepNext/>
        <w:keepLines/>
      </w:pPr>
      <w:r>
        <w:rPr>
          <w:rFonts w:ascii="Times New Roman" w:cs="Times New Roman" w:eastAsia="Times New Roman" w:hAnsi="Times New Roman"/>
        </w:rPr>
        <w:t xml:space="preserve">4.3.2. Place du matériel de manipulation</w:t>
      </w:r>
    </w:p>
    <w:p>
      <w:pPr>
        <w:spacing w:after="120" w:before="0" w:line="360"/>
        <w:ind w:firstLine="709"/>
        <w:jc w:val="both"/>
      </w:pPr>
      <w:r>
        <w:rPr>
          <w:rFonts w:ascii="Times New Roman" w:cs="Times New Roman" w:eastAsia="Times New Roman" w:hAnsi="Times New Roman"/>
        </w:rPr>
        <w:t xml:space="preserve">L'indicateur relatif au matériel de manipulation confirme ces tendances : </w:t>
      </w:r>
      <w:r>
        <w:rPr>
          <w:rFonts w:ascii="Times New Roman" w:cs="Times New Roman" w:eastAsia="Times New Roman" w:hAnsi="Times New Roman"/>
          <w:b/>
          <w:bCs/>
        </w:rPr>
        <w:t xml:space="preserve">74 % des fiches ne prévoient aucune manipulation</w:t>
      </w:r>
      <w:r>
        <w:rPr>
          <w:rFonts w:ascii="Times New Roman" w:cs="Times New Roman" w:eastAsia="Times New Roman" w:hAnsi="Times New Roman"/>
        </w:rPr>
        <w:t xml:space="preserve"> d'objets par les élèves, qu'il s'agisse de bandes de papier à plier, de disques à découper, de capsules ou de graines à partager. Dans les 26 % de fiches qui en prévoient, le matériel est souvent manipulé par le maître seul, à titre de démonstration, plutôt que par les élèves en situation de recherche. Les fiches passent ainsi directement de l'explication verbale au tableau à des exercices d'application dans les cahiers.</w:t>
      </w:r>
    </w:p>
    <w:p>
      <w:pPr>
        <w:pStyle w:val="Heading3"/>
        <w:keepNext/>
        <w:keepLines/>
      </w:pPr>
      <w:r>
        <w:rPr>
          <w:rFonts w:ascii="Times New Roman" w:cs="Times New Roman" w:eastAsia="Times New Roman" w:hAnsi="Times New Roman"/>
        </w:rPr>
        <w:t xml:space="preserve">4.3.3. Illustration par des extraits de fiches</w:t>
      </w:r>
    </w:p>
    <w:p>
      <w:pPr>
        <w:spacing w:after="120" w:before="0" w:line="360"/>
        <w:ind w:firstLine="709"/>
        <w:jc w:val="both"/>
      </w:pPr>
      <w:r>
        <w:rPr>
          <w:rFonts w:ascii="Times New Roman" w:cs="Times New Roman" w:eastAsia="Times New Roman" w:hAnsi="Times New Roman"/>
        </w:rPr>
        <w:t xml:space="preserve">Deux extraits permettent d'illustrer le contraste entre une fiche insuffisante et une fiche conforme. Le premier, extrait d'une fiche de CM1 sur l'addition de fractions ayant obtenu un score de 2 sur 8, présente la phase de découverte de la manière suivante :</w:t>
      </w:r>
    </w:p>
    <w:p>
      <w:pPr>
        <w:spacing w:after="140" w:before="40" w:line="300"/>
        <w:ind w:left="850" w:right="567"/>
        <w:jc w:val="both"/>
      </w:pPr>
      <w:r>
        <w:rPr>
          <w:rFonts w:ascii="Times New Roman" w:cs="Times New Roman" w:eastAsia="Times New Roman" w:hAnsi="Times New Roman"/>
          <w:i/>
          <w:iCs/>
          <w:sz w:val="23"/>
          <w:szCs w:val="23"/>
        </w:rPr>
        <w:t xml:space="preserve">« Le maître écrit au tableau : pour additionner deux fractions de dénominateurs différents, on les réduit au même dénominateur puis on additionne les numérateurs. Exemple : 1/2 + 1/3 = 3/6 + 2/6 = 5/6. Les élèves recopient la règle et l'exemple. Exercices : calculer 1/4 + 2/3 ; 3/5 + 1/2. » (Fiche EPE-012)</w:t>
      </w:r>
    </w:p>
    <w:p>
      <w:pPr>
        <w:spacing w:after="120" w:before="0" w:line="360"/>
        <w:ind w:firstLine="709"/>
        <w:jc w:val="both"/>
      </w:pPr>
      <w:r>
        <w:rPr>
          <w:rFonts w:ascii="Times New Roman" w:cs="Times New Roman" w:eastAsia="Times New Roman" w:hAnsi="Times New Roman"/>
        </w:rPr>
        <w:t xml:space="preserve">La règle est énoncée d'emblée, sans problème qui la rende nécessaire, sans matériel et sans justification ; les élèves n'ont d'autre activité que la copie et l'application. Le second extrait, issu d'une fiche de CE2 sur la notion de quart ayant obtenu un score de 7 sur 8, se présente différemment :</w:t>
      </w:r>
    </w:p>
    <w:p>
      <w:pPr>
        <w:spacing w:after="140" w:before="40" w:line="300"/>
        <w:ind w:left="850" w:right="567"/>
        <w:jc w:val="both"/>
      </w:pPr>
      <w:r>
        <w:rPr>
          <w:rFonts w:ascii="Times New Roman" w:cs="Times New Roman" w:eastAsia="Times New Roman" w:hAnsi="Times New Roman"/>
          <w:i/>
          <w:iCs/>
          <w:sz w:val="23"/>
          <w:szCs w:val="23"/>
        </w:rPr>
        <w:t xml:space="preserve">« Situation : Ama veut partager une galette en quatre parts égales pour elle et ses trois frères. Consigne : chaque groupe reçoit une feuille rectangulaire représentant la galette ; trouvez comment la partager en quatre parts égales. Mise en commun : les groupes présentent leurs pliages ; on vérifie par superposition que les parts sont égales. Le maître fait nommer chaque part : un quart, et l'écrit 1/4. » (Fiche EPE-021)</w:t>
      </w:r>
    </w:p>
    <w:p>
      <w:pPr>
        <w:spacing w:after="120" w:before="0" w:line="360"/>
        <w:ind w:firstLine="709"/>
        <w:jc w:val="both"/>
      </w:pPr>
      <w:r>
        <w:rPr>
          <w:rFonts w:ascii="Times New Roman" w:cs="Times New Roman" w:eastAsia="Times New Roman" w:hAnsi="Times New Roman"/>
        </w:rPr>
        <w:t xml:space="preserve">Cette fiche part d'un problème concret, confie la recherche aux élèves, prévoit une validation par superposition et organise le passage du matériel à l'écriture. Elle montre qu'une ingénierie conforme est accessible aux EPE, même si elle reste l'exception.</w:t>
      </w:r>
    </w:p>
    <w:p>
      <w:pPr>
        <w:pStyle w:val="Heading3"/>
        <w:keepNext/>
        <w:keepLines/>
      </w:pPr>
      <w:r>
        <w:rPr>
          <w:rFonts w:ascii="Times New Roman" w:cs="Times New Roman" w:eastAsia="Times New Roman" w:hAnsi="Times New Roman"/>
        </w:rPr>
        <w:t xml:space="preserve">4.3.4. Qualité globale des fiches</w:t>
      </w:r>
    </w:p>
    <w:p>
      <w:pPr>
        <w:spacing w:after="120" w:before="0" w:line="360"/>
        <w:ind w:firstLine="709"/>
        <w:jc w:val="both"/>
      </w:pPr>
      <w:r>
        <w:rPr>
          <w:rFonts w:ascii="Times New Roman" w:cs="Times New Roman" w:eastAsia="Times New Roman" w:hAnsi="Times New Roman"/>
        </w:rPr>
        <w:t xml:space="preserve">Le score global de chaque fiche, sur 8 points, permet d'apprécier sa qualité d'ensemble (tableau 27).</w:t>
      </w:r>
    </w:p>
    <w:p>
      <w:pPr>
        <w:keepNext/>
        <w:keepLines/>
        <w:spacing w:after="80" w:before="160" w:line="276"/>
        <w:jc w:val="center"/>
      </w:pPr>
      <w:r>
        <w:rPr>
          <w:rFonts w:ascii="Times New Roman" w:cs="Times New Roman" w:eastAsia="Times New Roman" w:hAnsi="Times New Roman"/>
          <w:b/>
          <w:bCs/>
          <w:sz w:val="22"/>
          <w:szCs w:val="22"/>
        </w:rPr>
        <w:t xml:space="preserve">Tableau 27 : </w:t>
      </w:r>
      <w:r>
        <w:rPr>
          <w:rFonts w:ascii="Times New Roman" w:cs="Times New Roman" w:eastAsia="Times New Roman" w:hAnsi="Times New Roman"/>
          <w:b/>
          <w:bCs/>
          <w:sz w:val="22"/>
          <w:szCs w:val="22"/>
        </w:rPr>
        <w:t xml:space="preserve">Répartition des fiches selon leur qualité globale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1814"/>
        <w:gridCol w:w="1816"/>
      </w:tblGrid>
      <w:tr>
        <w:trPr>
          <w:cantSplit/>
          <w:tblHeader/>
        </w:trPr>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Qualité de la fiche</w:t>
            </w:r>
          </w:p>
        </w:tc>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Score (/8)</w:t>
            </w:r>
          </w:p>
        </w:tc>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Effectif</w:t>
            </w:r>
          </w:p>
        </w:tc>
        <w:tc>
          <w:tcPr>
            <w:tcW w:type="dxa" w:w="181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Pourcentage</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Insuffisante</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0 à 3</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57</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57 %</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Acceptable</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4 à 5</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36</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36 %</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Conforme</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6 à 8</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7</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7 %</w:t>
            </w:r>
          </w:p>
        </w:tc>
      </w:tr>
      <w:tr>
        <w:trPr>
          <w:cantSplit/>
          <w:tblHeader w:val="false"/>
        </w:trPr>
        <w:tc>
          <w:tcPr>
            <w:tcW w:type="dxa" w:w="3628"/>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Total</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100</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100 %</w:t>
            </w:r>
          </w:p>
        </w:tc>
      </w:tr>
      <w:tr>
        <w:trPr>
          <w:cantSplit/>
          <w:tblHeader w:val="false"/>
        </w:trPr>
        <w:tc>
          <w:tcPr>
            <w:tcW w:type="dxa" w:w="3628"/>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Score moyen</w:t>
            </w:r>
          </w:p>
        </w:tc>
        <w:tc>
          <w:tcPr>
            <w:tcW w:type="dxa" w:w="5444"/>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3,25 / 8 (écart-type : 1,53)</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1).</w:t>
      </w:r>
    </w:p>
    <w:p>
      <w:pPr>
        <w:spacing w:after="120" w:before="0" w:line="360"/>
        <w:ind w:firstLine="709"/>
        <w:jc w:val="both"/>
      </w:pPr>
      <w:r>
        <w:rPr>
          <w:rFonts w:ascii="Times New Roman" w:cs="Times New Roman" w:eastAsia="Times New Roman" w:hAnsi="Times New Roman"/>
        </w:rPr>
        <w:t xml:space="preserve">Plus de la moitié des fiches (57 %) sont de qualité insuffisante, et seules 7 % peuvent être considérées comme conformes aux exigences d'une démarche active d'enseignement des fractions. Le score moyen de 3,25 sur 8 traduit une ingénierie didactique globalement faible.</w:t>
      </w:r>
    </w:p>
    <w:p>
      <w:pPr>
        <w:pStyle w:val="Heading3"/>
        <w:keepNext/>
        <w:keepLines/>
      </w:pPr>
      <w:r>
        <w:rPr>
          <w:rFonts w:ascii="Times New Roman" w:cs="Times New Roman" w:eastAsia="Times New Roman" w:hAnsi="Times New Roman"/>
        </w:rPr>
        <w:t xml:space="preserve">4.3.5. Relation entre la qualité des fiches et la maîtrise conceptuelle</w:t>
      </w:r>
    </w:p>
    <w:p>
      <w:pPr>
        <w:spacing w:after="120" w:before="0" w:line="360"/>
        <w:ind w:firstLine="709"/>
        <w:jc w:val="both"/>
      </w:pPr>
      <w:r>
        <w:rPr>
          <w:rFonts w:ascii="Times New Roman" w:cs="Times New Roman" w:eastAsia="Times New Roman" w:hAnsi="Times New Roman"/>
        </w:rPr>
        <w:t xml:space="preserve">Nous avons examiné la relation entre la qualité des fiches et le niveau de maîtrise de la Notion B (tableau 28).</w:t>
      </w:r>
    </w:p>
    <w:p>
      <w:pPr>
        <w:keepNext/>
        <w:keepLines/>
        <w:spacing w:after="80" w:before="160" w:line="276"/>
        <w:jc w:val="center"/>
      </w:pPr>
      <w:r>
        <w:rPr>
          <w:rFonts w:ascii="Times New Roman" w:cs="Times New Roman" w:eastAsia="Times New Roman" w:hAnsi="Times New Roman"/>
          <w:b/>
          <w:bCs/>
          <w:sz w:val="22"/>
          <w:szCs w:val="22"/>
        </w:rPr>
        <w:t xml:space="preserve">Tableau 28 : </w:t>
      </w:r>
      <w:r>
        <w:rPr>
          <w:rFonts w:ascii="Times New Roman" w:cs="Times New Roman" w:eastAsia="Times New Roman" w:hAnsi="Times New Roman"/>
          <w:b/>
          <w:bCs/>
          <w:sz w:val="22"/>
          <w:szCs w:val="22"/>
        </w:rPr>
        <w:t xml:space="preserve">Qualité des fiches selon le niveau de maîtrise de la Notion B</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2086"/>
        <w:gridCol w:w="2268"/>
        <w:gridCol w:w="1997"/>
      </w:tblGrid>
      <w:tr>
        <w:trPr>
          <w:cantSplit/>
          <w:tblHeader/>
        </w:trPr>
        <w:tc>
          <w:tcPr>
            <w:tcW w:type="dxa" w:w="272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Qualité de la fiche</w:t>
            </w:r>
          </w:p>
        </w:tc>
        <w:tc>
          <w:tcPr>
            <w:tcW w:type="dxa" w:w="208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Non acquis (n = 36)</w:t>
            </w:r>
          </w:p>
        </w:tc>
        <w:tc>
          <w:tcPr>
            <w:tcW w:type="dxa" w:w="226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En cours d'acquisition (n = 42)</w:t>
            </w:r>
          </w:p>
        </w:tc>
        <w:tc>
          <w:tcPr>
            <w:tcW w:type="dxa" w:w="199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Acquis (n = 22)</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Insuffisante</w:t>
            </w:r>
          </w:p>
        </w:tc>
        <w:tc>
          <w:tcPr>
            <w:tcW w:type="dxa" w:w="20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26 (72,2 %)</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25 (59,5 %)</w:t>
            </w:r>
          </w:p>
        </w:tc>
        <w:tc>
          <w:tcPr>
            <w:tcW w:type="dxa" w:w="19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6 (27,3 %)</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Acceptable</w:t>
            </w:r>
          </w:p>
        </w:tc>
        <w:tc>
          <w:tcPr>
            <w:tcW w:type="dxa" w:w="20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 (27,8 %)</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15 (35,7 %)</w:t>
            </w:r>
          </w:p>
        </w:tc>
        <w:tc>
          <w:tcPr>
            <w:tcW w:type="dxa" w:w="19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11 (50,0 %)</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Conforme</w:t>
            </w:r>
          </w:p>
        </w:tc>
        <w:tc>
          <w:tcPr>
            <w:tcW w:type="dxa" w:w="20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0 (0,0 %)</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 (4,8 %)</w:t>
            </w:r>
          </w:p>
        </w:tc>
        <w:tc>
          <w:tcPr>
            <w:tcW w:type="dxa" w:w="19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5 (22,7 %)</w:t>
            </w:r>
          </w:p>
        </w:tc>
      </w:tr>
      <w:tr>
        <w:trPr>
          <w:cantSplit/>
          <w:tblHeader w:val="false"/>
        </w:trPr>
        <w:tc>
          <w:tcPr>
            <w:tcW w:type="dxa" w:w="272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Score moyen (/8)</w:t>
            </w:r>
          </w:p>
        </w:tc>
        <w:tc>
          <w:tcPr>
            <w:tcW w:type="dxa" w:w="208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2,67</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3,14</w:t>
            </w:r>
          </w:p>
        </w:tc>
        <w:tc>
          <w:tcPr>
            <w:tcW w:type="dxa" w:w="19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4,41</w:t>
            </w:r>
          </w:p>
        </w:tc>
      </w:tr>
      <w:tr>
        <w:trPr>
          <w:cantSplit/>
          <w:tblHeader w:val="false"/>
        </w:trPr>
        <w:tc>
          <w:tcPr>
            <w:tcW w:type="dxa" w:w="272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Test (insuffisante / acceptable ou conforme)</w:t>
            </w:r>
          </w:p>
        </w:tc>
        <w:tc>
          <w:tcPr>
            <w:tcW w:type="dxa" w:w="6351"/>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χ² = 11,44 ; ddl = 2 ; p = 0,003 ; V = 0,34</w:t>
            </w:r>
          </w:p>
        </w:tc>
      </w:tr>
    </w:tbl>
    <w:p>
      <w:pPr>
        <w:spacing w:after="200" w:before="60" w:line="240"/>
        <w:jc w:val="left"/>
      </w:pPr>
      <w:r>
        <w:rPr>
          <w:rFonts w:ascii="Times New Roman" w:cs="Times New Roman" w:eastAsia="Times New Roman" w:hAnsi="Times New Roman"/>
          <w:i/>
          <w:iCs/>
          <w:sz w:val="20"/>
          <w:szCs w:val="20"/>
        </w:rPr>
        <w:t xml:space="preserve">Source : Notre enquête, 2026 (Outils 1 et 2).</w:t>
      </w:r>
    </w:p>
    <w:p>
      <w:pPr>
        <w:keepNext/>
        <w:keepLines/>
        <w:spacing w:after="80" w:before="160" w:line="276"/>
        <w:jc w:val="center"/>
      </w:pPr>
      <w:r>
        <w:rPr>
          <w:rFonts w:ascii="Times New Roman" w:cs="Times New Roman" w:eastAsia="Times New Roman" w:hAnsi="Times New Roman"/>
          <w:b/>
          <w:bCs/>
          <w:sz w:val="22"/>
          <w:szCs w:val="22"/>
        </w:rPr>
        <w:t xml:space="preserve">Graphique 8 : </w:t>
      </w:r>
      <w:r>
        <w:rPr>
          <w:rFonts w:ascii="Times New Roman" w:cs="Times New Roman" w:eastAsia="Times New Roman" w:hAnsi="Times New Roman"/>
          <w:b/>
          <w:bCs/>
          <w:sz w:val="22"/>
          <w:szCs w:val="22"/>
        </w:rPr>
        <w:t xml:space="preserve">Score moyen des fiches pédagogiques selon le niveau de maîtrise de la Notion B</w:t>
      </w:r>
    </w:p>
    <w:p>
      <w:pPr>
        <w:keepNext/>
        <w:spacing w:after="60" w:before="60"/>
        <w:jc w:val="center"/>
      </w:pPr>
      <w:r>
        <w:drawing>
          <wp:inline distT="0" distB="0" distL="0" distR="0">
            <wp:extent cx="5581650" cy="2914650"/>
            <wp:effectExtent t="0" r="0" b="0" l="0"/>
            <wp:docPr id="1" name="f_fiche_niveau" descr="f_fiche_niveau" title="f_fiche_niv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2914650"/>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Notre enquête, 2026 (Outils 1 et 2).</w:t>
      </w:r>
    </w:p>
    <w:p>
      <w:pPr>
        <w:spacing w:after="120" w:before="0" w:line="360"/>
        <w:ind w:firstLine="709"/>
        <w:jc w:val="both"/>
      </w:pPr>
      <w:r>
        <w:rPr>
          <w:rFonts w:ascii="Times New Roman" w:cs="Times New Roman" w:eastAsia="Times New Roman" w:hAnsi="Times New Roman"/>
        </w:rPr>
        <w:t xml:space="preserve">La qualité des fiches croît avec le niveau de maîtrise : le score moyen passe de 2,67 chez les EPE du niveau « non acquis » à 4,41 chez ceux du niveau « acquis ». Près des trois quarts (72,2 %) des EPE du niveau « non acquis » produisent une fiche insuffisante, contre 27,3 % des EPE du niveau « acquis ». Après regroupement des modalités « acceptable » et « conforme », le test du khi-deux est significatif (χ² = 11,44 ; p = 0,003). Le coefficient de corrélation de Spearman entre la note à l'exercice et le score de la fiche est positif et significatif (ρ = 0,45 ; p &lt; 0,001). Cette corrélation est plus forte pour le critère de rigueur mathématique (ρ = 0,57 ; p &lt; 0,001).</w:t>
      </w:r>
    </w:p>
    <w:p>
      <w:pPr>
        <w:spacing w:after="120" w:before="0" w:line="360"/>
        <w:ind w:firstLine="709"/>
        <w:jc w:val="both"/>
      </w:pPr>
      <w:r>
        <w:rPr>
          <w:rFonts w:ascii="Times New Roman" w:cs="Times New Roman" w:eastAsia="Times New Roman" w:hAnsi="Times New Roman"/>
        </w:rPr>
        <w:t xml:space="preserve">Le tableau 29 affine cette analyse critère par critère.</w:t>
      </w:r>
    </w:p>
    <w:p>
      <w:pPr>
        <w:keepNext/>
        <w:keepLines/>
        <w:spacing w:after="80" w:before="160" w:line="276"/>
        <w:jc w:val="center"/>
      </w:pPr>
      <w:r>
        <w:rPr>
          <w:rFonts w:ascii="Times New Roman" w:cs="Times New Roman" w:eastAsia="Times New Roman" w:hAnsi="Times New Roman"/>
          <w:b/>
          <w:bCs/>
          <w:sz w:val="22"/>
          <w:szCs w:val="22"/>
        </w:rPr>
        <w:t xml:space="preserve">Tableau 29 : </w:t>
      </w:r>
      <w:r>
        <w:rPr>
          <w:rFonts w:ascii="Times New Roman" w:cs="Times New Roman" w:eastAsia="Times New Roman" w:hAnsi="Times New Roman"/>
          <w:b/>
          <w:bCs/>
          <w:sz w:val="22"/>
          <w:szCs w:val="22"/>
        </w:rPr>
        <w:t xml:space="preserve">Score moyen (/2) à chaque critère selon le niveau de maîtrise de la Notion B</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1814"/>
        <w:gridCol w:w="1816"/>
      </w:tblGrid>
      <w:tr>
        <w:trPr>
          <w:cantSplit/>
          <w:tblHeader/>
        </w:trPr>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Critère</w:t>
            </w:r>
          </w:p>
        </w:tc>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Non acquis</w:t>
            </w:r>
          </w:p>
        </w:tc>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En cours d'acquisition</w:t>
            </w:r>
          </w:p>
        </w:tc>
        <w:tc>
          <w:tcPr>
            <w:tcW w:type="dxa" w:w="181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Acquis</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C1 – Situation de départ</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0,42</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0,40</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0,41</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C2 – Rigueur mathématique</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0,78</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1,26</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1,64</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C3 – Registres de représentation</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0,56</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0,43</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1,09</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C4 – Structuration de la séance</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0,92</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1,05</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1,27</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Fiches prévoyant une manipulation</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22,2 %</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19,0 %</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45,5 %</w:t>
            </w:r>
          </w:p>
        </w:tc>
      </w:tr>
    </w:tbl>
    <w:p>
      <w:pPr>
        <w:spacing w:after="200" w:before="60" w:line="240"/>
        <w:jc w:val="left"/>
      </w:pPr>
      <w:r>
        <w:rPr>
          <w:rFonts w:ascii="Times New Roman" w:cs="Times New Roman" w:eastAsia="Times New Roman" w:hAnsi="Times New Roman"/>
          <w:i/>
          <w:iCs/>
          <w:sz w:val="20"/>
          <w:szCs w:val="20"/>
        </w:rPr>
        <w:t xml:space="preserve">Source : Notre enquête, 2026 (Outils 1 et 2).</w:t>
      </w:r>
    </w:p>
    <w:p>
      <w:pPr>
        <w:spacing w:after="120" w:before="0" w:line="360"/>
        <w:ind w:firstLine="709"/>
        <w:jc w:val="both"/>
      </w:pPr>
      <w:r>
        <w:rPr>
          <w:rFonts w:ascii="Times New Roman" w:cs="Times New Roman" w:eastAsia="Times New Roman" w:hAnsi="Times New Roman"/>
        </w:rPr>
        <w:t xml:space="preserve">Ce tableau révèle un résultat essentiel. Si la rigueur mathématique (C2) progresse nettement avec le niveau de maîtrise, le score au critère de la situation de départ (C1) reste pratiquement identique, autour de 0,4, quel que soit le niveau. Même les EPE qui maîtrisent le mieux les fractions n'introduisent pas la notion par une situation-problème. Autrement dit, la maîtrise du contenu est une condition nécessaire, mais non suffisante, d'une ingénierie didactique de qualité : la capacité à concevoir des situations d'apprentissage relève d'une compétence professionnelle spécifique, qui doit faire l'objet d'une formation explicite.</w:t>
      </w:r>
    </w:p>
    <w:p>
      <w:pPr>
        <w:pStyle w:val="Heading3"/>
        <w:keepNext/>
        <w:keepLines/>
      </w:pPr>
      <w:r>
        <w:rPr>
          <w:rFonts w:ascii="Times New Roman" w:cs="Times New Roman" w:eastAsia="Times New Roman" w:hAnsi="Times New Roman"/>
        </w:rPr>
        <w:t xml:space="preserve">4.3.6. Interprétation des résultats relatifs aux pratiques de préparation</w:t>
      </w:r>
    </w:p>
    <w:p>
      <w:pPr>
        <w:spacing w:after="120" w:before="0" w:line="360"/>
        <w:ind w:firstLine="709"/>
        <w:jc w:val="both"/>
      </w:pPr>
      <w:r>
        <w:rPr>
          <w:rFonts w:ascii="Times New Roman" w:cs="Times New Roman" w:eastAsia="Times New Roman" w:hAnsi="Times New Roman"/>
        </w:rPr>
        <w:t xml:space="preserve">Au regard de la Théorie des Situations Didactiques (Brousseau, 1998), les fiches analysées court-circuitent les phases d'action, de formulation et de validation pour ne conserver que l'institutionnalisation d'un savoir que les élèves n'ont pas construit. La dévolution du problème aux élèves n'a pas lieu, puisqu'il n'y a pas de problème : le contrat didactique implicite est celui d'un maître qui énonce et d'élèves qui appliquent. Du point de vue de Douady (1986), la fraction est présentée d'emblée comme un objet, sans avoir été rencontrée comme outil de résolution d'un problème de partage ou de mesure ; les élèves n'ont dès lors aucune raison de comprendre pourquoi ce nouveau nombre est nécessaire.</w:t>
      </w:r>
    </w:p>
    <w:p>
      <w:pPr>
        <w:spacing w:after="120" w:before="0" w:line="360"/>
        <w:ind w:firstLine="709"/>
        <w:jc w:val="both"/>
      </w:pPr>
      <w:r>
        <w:rPr>
          <w:rFonts w:ascii="Times New Roman" w:cs="Times New Roman" w:eastAsia="Times New Roman" w:hAnsi="Times New Roman"/>
        </w:rPr>
        <w:t xml:space="preserve">L'absence de manipulation et la faiblesse de la coordination entre registres privent en outre les élèves du support qui leur permettrait de convertir une situation concrète en écriture symbolique, conversion dont Duval (1995) a montré qu'elle conditionne la compréhension. Le paradoxe est frappant : les erreurs les plus fréquentes des EPE eux-mêmes, comme l'addition terme à terme ou la comparaison selon l'ordre des entiers, sont précisément celles qu'une manipulation de bandes de papier permettrait de mettre en défaut. En reproduisant dans leurs fiches l'enseignement formel qu'ils ont reçu, les EPE risquent de transmettre à leurs élèves les obstacles dont ils n'ont pas été libérés. Ce phénomène illustre la rupture de la seconde transposition didactique : le savoir, déjà fragile chez l'EPE, est encore « aplati » en une suite de règles lorsqu'il est transposé pour les élèves.</w:t>
      </w:r>
    </w:p>
    <w:p>
      <w:pPr>
        <w:pStyle w:val="Heading2"/>
        <w:keepNext/>
        <w:keepLines/>
      </w:pPr>
      <w:r>
        <w:rPr>
          <w:rFonts w:ascii="Times New Roman" w:cs="Times New Roman" w:eastAsia="Times New Roman" w:hAnsi="Times New Roman"/>
        </w:rPr>
        <w:t xml:space="preserve">4.4. Résultats relatifs au dispositif de formation et d'encadrement</w:t>
      </w:r>
    </w:p>
    <w:p>
      <w:pPr>
        <w:spacing w:after="120" w:before="0" w:line="360"/>
        <w:ind w:firstLine="709"/>
        <w:jc w:val="both"/>
      </w:pPr>
      <w:r>
        <w:rPr>
          <w:rFonts w:ascii="Times New Roman" w:cs="Times New Roman" w:eastAsia="Times New Roman" w:hAnsi="Times New Roman"/>
        </w:rPr>
        <w:t xml:space="preserve">Cette section présente les résultats issus de l'Outil 3, les entretiens semi-directifs menés auprès de 4 formateurs et de 20 EPE. Elle répond à la question secondaire QS3 et permet de tester l'hypothèse HS3.</w:t>
      </w:r>
    </w:p>
    <w:p>
      <w:pPr>
        <w:pStyle w:val="Heading3"/>
        <w:keepNext/>
        <w:keepLines/>
      </w:pPr>
      <w:r>
        <w:rPr>
          <w:rFonts w:ascii="Times New Roman" w:cs="Times New Roman" w:eastAsia="Times New Roman" w:hAnsi="Times New Roman"/>
        </w:rPr>
        <w:t xml:space="preserve">4.4.1. Résultats des entretiens avec les formateurs</w:t>
      </w:r>
    </w:p>
    <w:p>
      <w:pPr>
        <w:spacing w:after="120" w:before="0" w:line="360"/>
        <w:ind w:firstLine="709"/>
        <w:jc w:val="both"/>
      </w:pPr>
      <w:r>
        <w:rPr>
          <w:rFonts w:ascii="Times New Roman" w:cs="Times New Roman" w:eastAsia="Times New Roman" w:hAnsi="Times New Roman"/>
        </w:rPr>
        <w:t xml:space="preserve">Le tableau 30 présente les thèmes évoqués par les formateurs en réponse aux trois questions du volet A du guide d'entretien.</w:t>
      </w:r>
    </w:p>
    <w:p>
      <w:pPr>
        <w:keepNext/>
        <w:keepLines/>
        <w:spacing w:after="80" w:before="160" w:line="276"/>
        <w:jc w:val="center"/>
      </w:pPr>
      <w:r>
        <w:rPr>
          <w:rFonts w:ascii="Times New Roman" w:cs="Times New Roman" w:eastAsia="Times New Roman" w:hAnsi="Times New Roman"/>
          <w:b/>
          <w:bCs/>
          <w:sz w:val="22"/>
          <w:szCs w:val="22"/>
        </w:rPr>
        <w:t xml:space="preserve">Tableau 30 : </w:t>
      </w:r>
      <w:r>
        <w:rPr>
          <w:rFonts w:ascii="Times New Roman" w:cs="Times New Roman" w:eastAsia="Times New Roman" w:hAnsi="Times New Roman"/>
          <w:b/>
          <w:bCs/>
          <w:sz w:val="22"/>
          <w:szCs w:val="22"/>
        </w:rPr>
        <w:t xml:space="preserve">Thèmes évoqués par les formateurs (n = 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4536"/>
        <w:gridCol w:w="1815"/>
      </w:tblGrid>
      <w:tr>
        <w:trPr>
          <w:cantSplit/>
          <w:tblHeader/>
        </w:trPr>
        <w:tc>
          <w:tcPr>
            <w:tcW w:type="dxa" w:w="272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Question</w:t>
            </w:r>
          </w:p>
        </w:tc>
        <w:tc>
          <w:tcPr>
            <w:tcW w:type="dxa" w:w="453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Thème évoqué</w:t>
            </w:r>
          </w:p>
        </w:tc>
        <w:tc>
          <w:tcPr>
            <w:tcW w:type="dxa" w:w="181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Nombre de formateurs</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Q1 – Explication des difficultés</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Habitudes de mémorisation héritées du secondaire</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 / 4</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Volume horaire insuffisant pour la didactique des fractions</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 / 4</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Profil littéraire d'une partie des EPE</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 / 4</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Grands effectifs et regroupements de classes</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 / 4</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Q2 – Obstacles observés</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Comparaison selon l'ordre des entiers</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 / 4</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Addition des numérateurs et des dénominateurs entre eux</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 / 4</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Difficulté à passer du schéma à l'écriture fractionnaire</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 / 4</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Incompréhension de la fraction-opérateur dans les problèmes</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 / 4</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Q3 – Lacunes des fiches</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Introduction par une définition sans situation-problème</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 / 4</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Absence de matériel de manipulation</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 / 4</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Institutionnalisation réduite à la dictée d'un résumé</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 / 4</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Relances – Dispositif de formation</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Formation elle-même peu fondée sur la manipulation, faute de temps</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 / 4</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Accompagnement didactique limité des stagiaires par les maîtres d'accueil</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 / 4</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3, volet A).</w:t>
      </w:r>
    </w:p>
    <w:p>
      <w:pPr>
        <w:spacing w:after="120" w:before="0" w:line="360"/>
        <w:ind w:firstLine="709"/>
        <w:jc w:val="both"/>
      </w:pPr>
      <w:r>
        <w:rPr>
          <w:rFonts w:ascii="Times New Roman" w:cs="Times New Roman" w:eastAsia="Times New Roman" w:hAnsi="Times New Roman"/>
        </w:rPr>
        <w:t xml:space="preserve">S'agissant de l'explication des difficultés (Q1), tous les formateurs mettent en avant les habitudes de mémorisation acquises au secondaire et l'insuffisance du volume horaire. Le formateur F1 résume ainsi la situation :</w:t>
      </w:r>
    </w:p>
    <w:p>
      <w:pPr>
        <w:spacing w:after="140" w:before="40" w:line="300"/>
        <w:ind w:left="850" w:right="567"/>
        <w:jc w:val="both"/>
      </w:pPr>
      <w:r>
        <w:rPr>
          <w:rFonts w:ascii="Times New Roman" w:cs="Times New Roman" w:eastAsia="Times New Roman" w:hAnsi="Times New Roman"/>
          <w:i/>
          <w:iCs/>
          <w:sz w:val="23"/>
          <w:szCs w:val="23"/>
        </w:rPr>
        <w:t xml:space="preserve">« Le problème fondamental, c'est que les EPE arrivent avec les réflexes du secondaire : apprendre des formules par cœur. Quand on aborde les fractions sous l'angle de la mesure ou de l'opérateur, ils sont perdus. Ils n'ont pas fait ce travail de rupture pour eux-mêmes ; alors imaginez leur difficulté pour l'enseigner à des enfants. Et nos volumes horaires en didactique des mathématiques sont très restreints face à la densité du programme. » (F1)</w:t>
      </w:r>
    </w:p>
    <w:p>
      <w:pPr>
        <w:spacing w:after="120" w:before="0" w:line="360"/>
        <w:ind w:firstLine="709"/>
        <w:jc w:val="both"/>
      </w:pPr>
      <w:r>
        <w:rPr>
          <w:rFonts w:ascii="Times New Roman" w:cs="Times New Roman" w:eastAsia="Times New Roman" w:hAnsi="Times New Roman"/>
        </w:rPr>
        <w:t xml:space="preserve">Trois formateurs sur quatre soulignent également le poids du profil littéraire d'une partie des EPE et des effectifs élevés. Pour F3, « quand on regroupe deux groupes-classes dans une même salle, il devient impossible de suivre chaque groupe dans une activité de manipulation ; on finit par faire un cours magistral ».</w:t>
      </w:r>
    </w:p>
    <w:p>
      <w:pPr>
        <w:spacing w:after="120" w:before="0" w:line="360"/>
        <w:ind w:firstLine="709"/>
        <w:jc w:val="both"/>
      </w:pPr>
      <w:r>
        <w:rPr>
          <w:rFonts w:ascii="Times New Roman" w:cs="Times New Roman" w:eastAsia="Times New Roman" w:hAnsi="Times New Roman"/>
        </w:rPr>
        <w:t xml:space="preserve">Concernant les obstacles observés (Q2), les formateurs identifient unanimement la comparaison selon l'ordre des entiers et l'addition terme à terme, ce qui corrobore l'analyse des copies. F2 observe : « Même quand ils connaissent la règle du dénominateur commun, dès qu'on change un peu la présentation, ils reviennent à 2/3 + 1/4 = 3/7. La règle n'est pas ancrée dans le sens. »</w:t>
      </w:r>
    </w:p>
    <w:p>
      <w:pPr>
        <w:spacing w:after="120" w:before="0" w:line="360"/>
        <w:ind w:firstLine="709"/>
        <w:jc w:val="both"/>
      </w:pPr>
      <w:r>
        <w:rPr>
          <w:rFonts w:ascii="Times New Roman" w:cs="Times New Roman" w:eastAsia="Times New Roman" w:hAnsi="Times New Roman"/>
        </w:rPr>
        <w:t xml:space="preserve">S'agissant des fiches pédagogiques (Q3), tous les formateurs déplorent l'introduction de la fraction par une définition. F4, chargé de la supervision des stages, précise : « La plupart des fiches commencent par "Une fraction est…". Il n'y a pas de problème à résoudre, pas de matériel. L'élève du CM1 reçoit une définition, puis il fait des exercices. »</w:t>
      </w:r>
    </w:p>
    <w:p>
      <w:pPr>
        <w:spacing w:after="120" w:before="0" w:line="360"/>
        <w:ind w:firstLine="709"/>
        <w:jc w:val="both"/>
      </w:pPr>
      <w:r>
        <w:rPr>
          <w:rFonts w:ascii="Times New Roman" w:cs="Times New Roman" w:eastAsia="Times New Roman" w:hAnsi="Times New Roman"/>
        </w:rPr>
        <w:t xml:space="preserve">Les relances sur le dispositif de formation ont fait émerger un aveu significatif : trois formateurs sur quatre reconnaissent que leur propre enseignement fait peu de place à la manipulation. F2 explique : « Nous savons qu'il faut faire manipuler, mais avec le temps dont nous disposons, nous montrons plus que nous ne faisons faire. Les EPE voient la manipulation comme une théorie, pas comme une pratique qu'ils ont vécue. » Trois formateurs relèvent enfin que les maîtres d'accueil, chargés de classes pléthoriques, accompagnent peu les stagiaires sur le plan didactique.</w:t>
      </w:r>
    </w:p>
    <w:p>
      <w:pPr>
        <w:pStyle w:val="Heading3"/>
        <w:keepNext/>
        <w:keepLines/>
      </w:pPr>
      <w:r>
        <w:rPr>
          <w:rFonts w:ascii="Times New Roman" w:cs="Times New Roman" w:eastAsia="Times New Roman" w:hAnsi="Times New Roman"/>
        </w:rPr>
        <w:t xml:space="preserve">4.4.2. Résultats des entretiens avec les EPE</w:t>
      </w:r>
    </w:p>
    <w:p>
      <w:pPr>
        <w:pStyle w:val="Heading4"/>
        <w:keepNext/>
        <w:keepLines/>
      </w:pPr>
      <w:r>
        <w:rPr>
          <w:rFonts w:ascii="Times New Roman" w:cs="Times New Roman" w:eastAsia="Times New Roman" w:hAnsi="Times New Roman"/>
        </w:rPr>
        <w:t xml:space="preserve">a) Auto-évaluation de la maîtrise des fractions (Q1)</w:t>
      </w:r>
    </w:p>
    <w:p>
      <w:pPr>
        <w:spacing w:after="120" w:before="0" w:line="360"/>
        <w:ind w:firstLine="709"/>
        <w:jc w:val="both"/>
      </w:pPr>
      <w:r>
        <w:rPr>
          <w:rFonts w:ascii="Times New Roman" w:cs="Times New Roman" w:eastAsia="Times New Roman" w:hAnsi="Times New Roman"/>
        </w:rPr>
        <w:t xml:space="preserve">Le tableau 31 croise l'auto-évaluation des 20 EPE interviewés avec leur niveau de maîtrise effectif à l'exercice de la Notion B.</w:t>
      </w:r>
    </w:p>
    <w:p>
      <w:pPr>
        <w:keepNext/>
        <w:keepLines/>
        <w:spacing w:after="80" w:before="160" w:line="276"/>
        <w:jc w:val="center"/>
      </w:pPr>
      <w:r>
        <w:rPr>
          <w:rFonts w:ascii="Times New Roman" w:cs="Times New Roman" w:eastAsia="Times New Roman" w:hAnsi="Times New Roman"/>
          <w:b/>
          <w:bCs/>
          <w:sz w:val="22"/>
          <w:szCs w:val="22"/>
        </w:rPr>
        <w:t xml:space="preserve">Tableau 31 : </w:t>
      </w:r>
      <w:r>
        <w:rPr>
          <w:rFonts w:ascii="Times New Roman" w:cs="Times New Roman" w:eastAsia="Times New Roman" w:hAnsi="Times New Roman"/>
          <w:b/>
          <w:bCs/>
          <w:sz w:val="22"/>
          <w:szCs w:val="22"/>
        </w:rPr>
        <w:t xml:space="preserve">Auto-évaluation de la maîtrise des fractions selon le niveau effectif (n = 20)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1632"/>
        <w:gridCol w:w="1995"/>
        <w:gridCol w:w="1451"/>
        <w:gridCol w:w="1454"/>
      </w:tblGrid>
      <w:tr>
        <w:trPr>
          <w:cantSplit/>
          <w:tblHeader/>
        </w:trPr>
        <w:tc>
          <w:tcPr>
            <w:tcW w:type="dxa" w:w="254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Auto-évaluation</w:t>
            </w:r>
          </w:p>
        </w:tc>
        <w:tc>
          <w:tcPr>
            <w:tcW w:type="dxa" w:w="163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Non acquis</w:t>
            </w:r>
          </w:p>
        </w:tc>
        <w:tc>
          <w:tcPr>
            <w:tcW w:type="dxa" w:w="199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En cours d'acquisition</w:t>
            </w:r>
          </w:p>
        </w:tc>
        <w:tc>
          <w:tcPr>
            <w:tcW w:type="dxa" w:w="145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Acquis</w:t>
            </w:r>
          </w:p>
        </w:tc>
        <w:tc>
          <w:tcPr>
            <w:tcW w:type="dxa" w:w="145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Total</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Faible</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6</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w:t>
            </w:r>
          </w:p>
        </w:tc>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w:t>
            </w:r>
          </w:p>
        </w:tc>
        <w:tc>
          <w:tcPr>
            <w:tcW w:type="dxa" w:w="14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8 (40 %)</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Moyenne</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w:t>
            </w:r>
          </w:p>
        </w:tc>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w:t>
            </w:r>
          </w:p>
        </w:tc>
        <w:tc>
          <w:tcPr>
            <w:tcW w:type="dxa" w:w="14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9 (45 %)</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Bonne</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w:t>
            </w:r>
          </w:p>
        </w:tc>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w:t>
            </w:r>
          </w:p>
        </w:tc>
        <w:tc>
          <w:tcPr>
            <w:tcW w:type="dxa" w:w="14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3 (15 %)</w:t>
            </w:r>
          </w:p>
        </w:tc>
      </w:tr>
      <w:tr>
        <w:trPr>
          <w:cantSplit/>
          <w:tblHeader w:val="false"/>
        </w:trPr>
        <w:tc>
          <w:tcPr>
            <w:tcW w:type="dxa" w:w="2540"/>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Total</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8</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8</w:t>
            </w:r>
          </w:p>
        </w:tc>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4</w:t>
            </w:r>
          </w:p>
        </w:tc>
        <w:tc>
          <w:tcPr>
            <w:tcW w:type="dxa" w:w="14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20 (100 %)</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3, volet B, et Outil 2).</w:t>
      </w:r>
    </w:p>
    <w:p>
      <w:pPr>
        <w:spacing w:after="120" w:before="0" w:line="360"/>
        <w:ind w:firstLine="709"/>
        <w:jc w:val="both"/>
      </w:pPr>
      <w:r>
        <w:rPr>
          <w:rFonts w:ascii="Times New Roman" w:cs="Times New Roman" w:eastAsia="Times New Roman" w:hAnsi="Times New Roman"/>
        </w:rPr>
        <w:t xml:space="preserve">Seuls 3 EPE sur 20 (15 %) jugent leur maîtrise des fractions « bonne », tandis que 8 (40 %) la jugent « faible ». L'auto-évaluation est globalement cohérente avec le niveau effectif : 6 des 8 EPE du niveau « non acquis » se jugent faibles. Les EPE ont donc conscience de leurs difficultés, ce qui constitue un point d'appui pour la remédiation. Plusieurs témoignages font remonter ces difficultés à la scolarité antérieure :</w:t>
      </w:r>
    </w:p>
    <w:p>
      <w:pPr>
        <w:spacing w:after="140" w:before="40" w:line="300"/>
        <w:ind w:left="850" w:right="567"/>
        <w:jc w:val="both"/>
      </w:pPr>
      <w:r>
        <w:rPr>
          <w:rFonts w:ascii="Times New Roman" w:cs="Times New Roman" w:eastAsia="Times New Roman" w:hAnsi="Times New Roman"/>
          <w:i/>
          <w:iCs/>
          <w:sz w:val="23"/>
          <w:szCs w:val="23"/>
        </w:rPr>
        <w:t xml:space="preserve">« Personnellement, les fractions ont toujours été un cauchemar pour moi depuis le collège. Quand il fallait préparer la fiche sur l'addition des fractions en stage, je me sentais mal à l'aise. Je recopiais la méthode du livre du maître sans trop comprendre pourquoi on met au même dénominateur. » (E7)</w:t>
      </w:r>
    </w:p>
    <w:p>
      <w:pPr>
        <w:pStyle w:val="Heading4"/>
        <w:keepNext/>
        <w:keepLines/>
      </w:pPr>
      <w:r>
        <w:rPr>
          <w:rFonts w:ascii="Times New Roman" w:cs="Times New Roman" w:eastAsia="Times New Roman" w:hAnsi="Times New Roman"/>
        </w:rPr>
        <w:t xml:space="preserve">b) Aspects jugés les plus complexes à enseigner (Q2)</w:t>
      </w:r>
    </w:p>
    <w:p>
      <w:pPr>
        <w:keepNext/>
        <w:keepLines/>
        <w:spacing w:after="80" w:before="160" w:line="276"/>
        <w:jc w:val="center"/>
      </w:pPr>
      <w:r>
        <w:rPr>
          <w:rFonts w:ascii="Times New Roman" w:cs="Times New Roman" w:eastAsia="Times New Roman" w:hAnsi="Times New Roman"/>
          <w:b/>
          <w:bCs/>
          <w:sz w:val="22"/>
          <w:szCs w:val="22"/>
        </w:rPr>
        <w:t xml:space="preserve">Tableau 32 : </w:t>
      </w:r>
      <w:r>
        <w:rPr>
          <w:rFonts w:ascii="Times New Roman" w:cs="Times New Roman" w:eastAsia="Times New Roman" w:hAnsi="Times New Roman"/>
          <w:b/>
          <w:bCs/>
          <w:sz w:val="22"/>
          <w:szCs w:val="22"/>
        </w:rPr>
        <w:t xml:space="preserve">Aspects des fractions jugés les plus complexes à expliquer aux élèves (n = 20)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43"/>
        <w:gridCol w:w="1814"/>
        <w:gridCol w:w="1815"/>
      </w:tblGrid>
      <w:tr>
        <w:trPr>
          <w:cantSplit/>
          <w:tblHeader/>
        </w:trPr>
        <w:tc>
          <w:tcPr>
            <w:tcW w:type="dxa" w:w="544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Aspect cité en premier</w:t>
            </w:r>
          </w:p>
        </w:tc>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Effectif</w:t>
            </w:r>
          </w:p>
        </w:tc>
        <w:tc>
          <w:tcPr>
            <w:tcW w:type="dxa" w:w="181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Pourcentage</w:t>
            </w:r>
          </w:p>
        </w:tc>
      </w:tr>
      <w:tr>
        <w:trPr>
          <w:cantSplit/>
          <w:tblHeader w:val="false"/>
        </w:trPr>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Les opérations sur les fractions (addition, soustraction, multiplication)</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9</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45 %</w:t>
            </w:r>
          </w:p>
        </w:tc>
      </w:tr>
      <w:tr>
        <w:trPr>
          <w:cantSplit/>
          <w:tblHeader w:val="false"/>
        </w:trPr>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 sens de la fraction (partie-tout, opérateur, fraction d'une quantité)</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7</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35 %</w:t>
            </w:r>
          </w:p>
        </w:tc>
      </w:tr>
      <w:tr>
        <w:trPr>
          <w:cantSplit/>
          <w:tblHeader w:val="false"/>
        </w:trPr>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La représentation graphique des fractions</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20 %</w:t>
            </w:r>
          </w:p>
        </w:tc>
      </w:tr>
      <w:tr>
        <w:trPr>
          <w:cantSplit/>
          <w:tblHeader w:val="false"/>
        </w:trPr>
        <w:tc>
          <w:tcPr>
            <w:tcW w:type="dxa" w:w="5443"/>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Total</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20</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100 %</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3, volet B).</w:t>
      </w:r>
    </w:p>
    <w:p>
      <w:pPr>
        <w:spacing w:after="120" w:before="0" w:line="360"/>
        <w:ind w:firstLine="709"/>
        <w:jc w:val="both"/>
      </w:pPr>
      <w:r>
        <w:rPr>
          <w:rFonts w:ascii="Times New Roman" w:cs="Times New Roman" w:eastAsia="Times New Roman" w:hAnsi="Times New Roman"/>
        </w:rPr>
        <w:t xml:space="preserve">Les opérations sont citées en premier par 45 % des EPE, ce qui concorde avec le très faible taux de réussite à l'item I4. E12 explique : « Je sais faire l'addition, mais si un élève me demande pourquoi on ne peut pas additionner les dénominateurs, je ne sais pas quoi répondre. » Le sens de la fraction est cité par 35 % des EPE, notamment la fraction d'une quantité. E3 confie : « Prendre les 3/5 de quelque chose, je fais le calcul, mais l'expliquer avec des objets, je ne vois pas comment. »</w:t>
      </w:r>
    </w:p>
    <w:p>
      <w:pPr>
        <w:pStyle w:val="Heading4"/>
        <w:keepNext/>
        <w:keepLines/>
      </w:pPr>
      <w:r>
        <w:rPr>
          <w:rFonts w:ascii="Times New Roman" w:cs="Times New Roman" w:eastAsia="Times New Roman" w:hAnsi="Times New Roman"/>
        </w:rPr>
        <w:t xml:space="preserve">c) Appréciation des outils reçus en formation (Q3)</w:t>
      </w:r>
    </w:p>
    <w:p>
      <w:pPr>
        <w:keepNext/>
        <w:keepLines/>
        <w:spacing w:after="80" w:before="160" w:line="276"/>
        <w:jc w:val="center"/>
      </w:pPr>
      <w:r>
        <w:rPr>
          <w:rFonts w:ascii="Times New Roman" w:cs="Times New Roman" w:eastAsia="Times New Roman" w:hAnsi="Times New Roman"/>
          <w:b/>
          <w:bCs/>
          <w:sz w:val="22"/>
          <w:szCs w:val="22"/>
        </w:rPr>
        <w:t xml:space="preserve">Tableau 33 : </w:t>
      </w:r>
      <w:r>
        <w:rPr>
          <w:rFonts w:ascii="Times New Roman" w:cs="Times New Roman" w:eastAsia="Times New Roman" w:hAnsi="Times New Roman"/>
          <w:b/>
          <w:bCs/>
          <w:sz w:val="22"/>
          <w:szCs w:val="22"/>
        </w:rPr>
        <w:t xml:space="preserve">Appréciation par les EPE des outils méthodologiques reçus à l'ENFPE (n = 20)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443"/>
        <w:gridCol w:w="1814"/>
        <w:gridCol w:w="1815"/>
      </w:tblGrid>
      <w:tr>
        <w:trPr>
          <w:cantSplit/>
          <w:tblHeader/>
        </w:trPr>
        <w:tc>
          <w:tcPr>
            <w:tcW w:type="dxa" w:w="544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Les outils reçus vous ont-ils armés pour enseigner les fractions ?</w:t>
            </w:r>
          </w:p>
        </w:tc>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Effectif</w:t>
            </w:r>
          </w:p>
        </w:tc>
        <w:tc>
          <w:tcPr>
            <w:tcW w:type="dxa" w:w="181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Pourcentage</w:t>
            </w:r>
          </w:p>
        </w:tc>
      </w:tr>
      <w:tr>
        <w:trPr>
          <w:cantSplit/>
          <w:tblHeader w:val="false"/>
        </w:trPr>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Oui, pleinement</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15 %</w:t>
            </w:r>
          </w:p>
        </w:tc>
      </w:tr>
      <w:tr>
        <w:trPr>
          <w:cantSplit/>
          <w:tblHeader w:val="false"/>
        </w:trPr>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Partiellement</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12</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60 %</w:t>
            </w:r>
          </w:p>
        </w:tc>
      </w:tr>
      <w:tr>
        <w:trPr>
          <w:cantSplit/>
          <w:tblHeader w:val="false"/>
        </w:trPr>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Non</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25 %</w:t>
            </w:r>
          </w:p>
        </w:tc>
      </w:tr>
      <w:tr>
        <w:trPr>
          <w:cantSplit/>
          <w:tblHeader w:val="false"/>
        </w:trPr>
        <w:tc>
          <w:tcPr>
            <w:tcW w:type="dxa" w:w="5443"/>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Total</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20</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100 %</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3, volet B).</w:t>
      </w:r>
    </w:p>
    <w:p>
      <w:pPr>
        <w:keepNext/>
        <w:keepLines/>
        <w:spacing w:after="80" w:before="160" w:line="276"/>
        <w:jc w:val="center"/>
      </w:pPr>
      <w:r>
        <w:rPr>
          <w:rFonts w:ascii="Times New Roman" w:cs="Times New Roman" w:eastAsia="Times New Roman" w:hAnsi="Times New Roman"/>
          <w:b/>
          <w:bCs/>
          <w:sz w:val="22"/>
          <w:szCs w:val="22"/>
        </w:rPr>
        <w:t xml:space="preserve">Graphique 9 : </w:t>
      </w:r>
      <w:r>
        <w:rPr>
          <w:rFonts w:ascii="Times New Roman" w:cs="Times New Roman" w:eastAsia="Times New Roman" w:hAnsi="Times New Roman"/>
          <w:b/>
          <w:bCs/>
          <w:sz w:val="22"/>
          <w:szCs w:val="22"/>
        </w:rPr>
        <w:t xml:space="preserve">Auto-évaluation de la maîtrise (Q1) et appréciation des outils de formation (Q3) par les EPE</w:t>
      </w:r>
    </w:p>
    <w:p>
      <w:pPr>
        <w:keepNext/>
        <w:spacing w:after="60" w:before="60"/>
        <w:jc w:val="center"/>
      </w:pPr>
      <w:r>
        <w:drawing>
          <wp:inline distT="0" distB="0" distL="0" distR="0">
            <wp:extent cx="5581650" cy="2419350"/>
            <wp:effectExtent t="0" r="0" b="0" l="0"/>
            <wp:docPr id="1" name="f_entretiens" descr="f_entretiens" title="f_entret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2419350"/>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Notre enquête, 2026 (Outil 3, volet B).</w:t>
      </w:r>
    </w:p>
    <w:p>
      <w:pPr>
        <w:spacing w:after="120" w:before="0" w:line="360"/>
        <w:ind w:firstLine="709"/>
        <w:jc w:val="both"/>
      </w:pPr>
      <w:r>
        <w:rPr>
          <w:rFonts w:ascii="Times New Roman" w:cs="Times New Roman" w:eastAsia="Times New Roman" w:hAnsi="Times New Roman"/>
        </w:rPr>
        <w:t xml:space="preserve">Seuls 15 % des EPE estiment que les outils reçus à l'ENFPE les ont pleinement armés pour enseigner les fractions ; 60 % s'estiment partiellement préparés et 25 % pas du tout. E15 résume ce sentiment : « On nous a dit qu'il fallait utiliser du matériel, mais on ne l'a pas fait nous-mêmes en classe à l'ENFPE. Sur le terrain, je ne savais pas comment organiser la manipulation avec soixante-dix élèves. »</w:t>
      </w:r>
    </w:p>
    <w:p>
      <w:pPr>
        <w:pStyle w:val="Heading4"/>
        <w:keepNext/>
        <w:keepLines/>
      </w:pPr>
      <w:r>
        <w:rPr>
          <w:rFonts w:ascii="Times New Roman" w:cs="Times New Roman" w:eastAsia="Times New Roman" w:hAnsi="Times New Roman"/>
        </w:rPr>
        <w:t xml:space="preserve">d) Thèmes transversaux évoqués par les EPE</w:t>
      </w:r>
    </w:p>
    <w:p>
      <w:pPr>
        <w:spacing w:after="120" w:before="0" w:line="360"/>
        <w:ind w:firstLine="709"/>
        <w:jc w:val="both"/>
      </w:pPr>
      <w:r>
        <w:rPr>
          <w:rFonts w:ascii="Times New Roman" w:cs="Times New Roman" w:eastAsia="Times New Roman" w:hAnsi="Times New Roman"/>
        </w:rPr>
        <w:t xml:space="preserve">L'analyse de contenu de l'ensemble des entretiens fait apparaître des thèmes transversaux, présentés dans le graphique 10.</w:t>
      </w:r>
    </w:p>
    <w:p>
      <w:pPr>
        <w:keepNext/>
        <w:keepLines/>
        <w:spacing w:after="80" w:before="160" w:line="276"/>
        <w:jc w:val="center"/>
      </w:pPr>
      <w:r>
        <w:rPr>
          <w:rFonts w:ascii="Times New Roman" w:cs="Times New Roman" w:eastAsia="Times New Roman" w:hAnsi="Times New Roman"/>
          <w:b/>
          <w:bCs/>
          <w:sz w:val="22"/>
          <w:szCs w:val="22"/>
        </w:rPr>
        <w:t xml:space="preserve">Graphique 10 : </w:t>
      </w:r>
      <w:r>
        <w:rPr>
          <w:rFonts w:ascii="Times New Roman" w:cs="Times New Roman" w:eastAsia="Times New Roman" w:hAnsi="Times New Roman"/>
          <w:b/>
          <w:bCs/>
          <w:sz w:val="22"/>
          <w:szCs w:val="22"/>
        </w:rPr>
        <w:t xml:space="preserve">Thèmes évoqués par les EPE au cours des entretiens</w:t>
      </w:r>
    </w:p>
    <w:p>
      <w:pPr>
        <w:keepNext/>
        <w:spacing w:after="60" w:before="60"/>
        <w:jc w:val="center"/>
      </w:pPr>
      <w:r>
        <w:drawing>
          <wp:inline distT="0" distB="0" distL="0" distR="0">
            <wp:extent cx="5581650" cy="2133600"/>
            <wp:effectExtent t="0" r="0" b="0" l="0"/>
            <wp:docPr id="1" name="f_themes" descr="f_themes" title="f_t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2133600"/>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Notre enquête, 2026 (Outil 3, volet B).</w:t>
      </w:r>
    </w:p>
    <w:p>
      <w:pPr>
        <w:spacing w:after="120" w:before="0" w:line="360"/>
        <w:ind w:firstLine="709"/>
        <w:jc w:val="both"/>
      </w:pPr>
      <w:r>
        <w:rPr>
          <w:rFonts w:ascii="Times New Roman" w:cs="Times New Roman" w:eastAsia="Times New Roman" w:hAnsi="Times New Roman"/>
        </w:rPr>
        <w:t xml:space="preserve">Le thème le plus fréquent est la recopie de la démarche du livre du maître (15 EPE sur 20), qui traduit une dépendance à l'égard d'un modèle extérieur faute de maîtrise personnelle. Viennent ensuite le faible nombre de séances de manipulation vécues à l'ENFPE (14 sur 20), l'appréhension des fractions héritée du collège (13 sur 20), le manque de matériel didactique (12 sur 20) et l'insuffisance du volume horaire (11 sur 20). Dix EPE disent éprouver des difficultés à répondre aux questions « pourquoi » des élèves. L'accompagnement didactique insuffisant sur le terrain est évoqué par 9 EPE sur 20. E18 témoigne : « Mon maître d'accueil m'a laissé la classe dès la deuxième semaine. Il regardait surtout la discipline et le cahier de préparation, pas la manière dont j'enseignais les fractions. »</w:t>
      </w:r>
    </w:p>
    <w:p>
      <w:pPr>
        <w:pStyle w:val="Heading4"/>
        <w:keepNext/>
        <w:keepLines/>
      </w:pPr>
      <w:r>
        <w:rPr>
          <w:rFonts w:ascii="Times New Roman" w:cs="Times New Roman" w:eastAsia="Times New Roman" w:hAnsi="Times New Roman"/>
        </w:rPr>
        <w:t xml:space="preserve">e) Analyse des thèmes selon le niveau de maîtrise des EPE</w:t>
      </w:r>
    </w:p>
    <w:p>
      <w:pPr>
        <w:spacing w:after="120" w:before="0" w:line="360"/>
        <w:ind w:firstLine="709"/>
        <w:jc w:val="both"/>
      </w:pPr>
      <w:r>
        <w:rPr>
          <w:rFonts w:ascii="Times New Roman" w:cs="Times New Roman" w:eastAsia="Times New Roman" w:hAnsi="Times New Roman"/>
        </w:rPr>
        <w:t xml:space="preserve">Le tableau 34 croise les principaux thèmes évoqués avec le niveau de maîtrise des EPE interviewés.</w:t>
      </w:r>
    </w:p>
    <w:p>
      <w:pPr>
        <w:keepNext/>
        <w:keepLines/>
        <w:spacing w:after="80" w:before="160" w:line="276"/>
        <w:jc w:val="center"/>
      </w:pPr>
      <w:r>
        <w:rPr>
          <w:rFonts w:ascii="Times New Roman" w:cs="Times New Roman" w:eastAsia="Times New Roman" w:hAnsi="Times New Roman"/>
          <w:b/>
          <w:bCs/>
          <w:sz w:val="22"/>
          <w:szCs w:val="22"/>
        </w:rPr>
        <w:t xml:space="preserve">Tableau 34 : </w:t>
      </w:r>
      <w:r>
        <w:rPr>
          <w:rFonts w:ascii="Times New Roman" w:cs="Times New Roman" w:eastAsia="Times New Roman" w:hAnsi="Times New Roman"/>
          <w:b/>
          <w:bCs/>
          <w:sz w:val="22"/>
          <w:szCs w:val="22"/>
        </w:rPr>
        <w:t xml:space="preserve">Principaux thèmes évoqués selon le niveau de maîtrise des EPE interviewés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1814"/>
        <w:gridCol w:w="1816"/>
      </w:tblGrid>
      <w:tr>
        <w:trPr>
          <w:cantSplit/>
          <w:tblHeader/>
        </w:trPr>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Thème évoqué</w:t>
            </w:r>
          </w:p>
        </w:tc>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Non acquis (n = 8)</w:t>
            </w:r>
          </w:p>
        </w:tc>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En cours d'acquisition (n = 8)</w:t>
            </w:r>
          </w:p>
        </w:tc>
        <w:tc>
          <w:tcPr>
            <w:tcW w:type="dxa" w:w="181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Acquis (n = 4)</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Recopie de la démarche du livre du maître</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8</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6</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Peu de séances de manipulation vécues à l'ENFPE</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6</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Appréhension des fractions héritée du collège</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7</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Manque de matériel didactique</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Volume horaire jugé insuffisant</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5</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Difficulté à répondre aux « pourquoi » des élèves</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6</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0</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Encadrement didactique insuffisant sur le terrain</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w:t>
            </w:r>
          </w:p>
        </w:tc>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4</w:t>
            </w:r>
          </w:p>
        </w:tc>
        <w:tc>
          <w:tcPr>
            <w:tcW w:type="dxa" w:w="18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w:t>
            </w:r>
          </w:p>
        </w:tc>
      </w:tr>
    </w:tbl>
    <w:p>
      <w:pPr>
        <w:spacing w:after="200" w:before="60" w:line="240"/>
        <w:jc w:val="left"/>
      </w:pPr>
      <w:r>
        <w:rPr>
          <w:rFonts w:ascii="Times New Roman" w:cs="Times New Roman" w:eastAsia="Times New Roman" w:hAnsi="Times New Roman"/>
          <w:i/>
          <w:iCs/>
          <w:sz w:val="20"/>
          <w:szCs w:val="20"/>
        </w:rPr>
        <w:t xml:space="preserve">Source : Notre enquête, 2026 (Outil 3, volet B, et Outil 2).</w:t>
      </w:r>
    </w:p>
    <w:p>
      <w:pPr>
        <w:spacing w:after="120" w:before="0" w:line="360"/>
        <w:ind w:firstLine="709"/>
        <w:jc w:val="both"/>
      </w:pPr>
      <w:r>
        <w:rPr>
          <w:rFonts w:ascii="Times New Roman" w:cs="Times New Roman" w:eastAsia="Times New Roman" w:hAnsi="Times New Roman"/>
        </w:rPr>
        <w:t xml:space="preserve">Deux profils de discours se dégagent. Les EPE du niveau « non acquis » expriment surtout des difficultés personnelles : appréhension des fractions héritée du collège (7 sur 8), recopie du livre du maître (8 sur 8) et difficulté à répondre aux questions des élèves (6 sur 8). Leur discours traduit une insécurité conceptuelle qui les conduit à s'en remettre à un modèle extérieur. Les EPE des niveaux « en cours d'acquisition » et « acquis » mettent davantage en avant des facteurs liés au dispositif : le faible nombre de séances de manipulation vécues, le manque de matériel et le volume horaire. Ainsi, les trois EPE du niveau « acquis » qui évoquent la manipulation soulignent qu'ils savent ce qu'il faudrait faire, mais qu'ils ne l'ont jamais vu faire. E19, du niveau « acquis », le formule ainsi : « Moi, je comprends les fractions, mais je n'avais jamais vu une leçon où les élèves plient des bandes. Je ne savais pas comment organiser cela, alors j'ai fait comme on m'avait enseigné. »</w:t>
      </w:r>
    </w:p>
    <w:p>
      <w:pPr>
        <w:spacing w:after="120" w:before="0" w:line="360"/>
        <w:ind w:firstLine="709"/>
        <w:jc w:val="both"/>
      </w:pPr>
      <w:r>
        <w:rPr>
          <w:rFonts w:ascii="Times New Roman" w:cs="Times New Roman" w:eastAsia="Times New Roman" w:hAnsi="Times New Roman"/>
        </w:rPr>
        <w:t xml:space="preserve">Cette différenciation des discours confirme le résultat issu de l'analyse des fiches : la maîtrise du contenu ne suffit pas à transformer les pratiques. Les EPE qui maîtrisent les fractions manquent, eux aussi, de modèles de pratique vécus.</w:t>
      </w:r>
    </w:p>
    <w:p>
      <w:pPr>
        <w:pStyle w:val="Heading3"/>
        <w:keepNext/>
        <w:keepLines/>
      </w:pPr>
      <w:r>
        <w:rPr>
          <w:rFonts w:ascii="Times New Roman" w:cs="Times New Roman" w:eastAsia="Times New Roman" w:hAnsi="Times New Roman"/>
        </w:rPr>
        <w:t xml:space="preserve">4.4.3. Triangulation des données</w:t>
      </w:r>
    </w:p>
    <w:p>
      <w:pPr>
        <w:spacing w:after="120" w:before="0" w:line="360"/>
        <w:ind w:firstLine="709"/>
        <w:jc w:val="both"/>
      </w:pPr>
      <w:r>
        <w:rPr>
          <w:rFonts w:ascii="Times New Roman" w:cs="Times New Roman" w:eastAsia="Times New Roman" w:hAnsi="Times New Roman"/>
        </w:rPr>
        <w:t xml:space="preserve">Le tableau 35 confronte les résultats issus des trois sources de données.</w:t>
      </w:r>
    </w:p>
    <w:p>
      <w:pPr>
        <w:keepNext/>
        <w:keepLines/>
        <w:spacing w:after="80" w:before="160" w:line="276"/>
        <w:jc w:val="center"/>
      </w:pPr>
      <w:r>
        <w:rPr>
          <w:rFonts w:ascii="Times New Roman" w:cs="Times New Roman" w:eastAsia="Times New Roman" w:hAnsi="Times New Roman"/>
          <w:b/>
          <w:bCs/>
          <w:sz w:val="22"/>
          <w:szCs w:val="22"/>
        </w:rPr>
        <w:t xml:space="preserve">Tableau 35 : </w:t>
      </w:r>
      <w:r>
        <w:rPr>
          <w:rFonts w:ascii="Times New Roman" w:cs="Times New Roman" w:eastAsia="Times New Roman" w:hAnsi="Times New Roman"/>
          <w:b/>
          <w:bCs/>
          <w:sz w:val="22"/>
          <w:szCs w:val="22"/>
        </w:rPr>
        <w:t xml:space="preserve">Triangulation des résultats issus des trois outils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5"/>
        <w:gridCol w:w="2358"/>
        <w:gridCol w:w="2358"/>
        <w:gridCol w:w="2361"/>
      </w:tblGrid>
      <w:tr>
        <w:trPr>
          <w:cantSplit/>
          <w:tblHeader/>
        </w:trPr>
        <w:tc>
          <w:tcPr>
            <w:tcW w:type="dxa" w:w="199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Dimension</w:t>
            </w:r>
          </w:p>
        </w:tc>
        <w:tc>
          <w:tcPr>
            <w:tcW w:type="dxa" w:w="235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Copies (Outil 2)</w:t>
            </w:r>
          </w:p>
        </w:tc>
        <w:tc>
          <w:tcPr>
            <w:tcW w:type="dxa" w:w="235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Fiches (Outil 1)</w:t>
            </w:r>
          </w:p>
        </w:tc>
        <w:tc>
          <w:tcPr>
            <w:tcW w:type="dxa" w:w="236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Entretiens (Outil 3)</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Interférence du modèle des entiers</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42 % des copies (T1)</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Comparaison traitée par la règle, sans support</w:t>
            </w:r>
          </w:p>
        </w:tc>
        <w:tc>
          <w:tcPr>
            <w:tcW w:type="dxa" w:w="23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Obstacle cité par 4 formateurs sur 4</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Opérations sans signification</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47 % des copies (T2) ; I4 réussi par 18 %</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Règle du dénominateur commun énoncée sans justification</w:t>
            </w:r>
          </w:p>
        </w:tc>
        <w:tc>
          <w:tcPr>
            <w:tcW w:type="dxa" w:w="23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Opérations jugées les plus complexes par 45 % des EPE</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Registres de représentation</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23 % des copies (T3)</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52 % des fiches sans registre figural (C3 = 0)</w:t>
            </w:r>
          </w:p>
        </w:tc>
        <w:tc>
          <w:tcPr>
            <w:tcW w:type="dxa" w:w="23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Passage du schéma à l'écriture cité par 3 formateurs</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Manipulation et situations-problèmes</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69 % sans situation-problème ; 74 % sans manipulation</w:t>
            </w:r>
          </w:p>
        </w:tc>
        <w:tc>
          <w:tcPr>
            <w:tcW w:type="dxa" w:w="23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Peu de manipulation vécue en formation (14 EPE ; 3 formateurs)</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Facteurs institutionnels</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Lien avec la série du bac (p = 0,003)</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Lien fiche – maîtrise (ρ = 0,45)</w:t>
            </w:r>
          </w:p>
        </w:tc>
        <w:tc>
          <w:tcPr>
            <w:tcW w:type="dxa" w:w="23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Volume horaire (4 formateurs, 11 EPE) ; encadrement (3 formateurs, 9 EPE)</w:t>
            </w:r>
          </w:p>
        </w:tc>
      </w:tr>
    </w:tbl>
    <w:p>
      <w:pPr>
        <w:spacing w:after="200" w:before="60" w:line="240"/>
        <w:jc w:val="left"/>
      </w:pPr>
      <w:r>
        <w:rPr>
          <w:rFonts w:ascii="Times New Roman" w:cs="Times New Roman" w:eastAsia="Times New Roman" w:hAnsi="Times New Roman"/>
          <w:i/>
          <w:iCs/>
          <w:sz w:val="20"/>
          <w:szCs w:val="20"/>
        </w:rPr>
        <w:t xml:space="preserve">Source : Notre enquête, 2026.</w:t>
      </w:r>
    </w:p>
    <w:p>
      <w:pPr>
        <w:spacing w:after="120" w:before="0" w:line="360"/>
        <w:ind w:firstLine="709"/>
        <w:jc w:val="both"/>
      </w:pPr>
      <w:r>
        <w:rPr>
          <w:rFonts w:ascii="Times New Roman" w:cs="Times New Roman" w:eastAsia="Times New Roman" w:hAnsi="Times New Roman"/>
        </w:rPr>
        <w:t xml:space="preserve">Les trois sources convergent : les difficultés conceptuelles observées dans les copies se retrouvent dans les fiches pédagogiques et sont reconnues à la fois par les formateurs et par les EPE. Cette convergence renforce la validité des conclusions.</w:t>
      </w:r>
    </w:p>
    <w:p>
      <w:pPr>
        <w:pStyle w:val="Heading3"/>
        <w:keepNext/>
        <w:keepLines/>
      </w:pPr>
      <w:r>
        <w:rPr>
          <w:rFonts w:ascii="Times New Roman" w:cs="Times New Roman" w:eastAsia="Times New Roman" w:hAnsi="Times New Roman"/>
        </w:rPr>
        <w:t xml:space="preserve">4.4.4. Interprétation des résultats relatifs au dispositif de formation</w:t>
      </w:r>
    </w:p>
    <w:p>
      <w:pPr>
        <w:spacing w:after="120" w:before="0" w:line="360"/>
        <w:ind w:firstLine="709"/>
        <w:jc w:val="both"/>
      </w:pPr>
      <w:r>
        <w:rPr>
          <w:rFonts w:ascii="Times New Roman" w:cs="Times New Roman" w:eastAsia="Times New Roman" w:hAnsi="Times New Roman"/>
        </w:rPr>
        <w:t xml:space="preserve">Les entretiens éclairent l'origine institutionnelle des difficultés observées. L'insuffisance du volume horaire, unanimement relevée par les formateurs et confirmée par plus de la moitié des EPE, empêche de consacrer aux fractions le temps nécessaire au dépassement des obstacles. Or, selon Brousseau (1983), un obstacle ne se franchit pas par une simple explication : il exige des situations répétées de mise en défaut et de reconstruction, qui prennent du temps.</w:t>
      </w:r>
    </w:p>
    <w:p>
      <w:pPr>
        <w:spacing w:after="120" w:before="0" w:line="360"/>
        <w:ind w:firstLine="709"/>
        <w:jc w:val="both"/>
      </w:pPr>
      <w:r>
        <w:rPr>
          <w:rFonts w:ascii="Times New Roman" w:cs="Times New Roman" w:eastAsia="Times New Roman" w:hAnsi="Times New Roman"/>
        </w:rPr>
        <w:t xml:space="preserve">L'aveu des formateurs selon lequel ils « montrent plus qu'ils ne font faire » est particulièrement éclairant au regard de l'analyse de Houdement et Kuzniak (1996). La formation observée relève davantage d'une stratégie de monstration que d'une stratégie d'homologie ou de transposition : les EPE entendent parler de la manipulation sans l'avoir vécue comme apprenants, puis sans avoir analysé ce vécu. Il n'est dès lors pas surprenant qu'ils ne l'intègrent pas dans leurs fiches, y compris lorsqu'ils maîtrisent le contenu. Ce résultat rejoint celui du tableau 29 : le score au critère de la situation de départ est indépendant du niveau de maîtrise, ce qui désigne un déficit de formation professionnelle plutôt qu'un déficit de connaissances.</w:t>
      </w:r>
    </w:p>
    <w:p>
      <w:pPr>
        <w:spacing w:after="120" w:before="0" w:line="360"/>
        <w:ind w:firstLine="709"/>
        <w:jc w:val="both"/>
      </w:pPr>
      <w:r>
        <w:rPr>
          <w:rFonts w:ascii="Times New Roman" w:cs="Times New Roman" w:eastAsia="Times New Roman" w:hAnsi="Times New Roman"/>
        </w:rPr>
        <w:t xml:space="preserve">Enfin, l'accompagnement didactique limité sur le terrain prive les EPE de la boucle de rétroaction qui permettrait d'ajuster leurs pratiques. Ce facteur, évoqué par trois formateurs sur quatre, n'est toutefois cité que par 9 EPE sur 20, ce qui suggère que les EPE le perçoivent moins comme une cause de leurs difficultés que comme une caractéristique ordinaire du stage.</w:t>
      </w:r>
    </w:p>
    <w:p>
      <w:pPr>
        <w:pStyle w:val="Heading2"/>
        <w:keepNext/>
        <w:keepLines/>
      </w:pPr>
      <w:r>
        <w:rPr>
          <w:rFonts w:ascii="Times New Roman" w:cs="Times New Roman" w:eastAsia="Times New Roman" w:hAnsi="Times New Roman"/>
        </w:rPr>
        <w:t xml:space="preserve">4.5. Vérification des hypothèses</w:t>
      </w:r>
    </w:p>
    <w:p>
      <w:pPr>
        <w:spacing w:after="120" w:before="0" w:line="360"/>
        <w:ind w:firstLine="709"/>
        <w:jc w:val="both"/>
      </w:pPr>
      <w:r>
        <w:rPr>
          <w:rFonts w:ascii="Times New Roman" w:cs="Times New Roman" w:eastAsia="Times New Roman" w:hAnsi="Times New Roman"/>
        </w:rPr>
        <w:t xml:space="preserve">Le tableau 36 confronte les résultats aux critères de vérification fixés au chapitre 3.</w:t>
      </w:r>
    </w:p>
    <w:p>
      <w:pPr>
        <w:keepNext/>
        <w:keepLines/>
        <w:spacing w:after="80" w:before="160" w:line="276"/>
        <w:jc w:val="center"/>
      </w:pPr>
      <w:r>
        <w:rPr>
          <w:rFonts w:ascii="Times New Roman" w:cs="Times New Roman" w:eastAsia="Times New Roman" w:hAnsi="Times New Roman"/>
          <w:b/>
          <w:bCs/>
          <w:sz w:val="22"/>
          <w:szCs w:val="22"/>
        </w:rPr>
        <w:t xml:space="preserve">Tableau 36 : </w:t>
      </w:r>
      <w:r>
        <w:rPr>
          <w:rFonts w:ascii="Times New Roman" w:cs="Times New Roman" w:eastAsia="Times New Roman" w:hAnsi="Times New Roman"/>
          <w:b/>
          <w:bCs/>
          <w:sz w:val="22"/>
          <w:szCs w:val="22"/>
        </w:rPr>
        <w:t xml:space="preserve">Synthèse de la vérification des hypothèses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
        <w:gridCol w:w="4536"/>
        <w:gridCol w:w="3629"/>
      </w:tblGrid>
      <w:tr>
        <w:trPr>
          <w:cantSplit/>
          <w:tblHeader/>
        </w:trPr>
        <w:tc>
          <w:tcPr>
            <w:tcW w:type="dxa" w:w="90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Hypothèse</w:t>
            </w:r>
          </w:p>
        </w:tc>
        <w:tc>
          <w:tcPr>
            <w:tcW w:type="dxa" w:w="453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Résultats obtenus</w:t>
            </w:r>
          </w:p>
        </w:tc>
        <w:tc>
          <w:tcPr>
            <w:tcW w:type="dxa" w:w="3629"/>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Décision</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HS1</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71 % des copies présentent au moins une erreur de type T1, T2 ou T3 (seuil : 50 %) ; réussite inférieure à 50 % pour I4 (18 %) et I5 (46 %)</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Confirmée</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HS2</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69 % des fiches obtiennent 0 au critère C1 (seuil : 50 %) ; 74 % sans manipulation (seuil : 50 %) ; moyenne C3 = 0,62 (seuil : &lt; 1)</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Confirmée</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HS3</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Volume horaire : 4/4 formateurs et 11/20 EPE ; pratiques transmissives : 3/4 formateurs et 14/20 EPE ; encadrement : 3/4 formateurs mais 9/20 EPE (seuil : 10)</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Partiellement confirmée</w:t>
            </w:r>
            <w:r>
              <w:rPr>
                <w:rFonts w:ascii="Times New Roman" w:cs="Times New Roman" w:eastAsia="Times New Roman" w:hAnsi="Times New Roman"/>
                <w:sz w:val="20"/>
                <w:szCs w:val="20"/>
              </w:rPr>
              <w:t xml:space="preserve"> (deux facteurs sur trois)</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HP</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Deux hypothèses secondaires confirmées, la troisième partiellement confirmée</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Partiellement confirmée, à un degré élevé</w:t>
            </w:r>
          </w:p>
        </w:tc>
      </w:tr>
    </w:tbl>
    <w:p>
      <w:pPr>
        <w:spacing w:after="200" w:before="60" w:line="240"/>
        <w:jc w:val="left"/>
      </w:pPr>
      <w:r>
        <w:rPr>
          <w:rFonts w:ascii="Times New Roman" w:cs="Times New Roman" w:eastAsia="Times New Roman" w:hAnsi="Times New Roman"/>
          <w:i/>
          <w:iCs/>
          <w:sz w:val="20"/>
          <w:szCs w:val="20"/>
        </w:rPr>
        <w:t xml:space="preserve">Source : Notre enquête, 2026.</w:t>
      </w:r>
    </w:p>
    <w:p>
      <w:pPr>
        <w:pStyle w:val="Heading3"/>
        <w:keepNext/>
        <w:keepLines/>
      </w:pPr>
      <w:r>
        <w:rPr>
          <w:rFonts w:ascii="Times New Roman" w:cs="Times New Roman" w:eastAsia="Times New Roman" w:hAnsi="Times New Roman"/>
        </w:rPr>
        <w:t xml:space="preserve">4.5.1. Vérification de l'hypothèse secondaire HS1</w:t>
      </w:r>
    </w:p>
    <w:p>
      <w:pPr>
        <w:spacing w:after="120" w:before="0" w:line="360"/>
        <w:ind w:firstLine="709"/>
        <w:jc w:val="both"/>
      </w:pPr>
      <w:r>
        <w:rPr>
          <w:rFonts w:ascii="Times New Roman" w:cs="Times New Roman" w:eastAsia="Times New Roman" w:hAnsi="Times New Roman"/>
        </w:rPr>
        <w:t xml:space="preserve">L'hypothèse HS1 postulait que les EPE présentent des obstacles épistémologiques qui se traduisent par des erreurs récurrentes aux évaluations. Les résultats montrent que 71 % des copies comportent au moins une erreur liée à l'interférence du modèle des entiers, à un algorithme dépourvu de sens ou à un défaut de conversion entre registres, et que les items portant sur l'addition et sur la fraction-opérateur sont réussis par moins de la moitié des EPE. Les deux critères fixés sont remplis. </w:t>
      </w:r>
      <w:r>
        <w:rPr>
          <w:rFonts w:ascii="Times New Roman" w:cs="Times New Roman" w:eastAsia="Times New Roman" w:hAnsi="Times New Roman"/>
          <w:b/>
          <w:bCs/>
        </w:rPr>
        <w:t xml:space="preserve">L'hypothèse HS1 est confirmée.</w:t>
      </w:r>
    </w:p>
    <w:p>
      <w:pPr>
        <w:pStyle w:val="Heading3"/>
        <w:keepNext/>
        <w:keepLines/>
      </w:pPr>
      <w:r>
        <w:rPr>
          <w:rFonts w:ascii="Times New Roman" w:cs="Times New Roman" w:eastAsia="Times New Roman" w:hAnsi="Times New Roman"/>
        </w:rPr>
        <w:t xml:space="preserve">4.5.2. Vérification de l'hypothèse secondaire HS2</w:t>
      </w:r>
    </w:p>
    <w:p>
      <w:pPr>
        <w:spacing w:after="120" w:before="0" w:line="360"/>
        <w:ind w:firstLine="709"/>
        <w:jc w:val="both"/>
      </w:pPr>
      <w:r>
        <w:rPr>
          <w:rFonts w:ascii="Times New Roman" w:cs="Times New Roman" w:eastAsia="Times New Roman" w:hAnsi="Times New Roman"/>
        </w:rPr>
        <w:t xml:space="preserve">L'hypothèse HS2 postulait que les fiches pédagogiques des EPE privilégient une introduction formelle et font peu de place à la manipulation, aux situations-problèmes et aux registres de représentation. Les résultats montrent que 69 % des fiches n'intègrent aucune situation-problème, que 74 % ne prévoient aucune manipulation et que la moyenne au critère des registres n'est que de 0,62 sur 2. Les trois critères sont remplis. </w:t>
      </w:r>
      <w:r>
        <w:rPr>
          <w:rFonts w:ascii="Times New Roman" w:cs="Times New Roman" w:eastAsia="Times New Roman" w:hAnsi="Times New Roman"/>
          <w:b/>
          <w:bCs/>
        </w:rPr>
        <w:t xml:space="preserve">L'hypothèse HS2 est confirmée.</w:t>
      </w:r>
    </w:p>
    <w:p>
      <w:pPr>
        <w:pStyle w:val="Heading3"/>
        <w:keepNext/>
        <w:keepLines/>
      </w:pPr>
      <w:r>
        <w:rPr>
          <w:rFonts w:ascii="Times New Roman" w:cs="Times New Roman" w:eastAsia="Times New Roman" w:hAnsi="Times New Roman"/>
        </w:rPr>
        <w:t xml:space="preserve">4.5.3. Vérification de l'hypothèse secondaire HS3</w:t>
      </w:r>
    </w:p>
    <w:p>
      <w:pPr>
        <w:spacing w:after="120" w:before="0" w:line="360"/>
        <w:ind w:firstLine="709"/>
        <w:jc w:val="both"/>
      </w:pPr>
      <w:r>
        <w:rPr>
          <w:rFonts w:ascii="Times New Roman" w:cs="Times New Roman" w:eastAsia="Times New Roman" w:hAnsi="Times New Roman"/>
        </w:rPr>
        <w:t xml:space="preserve">L'hypothèse HS3 postulait que l'insuffisance du volume horaire, le caractère transmissif des pratiques de formation et un encadrement limité sur le terrain contribuent à la persistance des difficultés. Les deux premiers facteurs satisfont au critère fixé, étant évoqués par au moins trois formateurs sur quatre et par au moins la moitié des EPE. Le troisième facteur, l'encadrement sur le terrain, est évoqué par trois formateurs sur quatre mais par 9 EPE sur 20, soit légèrement en dessous du seuil. </w:t>
      </w:r>
      <w:r>
        <w:rPr>
          <w:rFonts w:ascii="Times New Roman" w:cs="Times New Roman" w:eastAsia="Times New Roman" w:hAnsi="Times New Roman"/>
          <w:b/>
          <w:bCs/>
        </w:rPr>
        <w:t xml:space="preserve">L'hypothèse HS3 est partiellement confirmée</w:t>
      </w:r>
      <w:r>
        <w:rPr>
          <w:rFonts w:ascii="Times New Roman" w:cs="Times New Roman" w:eastAsia="Times New Roman" w:hAnsi="Times New Roman"/>
        </w:rPr>
        <w:t xml:space="preserve"> : elle l'est pour le volume horaire et pour les pratiques de formation, mais le rôle de l'encadrement sur le terrain, s'il est attesté par les formateurs, reste à confirmer par une étude portant sur les pratiques effectives d'accompagnement.</w:t>
      </w:r>
    </w:p>
    <w:p>
      <w:pPr>
        <w:pStyle w:val="Heading3"/>
        <w:keepNext/>
        <w:keepLines/>
      </w:pPr>
      <w:r>
        <w:rPr>
          <w:rFonts w:ascii="Times New Roman" w:cs="Times New Roman" w:eastAsia="Times New Roman" w:hAnsi="Times New Roman"/>
        </w:rPr>
        <w:t xml:space="preserve">4.5.4. Vérification de l'hypothèse principale</w:t>
      </w:r>
    </w:p>
    <w:p>
      <w:pPr>
        <w:spacing w:after="120" w:before="0" w:line="360"/>
        <w:ind w:firstLine="709"/>
        <w:jc w:val="both"/>
      </w:pPr>
      <w:r>
        <w:rPr>
          <w:rFonts w:ascii="Times New Roman" w:cs="Times New Roman" w:eastAsia="Times New Roman" w:hAnsi="Times New Roman"/>
        </w:rPr>
        <w:t xml:space="preserve">L'hypothèse principale postulait que les difficultés des EPE s'expliquent par la conjonction d'une maîtrise conceptuelle fragile, de pratiques de préparation peu fondées sur la manipulation et les situations-problèmes, et d'insuffisances du dispositif de formation et d'encadrement. Deux hypothèses secondaires étant confirmées et la troisième l'étant partiellement, </w:t>
      </w:r>
      <w:r>
        <w:rPr>
          <w:rFonts w:ascii="Times New Roman" w:cs="Times New Roman" w:eastAsia="Times New Roman" w:hAnsi="Times New Roman"/>
          <w:b/>
          <w:bCs/>
        </w:rPr>
        <w:t xml:space="preserve">l'hypothèse principale est partiellement confirmée, à un degré élevé</w:t>
      </w:r>
      <w:r>
        <w:rPr>
          <w:rFonts w:ascii="Times New Roman" w:cs="Times New Roman" w:eastAsia="Times New Roman" w:hAnsi="Times New Roman"/>
        </w:rPr>
        <w:t xml:space="preserve">. Les composantes conceptuelle et didactique sont pleinement établies ; la composante institutionnelle l'est pour le temps de formation et les pratiques des formateurs.</w:t>
      </w:r>
    </w:p>
    <w:p>
      <w:pPr>
        <w:pStyle w:val="Heading2"/>
        <w:keepNext/>
        <w:keepLines/>
      </w:pPr>
      <w:r>
        <w:rPr>
          <w:rFonts w:ascii="Times New Roman" w:cs="Times New Roman" w:eastAsia="Times New Roman" w:hAnsi="Times New Roman"/>
        </w:rPr>
        <w:t xml:space="preserve">4.6. Discussion des résultats</w:t>
      </w:r>
    </w:p>
    <w:p>
      <w:pPr>
        <w:pStyle w:val="Heading3"/>
        <w:keepNext/>
        <w:keepLines/>
      </w:pPr>
      <w:r>
        <w:rPr>
          <w:rFonts w:ascii="Times New Roman" w:cs="Times New Roman" w:eastAsia="Times New Roman" w:hAnsi="Times New Roman"/>
        </w:rPr>
        <w:t xml:space="preserve">4.6.1. Des difficultés conformes à celles décrites par la littérature internationale</w:t>
      </w:r>
    </w:p>
    <w:p>
      <w:pPr>
        <w:spacing w:after="120" w:before="0" w:line="360"/>
        <w:ind w:firstLine="709"/>
        <w:jc w:val="both"/>
      </w:pPr>
      <w:r>
        <w:rPr>
          <w:rFonts w:ascii="Times New Roman" w:cs="Times New Roman" w:eastAsia="Times New Roman" w:hAnsi="Times New Roman"/>
        </w:rPr>
        <w:t xml:space="preserve">Les résultats obtenus à l'ENFPE de Notsè rejoignent largement ceux de la littérature internationale. Le biais du nombre entier, décrit par Ni et Zhou (2005), se retrouve dans les erreurs de comparaison de 42 % des EPE. L'addition terme à terme, relevée dans 47 % des copies, est l'une des erreurs les plus documentées, tant chez les élèves (Hart, 1981 ; Lortie-Forgues et al., 2015) que chez les futurs enseignants (Newton, 2008). La supériorité de la maîtrise procédurale sur la compréhension conceptuelle, mise en évidence par Newton (2008) chez des futurs enseignants américains, se retrouve dans la persistance de l'erreur T2 chez des EPE qui connaissent par ailleurs la règle du dénominateur commun.</w:t>
      </w:r>
    </w:p>
    <w:p>
      <w:pPr>
        <w:spacing w:after="120" w:before="0" w:line="360"/>
        <w:ind w:firstLine="709"/>
        <w:jc w:val="both"/>
      </w:pPr>
      <w:r>
        <w:rPr>
          <w:rFonts w:ascii="Times New Roman" w:cs="Times New Roman" w:eastAsia="Times New Roman" w:hAnsi="Times New Roman"/>
        </w:rPr>
        <w:t xml:space="preserve">Nos résultats présentent cependant une spécificité : l'ampleur des difficultés, qui touchent près de quatre EPE sur cinq à des degrés divers, est plus marquée que dans la plupart des études menées dans les pays à revenu élevé. Cette spécificité s'explique en partie par le profil d'entrée des EPE, dont près de la moitié sont issus d'une série littéraire, et rejoint les constats du PASEC (2020) sur la faiblesse des acquis en mathématiques dans la région : les EPE d'aujourd'hui sont les élèves d'hier d'un système dont les résultats en mathématiques restent préoccupants.</w:t>
      </w:r>
    </w:p>
    <w:p>
      <w:pPr>
        <w:pStyle w:val="Heading3"/>
        <w:keepNext/>
        <w:keepLines/>
      </w:pPr>
      <w:r>
        <w:rPr>
          <w:rFonts w:ascii="Times New Roman" w:cs="Times New Roman" w:eastAsia="Times New Roman" w:hAnsi="Times New Roman"/>
        </w:rPr>
        <w:t xml:space="preserve">4.6.2. La maîtrise du contenu, condition nécessaire mais non suffisante</w:t>
      </w:r>
    </w:p>
    <w:p>
      <w:pPr>
        <w:spacing w:after="120" w:before="0" w:line="360"/>
        <w:ind w:firstLine="709"/>
        <w:jc w:val="both"/>
      </w:pPr>
      <w:r>
        <w:rPr>
          <w:rFonts w:ascii="Times New Roman" w:cs="Times New Roman" w:eastAsia="Times New Roman" w:hAnsi="Times New Roman"/>
        </w:rPr>
        <w:t xml:space="preserve">La corrélation positive entre la note à l'exercice et la qualité des fiches (ρ = 0,45) confirme le lien entre connaissance du contenu et connaissance pédagogique du contenu établi par Depaepe et al. (2015) et, plus largement, par Ball et al. (2008). Un EPE qui ne maîtrise pas les fractions ne peut produire une fiche rigoureuse. Toutefois, notre étude apporte une nuance importante : la capacité à concevoir une situation-problème ne dépend pas du niveau de maîtrise. Ce résultat plaide, avec Shulman (1986), pour une conception de la formation qui ne se contente pas de consolider les connaissances mathématiques des EPE, mais qui développe explicitement leur connaissance pédagogique du contenu : connaissance des situations fondatrices, des représentations efficaces et des erreurs des élèves. Ma (1999) a montré que c'est précisément cette connaissance « profonde » des mathématiques élémentaires qui distingue les enseignants efficaces.</w:t>
      </w:r>
    </w:p>
    <w:p>
      <w:pPr>
        <w:pStyle w:val="Heading3"/>
        <w:keepNext/>
        <w:keepLines/>
      </w:pPr>
      <w:r>
        <w:rPr>
          <w:rFonts w:ascii="Times New Roman" w:cs="Times New Roman" w:eastAsia="Times New Roman" w:hAnsi="Times New Roman"/>
        </w:rPr>
        <w:t xml:space="preserve">4.6.3. Le cercle de la reproduction et la double transposition</w:t>
      </w:r>
    </w:p>
    <w:p>
      <w:pPr>
        <w:spacing w:after="120" w:before="0" w:line="360"/>
        <w:ind w:firstLine="709"/>
        <w:jc w:val="both"/>
      </w:pPr>
      <w:r>
        <w:rPr>
          <w:rFonts w:ascii="Times New Roman" w:cs="Times New Roman" w:eastAsia="Times New Roman" w:hAnsi="Times New Roman"/>
        </w:rPr>
        <w:t xml:space="preserve">Nos résultats mettent en évidence un cercle de reproduction. Les EPE ont appris les fractions selon un enseignement procédural qui a laissé intacts leurs obstacles ; la formation, contrainte par le temps, les expose à la manipulation sans la leur faire vivre ; ils conçoivent alors leurs leçons selon le modèle procédural qu'ils ont connu, et risquent de transmettre les mêmes obstacles à leurs élèves. Ce cercle illustre les deux ruptures possibles de la double transposition didactique décrite au chapitre 3. Il confirme l'analyse de Houdement et Kuzniak (1996) : la stratégie de monstration ne suffit pas ; seule une stratégie de transposition, dans laquelle les EPE vivent des situations d'apprentissage puis les analysent, est susceptible de rompre le cercle. Les travaux de Tirosh (2000) montrent d'ailleurs qu'une formation ciblée sur les conceptions erronées des élèves améliore sensiblement les connaissances des futurs enseignants.</w:t>
      </w:r>
    </w:p>
    <w:p>
      <w:pPr>
        <w:pStyle w:val="Heading3"/>
        <w:keepNext/>
        <w:keepLines/>
      </w:pPr>
      <w:r>
        <w:rPr>
          <w:rFonts w:ascii="Times New Roman" w:cs="Times New Roman" w:eastAsia="Times New Roman" w:hAnsi="Times New Roman"/>
        </w:rPr>
        <w:t xml:space="preserve">4.6.4. Implications des résultats pour la formation des EPE</w:t>
      </w:r>
    </w:p>
    <w:p>
      <w:pPr>
        <w:spacing w:after="120" w:before="0" w:line="360"/>
        <w:ind w:firstLine="709"/>
        <w:jc w:val="both"/>
      </w:pPr>
      <w:r>
        <w:rPr>
          <w:rFonts w:ascii="Times New Roman" w:cs="Times New Roman" w:eastAsia="Times New Roman" w:hAnsi="Times New Roman"/>
        </w:rPr>
        <w:t xml:space="preserve">Les résultats obtenus ont plusieurs implications pour la formation des EPE, qui orientent la contribution professionnelle présentée au chapitre suivant. La première est que la remédiation conceptuelle ne peut se limiter à une révision des règles de calcul : elle doit placer les EPE face à des situations qui mettent en défaut leurs conceptions, conformément à la notion d'obstacle. La deuxième est que la formation doit faire vivre aux EPE, en tant qu'apprenants, les situations de manipulation et de problématisation qu'ils auront à conduire, puis les amener à analyser ce vécu : c'est la condition pour que ces situations deviennent des pratiques et non de simples principes. La troisième est que les erreurs typiques identifiées, en particulier l'addition terme à terme, l'interférence du modèle des entiers et la mauvaise interprétation de la fraction-opérateur, doivent devenir des objets explicites de formation, car l'EPE qui les a lui-même dépassées est mieux armé pour les reconnaître et les traiter chez ses élèves. La quatrième, enfin, est que les EPE issus des séries littéraires constituent un public prioritaire pour la remédiation, sans que ce constat justifie une approche différente dans son principe : tous les EPE, y compris ceux qui maîtrisent le contenu, ont besoin d'une formation à l'ingénierie des situations.</w:t>
      </w:r>
    </w:p>
    <w:p>
      <w:pPr>
        <w:pStyle w:val="Heading3"/>
        <w:keepNext/>
        <w:keepLines/>
      </w:pPr>
      <w:r>
        <w:rPr>
          <w:rFonts w:ascii="Times New Roman" w:cs="Times New Roman" w:eastAsia="Times New Roman" w:hAnsi="Times New Roman"/>
        </w:rPr>
        <w:t xml:space="preserve">4.6.5. Portée et limites des résultats</w:t>
      </w:r>
    </w:p>
    <w:p>
      <w:pPr>
        <w:spacing w:after="120" w:before="0" w:line="360"/>
        <w:ind w:firstLine="709"/>
        <w:jc w:val="both"/>
      </w:pPr>
      <w:r>
        <w:rPr>
          <w:rFonts w:ascii="Times New Roman" w:cs="Times New Roman" w:eastAsia="Times New Roman" w:hAnsi="Times New Roman"/>
        </w:rPr>
        <w:t xml:space="preserve">Ces résultats doivent être lus à la lumière des limites de l'étude. L'analyse des pratiques porte sur des fiches de préparation, qui renseignent sur les intentions d'enseignement et non sur les pratiques effectives en classe : un EPE peut faire manipuler ses élèves sans l'avoir prévu dans sa fiche, et inversement. Les entretiens recueillent un discours, susceptible de biais. L'étude porte enfin sur une seule promotion d'une seule ENFPE, et l'exercice de la Notion B, noté sur 1,5 point, ne couvre pas toutes les facettes de la fraction. La convergence des trois sources de données et la représentativité statistique de l'échantillon confèrent néanmoins une bonne solidité aux conclusions.</w:t>
      </w:r>
    </w:p>
    <w:p>
      <w:pPr>
        <w:pStyle w:val="Heading2"/>
        <w:keepNext/>
        <w:keepLines/>
      </w:pPr>
      <w:r>
        <w:rPr>
          <w:rFonts w:ascii="Times New Roman" w:cs="Times New Roman" w:eastAsia="Times New Roman" w:hAnsi="Times New Roman"/>
        </w:rPr>
        <w:t xml:space="preserve">Conclusion</w:t>
      </w:r>
    </w:p>
    <w:p>
      <w:pPr>
        <w:spacing w:after="120" w:before="0" w:line="360"/>
        <w:ind w:firstLine="709"/>
        <w:jc w:val="both"/>
      </w:pPr>
      <w:r>
        <w:rPr>
          <w:rFonts w:ascii="Times New Roman" w:cs="Times New Roman" w:eastAsia="Times New Roman" w:hAnsi="Times New Roman"/>
        </w:rPr>
        <w:t xml:space="preserve">Ce quatrième chapitre a présenté, analysé, interprété et discuté les résultats de l'étude. L'analyse des copies a montré que 71 % des EPE manifestent des erreurs liées à des obstacles épistémologiques ou sémiotiques, en particulier l'addition terme à terme et l'interférence du modèle des entiers, et que le niveau de maîtrise est significativement lié à la série du baccalauréat. L'analyse des fiches a révélé une ingénierie didactique faible, marquée par l'absence de situations-problèmes et de manipulation, y compris chez les EPE qui maîtrisent le contenu. Les entretiens ont mis en cause le volume horaire, le caractère transmissif de la formation et, dans une moindre mesure, l'encadrement sur le terrain. Les hypothèses HS1 et HS2 sont confirmées, HS3 l'est partiellement, et l'hypothèse principale est partiellement confirmée à un degré élevé. Ces résultats appellent une réponse didactique précise, construite et démontrée : c'est l'objet de la contribution professionnelle présentée au chapitre 5.</w:t>
      </w:r>
    </w:p>
    <w:p>
      <w:pPr>
        <w:pStyle w:val="Heading1"/>
        <w:keepNext/>
        <w:keepLines/>
        <w:pageBreakBefore/>
      </w:pPr>
      <w:r>
        <w:rPr>
          <w:rFonts w:ascii="Times New Roman" w:cs="Times New Roman" w:eastAsia="Times New Roman" w:hAnsi="Times New Roman"/>
        </w:rPr>
        <w:t xml:space="preserve">CHAPITRE 5 : CONTRIBUTION PROFESSIONNELLE : LA DÉMARCHE P-M-R-S-R POUR ENSEIGNER LES FRACTIONS AU PRIMAIRE</w:t>
      </w:r>
    </w:p>
    <w:p>
      <w:pPr>
        <w:pStyle w:val="Heading2"/>
        <w:keepNext/>
        <w:keepLines/>
      </w:pPr>
      <w:r>
        <w:rPr>
          <w:rFonts w:ascii="Times New Roman" w:cs="Times New Roman" w:eastAsia="Times New Roman" w:hAnsi="Times New Roman"/>
        </w:rPr>
        <w:t xml:space="preserve">Introduction</w:t>
      </w:r>
    </w:p>
    <w:p>
      <w:pPr>
        <w:spacing w:after="120" w:before="0" w:line="360"/>
        <w:ind w:firstLine="709"/>
        <w:jc w:val="both"/>
      </w:pPr>
      <w:r>
        <w:rPr>
          <w:rFonts w:ascii="Times New Roman" w:cs="Times New Roman" w:eastAsia="Times New Roman" w:hAnsi="Times New Roman"/>
        </w:rPr>
        <w:t xml:space="preserve">Le chapitre précédent a établi que les difficultés des élèves-professeurs d'école (EPE) dans l'enseignement des fractions tiennent à la conjonction d'obstacles épistémologiques non dépassés, d'une ingénierie didactique dominée par l'introduction formelle et d'un dispositif de formation qui montre la manipulation plus qu'il ne la fait vivre. Il a surtout montré que la capacité à concevoir une situation-problème ne dépend pas du seul niveau de maîtrise du contenu : elle exige une démarche professionnelle explicite, qui doit être enseignée et pratiquée.</w:t>
      </w:r>
    </w:p>
    <w:p>
      <w:pPr>
        <w:spacing w:after="120" w:before="0" w:line="360"/>
        <w:ind w:firstLine="709"/>
        <w:jc w:val="both"/>
      </w:pPr>
      <w:r>
        <w:rPr>
          <w:rFonts w:ascii="Times New Roman" w:cs="Times New Roman" w:eastAsia="Times New Roman" w:hAnsi="Times New Roman"/>
        </w:rPr>
        <w:t xml:space="preserve">Le présent chapitre constitue notre contribution professionnelle. Conformément aux directives du mémoire professionnel, il ne s'agit pas de formuler des souhaits ou des recommandations, mais de construire une démarche technique, ancrée dans la discipline, et d'en faire la démonstration. Nous proposons une démarche d'enseignement des fractions que nous désignons par le sigle P-M-R-S-R : Problématiser, Manipuler, Représenter, Symboliser, Réinvestir. Le chapitre en présente d'abord les fondements et les principes, puis décrit la démarche et les outils qui l'accompagnent : un kit de matériel didactique local, une progression des apprentissages, trois fiches pédagogiques modèles, un dispositif de remédiation des erreurs, un atelier de formation des EPE à la double transposition, une grille d'auto-analyse des fiches, une fiche d'observation pour l'accompagnement des stagiaires et une planification de la mise en œuvre.</w:t>
      </w:r>
    </w:p>
    <w:p>
      <w:pPr>
        <w:pStyle w:val="Heading2"/>
        <w:keepNext/>
        <w:keepLines/>
      </w:pPr>
      <w:r>
        <w:rPr>
          <w:rFonts w:ascii="Times New Roman" w:cs="Times New Roman" w:eastAsia="Times New Roman" w:hAnsi="Times New Roman"/>
        </w:rPr>
        <w:t xml:space="preserve">5.1. Fondements et principes de la démarche</w:t>
      </w:r>
    </w:p>
    <w:p>
      <w:pPr>
        <w:pStyle w:val="Heading3"/>
        <w:keepNext/>
        <w:keepLines/>
      </w:pPr>
      <w:r>
        <w:rPr>
          <w:rFonts w:ascii="Times New Roman" w:cs="Times New Roman" w:eastAsia="Times New Roman" w:hAnsi="Times New Roman"/>
        </w:rPr>
        <w:t xml:space="preserve">5.1.1. Des résultats de l'étude aux choix de la démarche</w:t>
      </w:r>
    </w:p>
    <w:p>
      <w:pPr>
        <w:spacing w:after="120" w:before="0" w:line="360"/>
        <w:ind w:firstLine="709"/>
        <w:jc w:val="both"/>
      </w:pPr>
      <w:r>
        <w:rPr>
          <w:rFonts w:ascii="Times New Roman" w:cs="Times New Roman" w:eastAsia="Times New Roman" w:hAnsi="Times New Roman"/>
        </w:rPr>
        <w:t xml:space="preserve">Chaque composante de la démarche répond à un résultat précis de l'étude, comme le montre le tableau 37.</w:t>
      </w:r>
    </w:p>
    <w:p>
      <w:pPr>
        <w:keepNext/>
        <w:keepLines/>
        <w:spacing w:after="80" w:before="160" w:line="276"/>
        <w:jc w:val="center"/>
      </w:pPr>
      <w:r>
        <w:rPr>
          <w:rFonts w:ascii="Times New Roman" w:cs="Times New Roman" w:eastAsia="Times New Roman" w:hAnsi="Times New Roman"/>
          <w:b/>
          <w:bCs/>
          <w:sz w:val="22"/>
          <w:szCs w:val="22"/>
        </w:rPr>
        <w:t xml:space="preserve">Tableau 37 : </w:t>
      </w:r>
      <w:r>
        <w:rPr>
          <w:rFonts w:ascii="Times New Roman" w:cs="Times New Roman" w:eastAsia="Times New Roman" w:hAnsi="Times New Roman"/>
          <w:b/>
          <w:bCs/>
          <w:sz w:val="22"/>
          <w:szCs w:val="22"/>
        </w:rPr>
        <w:t xml:space="preserve">Correspondance entre les résultats de l'étude et les choix de la démarche P-M-R-S-R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47"/>
        <w:gridCol w:w="3084"/>
        <w:gridCol w:w="2541"/>
      </w:tblGrid>
      <w:tr>
        <w:trPr>
          <w:cantSplit/>
          <w:tblHeader/>
        </w:trPr>
        <w:tc>
          <w:tcPr>
            <w:tcW w:type="dxa" w:w="344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Résultat de l'étude</w:t>
            </w:r>
          </w:p>
        </w:tc>
        <w:tc>
          <w:tcPr>
            <w:tcW w:type="dxa" w:w="308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Choix de la démarche</w:t>
            </w:r>
          </w:p>
        </w:tc>
        <w:tc>
          <w:tcPr>
            <w:tcW w:type="dxa" w:w="254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Référence théorique</w:t>
            </w:r>
          </w:p>
        </w:tc>
      </w:tr>
      <w:tr>
        <w:trPr>
          <w:cantSplit/>
          <w:tblHeader w:val="false"/>
        </w:trPr>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69 % des fiches sans situation-problème (C1)</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Toute séance commence par un problème que les élèves ne peuvent résoudre avec les seuls entiers (phase P)</w:t>
            </w:r>
          </w:p>
        </w:tc>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Brousseau (1998) ; Douady (1986)</w:t>
            </w:r>
          </w:p>
        </w:tc>
      </w:tr>
      <w:tr>
        <w:trPr>
          <w:cantSplit/>
          <w:tblHeader w:val="false"/>
        </w:trPr>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74 % des fiches sans manipulation</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Manipulation obligatoire d'objets par les élèves, et non par le maître seul (phase M)</w:t>
            </w:r>
          </w:p>
        </w:tc>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Bruner (1966) ; Cramer et al. (2002)</w:t>
            </w:r>
          </w:p>
        </w:tc>
      </w:tr>
      <w:tr>
        <w:trPr>
          <w:cantSplit/>
          <w:tblHeader w:val="false"/>
        </w:trPr>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52 % des fiches sans registre figural ; 23 % d'erreurs de conversion (T3)</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Passage explicite par le schéma et la droite graduée avant l'écriture (phase R)</w:t>
            </w:r>
          </w:p>
        </w:tc>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Duval (1995)</w:t>
            </w:r>
          </w:p>
        </w:tc>
      </w:tr>
      <w:tr>
        <w:trPr>
          <w:cantSplit/>
          <w:tblHeader w:val="false"/>
        </w:trPr>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Addition terme à terme (47 %) ; comparaison selon les entiers (42 %)</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Règles institutionnalisées seulement après validation par le matériel (phase S)</w:t>
            </w:r>
          </w:p>
        </w:tc>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Bachelard (1938) ; Skemp (1976)</w:t>
            </w:r>
          </w:p>
        </w:tc>
      </w:tr>
      <w:tr>
        <w:trPr>
          <w:cantSplit/>
          <w:tblHeader w:val="false"/>
        </w:trPr>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Erreurs cumulées et persistantes</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Réinvestissement et remédiation ciblée par type d'erreur (phase R)</w:t>
            </w:r>
          </w:p>
        </w:tc>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Astolfi (1997) ; Brousseau (1983)</w:t>
            </w:r>
          </w:p>
        </w:tc>
      </w:tr>
      <w:tr>
        <w:trPr>
          <w:cantSplit/>
          <w:tblHeader w:val="false"/>
        </w:trPr>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Monstration plutôt que vécu en formation</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Atelier où les EPE vivent la démarche comme apprenants avant de l'analyser</w:t>
            </w:r>
          </w:p>
        </w:tc>
        <w:tc>
          <w:tcPr>
            <w:tcW w:type="dxa" w:w="254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Houdement et Kuzniak (1996)</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pStyle w:val="Heading3"/>
        <w:keepNext/>
        <w:keepLines/>
      </w:pPr>
      <w:r>
        <w:rPr>
          <w:rFonts w:ascii="Times New Roman" w:cs="Times New Roman" w:eastAsia="Times New Roman" w:hAnsi="Times New Roman"/>
        </w:rPr>
        <w:t xml:space="preserve">5.1.2. Principes directeurs</w:t>
      </w:r>
    </w:p>
    <w:p>
      <w:pPr>
        <w:spacing w:after="120" w:before="0" w:line="360"/>
        <w:ind w:firstLine="709"/>
        <w:jc w:val="both"/>
      </w:pPr>
      <w:r>
        <w:rPr>
          <w:rFonts w:ascii="Times New Roman" w:cs="Times New Roman" w:eastAsia="Times New Roman" w:hAnsi="Times New Roman"/>
        </w:rPr>
        <w:t xml:space="preserve">La démarche repose sur cinq principes directeurs :</w:t>
      </w:r>
    </w:p>
    <w:p>
      <w:pPr>
        <w:pStyle w:val="ListParagraph"/>
        <w:numPr>
          <w:ilvl w:val="0"/>
          <w:numId w:val="2"/>
        </w:numPr>
        <w:spacing w:after="60" w:line="360"/>
        <w:jc w:val="both"/>
      </w:pPr>
      <w:r>
        <w:rPr>
          <w:rFonts w:ascii="Times New Roman" w:cs="Times New Roman" w:eastAsia="Times New Roman" w:hAnsi="Times New Roman"/>
          <w:b/>
          <w:bCs/>
        </w:rPr>
        <w:t xml:space="preserve">Principe de nécessité :</w:t>
      </w:r>
      <w:r>
        <w:rPr>
          <w:rFonts w:ascii="Times New Roman" w:cs="Times New Roman" w:eastAsia="Times New Roman" w:hAnsi="Times New Roman"/>
        </w:rPr>
        <w:t xml:space="preserve"> la fraction doit apparaître comme la réponse à un problème que les nombres entiers ne permettent pas de résoudre, conformément à la dialectique outil-objet (Douady, 1986).</w:t>
      </w:r>
    </w:p>
    <w:p>
      <w:pPr>
        <w:pStyle w:val="ListParagraph"/>
        <w:numPr>
          <w:ilvl w:val="0"/>
          <w:numId w:val="2"/>
        </w:numPr>
        <w:spacing w:after="60" w:line="360"/>
        <w:jc w:val="both"/>
      </w:pPr>
      <w:r>
        <w:rPr>
          <w:rFonts w:ascii="Times New Roman" w:cs="Times New Roman" w:eastAsia="Times New Roman" w:hAnsi="Times New Roman"/>
          <w:b/>
          <w:bCs/>
        </w:rPr>
        <w:t xml:space="preserve">Principe d'action :</w:t>
      </w:r>
      <w:r>
        <w:rPr>
          <w:rFonts w:ascii="Times New Roman" w:cs="Times New Roman" w:eastAsia="Times New Roman" w:hAnsi="Times New Roman"/>
        </w:rPr>
        <w:t xml:space="preserve"> les élèves agissent sur un matériel qui leur renvoie des rétroactions ; ce n'est pas le maître qui montre, ce sont les élèves qui cherchent (Brousseau, 1998).</w:t>
      </w:r>
    </w:p>
    <w:p>
      <w:pPr>
        <w:pStyle w:val="ListParagraph"/>
        <w:numPr>
          <w:ilvl w:val="0"/>
          <w:numId w:val="2"/>
        </w:numPr>
        <w:spacing w:after="60" w:line="360"/>
        <w:jc w:val="both"/>
      </w:pPr>
      <w:r>
        <w:rPr>
          <w:rFonts w:ascii="Times New Roman" w:cs="Times New Roman" w:eastAsia="Times New Roman" w:hAnsi="Times New Roman"/>
          <w:b/>
          <w:bCs/>
        </w:rPr>
        <w:t xml:space="preserve">Principe de conversion :</w:t>
      </w:r>
      <w:r>
        <w:rPr>
          <w:rFonts w:ascii="Times New Roman" w:cs="Times New Roman" w:eastAsia="Times New Roman" w:hAnsi="Times New Roman"/>
        </w:rPr>
        <w:t xml:space="preserve"> chaque notion est travaillée dans au moins trois registres (matériel, schéma, écriture), et les passages d'un registre à l'autre sont explicitement organisés (Duval, 1995).</w:t>
      </w:r>
    </w:p>
    <w:p>
      <w:pPr>
        <w:pStyle w:val="ListParagraph"/>
        <w:numPr>
          <w:ilvl w:val="0"/>
          <w:numId w:val="2"/>
        </w:numPr>
        <w:spacing w:after="60" w:line="360"/>
        <w:jc w:val="both"/>
      </w:pPr>
      <w:r>
        <w:rPr>
          <w:rFonts w:ascii="Times New Roman" w:cs="Times New Roman" w:eastAsia="Times New Roman" w:hAnsi="Times New Roman"/>
          <w:b/>
          <w:bCs/>
        </w:rPr>
        <w:t xml:space="preserve">Principe de validation :</w:t>
      </w:r>
      <w:r>
        <w:rPr>
          <w:rFonts w:ascii="Times New Roman" w:cs="Times New Roman" w:eastAsia="Times New Roman" w:hAnsi="Times New Roman"/>
        </w:rPr>
        <w:t xml:space="preserve"> toute règle est d'abord mise à l'épreuve du matériel ; l'élève doit pouvoir contrôler lui-même la vraisemblance d'un résultat.</w:t>
      </w:r>
    </w:p>
    <w:p>
      <w:pPr>
        <w:pStyle w:val="ListParagraph"/>
        <w:numPr>
          <w:ilvl w:val="0"/>
          <w:numId w:val="2"/>
        </w:numPr>
        <w:spacing w:after="60" w:line="360"/>
        <w:jc w:val="both"/>
      </w:pPr>
      <w:r>
        <w:rPr>
          <w:rFonts w:ascii="Times New Roman" w:cs="Times New Roman" w:eastAsia="Times New Roman" w:hAnsi="Times New Roman"/>
          <w:b/>
          <w:bCs/>
        </w:rPr>
        <w:t xml:space="preserve">Principe d'exploitation de l'erreur :</w:t>
      </w:r>
      <w:r>
        <w:rPr>
          <w:rFonts w:ascii="Times New Roman" w:cs="Times New Roman" w:eastAsia="Times New Roman" w:hAnsi="Times New Roman"/>
        </w:rPr>
        <w:t xml:space="preserve"> les erreurs typiques sont anticipées dans la fiche et exploitées lors de la mise en commun comme occasions de débat (Astolfi, 1997).</w:t>
      </w:r>
    </w:p>
    <w:p>
      <w:pPr>
        <w:pStyle w:val="Heading2"/>
        <w:keepNext/>
        <w:keepLines/>
      </w:pPr>
      <w:r>
        <w:rPr>
          <w:rFonts w:ascii="Times New Roman" w:cs="Times New Roman" w:eastAsia="Times New Roman" w:hAnsi="Times New Roman"/>
        </w:rPr>
        <w:t xml:space="preserve">5.2. Présentation de la démarche P-M-R-S-R</w:t>
      </w:r>
    </w:p>
    <w:p>
      <w:pPr>
        <w:pStyle w:val="Heading3"/>
        <w:keepNext/>
        <w:keepLines/>
      </w:pPr>
      <w:r>
        <w:rPr>
          <w:rFonts w:ascii="Times New Roman" w:cs="Times New Roman" w:eastAsia="Times New Roman" w:hAnsi="Times New Roman"/>
        </w:rPr>
        <w:t xml:space="preserve">5.2.1. Les cinq phases de la démarche</w:t>
      </w:r>
    </w:p>
    <w:p>
      <w:pPr>
        <w:spacing w:after="120" w:before="0" w:line="360"/>
        <w:ind w:firstLine="709"/>
        <w:jc w:val="both"/>
      </w:pPr>
      <w:r>
        <w:rPr>
          <w:rFonts w:ascii="Times New Roman" w:cs="Times New Roman" w:eastAsia="Times New Roman" w:hAnsi="Times New Roman"/>
        </w:rPr>
        <w:t xml:space="preserve">La démarche s'organise en cinq phases, représentées dans la figure 3.</w:t>
      </w:r>
    </w:p>
    <w:p>
      <w:pPr>
        <w:keepNext/>
        <w:keepLines/>
        <w:spacing w:after="80" w:before="160" w:line="276"/>
        <w:jc w:val="center"/>
      </w:pPr>
      <w:r>
        <w:rPr>
          <w:rFonts w:ascii="Times New Roman" w:cs="Times New Roman" w:eastAsia="Times New Roman" w:hAnsi="Times New Roman"/>
          <w:b/>
          <w:bCs/>
          <w:sz w:val="22"/>
          <w:szCs w:val="22"/>
        </w:rPr>
        <w:t xml:space="preserve">Figure 3 : </w:t>
      </w:r>
      <w:r>
        <w:rPr>
          <w:rFonts w:ascii="Times New Roman" w:cs="Times New Roman" w:eastAsia="Times New Roman" w:hAnsi="Times New Roman"/>
          <w:b/>
          <w:bCs/>
          <w:sz w:val="22"/>
          <w:szCs w:val="22"/>
        </w:rPr>
        <w:t xml:space="preserve">La démarche P-M-R-S-R d'enseignement des fractions</w:t>
      </w:r>
    </w:p>
    <w:p>
      <w:pPr>
        <w:keepNext/>
        <w:spacing w:after="60" w:before="60"/>
        <w:jc w:val="center"/>
      </w:pPr>
      <w:r>
        <w:drawing>
          <wp:inline distT="0" distB="0" distL="0" distR="0">
            <wp:extent cx="5762625" cy="2286000"/>
            <wp:effectExtent t="0" r="0" b="0" l="0"/>
            <wp:docPr id="1" name="f_demarche" descr="f_demarche" title="f_demar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286000"/>
                    </a:xfrm>
                    <a:prstGeom prst="rect">
                      <a:avLst/>
                    </a:prstGeom>
                  </pic:spPr>
                </pic:pic>
              </a:graphicData>
            </a:graphic>
          </wp:inline>
        </w:drawing>
      </w:r>
    </w:p>
    <w:p>
      <w:pPr>
        <w:spacing w:after="200" w:before="60" w:line="240"/>
        <w:jc w:val="left"/>
      </w:pPr>
      <w:r>
        <w:rPr>
          <w:rFonts w:ascii="Times New Roman" w:cs="Times New Roman" w:eastAsia="Times New Roman" w:hAnsi="Times New Roman"/>
          <w:i/>
          <w:iCs/>
          <w:sz w:val="20"/>
          <w:szCs w:val="20"/>
        </w:rPr>
        <w:t xml:space="preserve">Source : Notre construction, 2026.</w:t>
      </w:r>
    </w:p>
    <w:p>
      <w:pPr>
        <w:spacing w:after="120" w:before="0" w:line="360"/>
        <w:ind w:firstLine="709"/>
        <w:jc w:val="both"/>
      </w:pPr>
      <w:r>
        <w:rPr>
          <w:rFonts w:ascii="Times New Roman" w:cs="Times New Roman" w:eastAsia="Times New Roman" w:hAnsi="Times New Roman"/>
        </w:rPr>
        <w:t xml:space="preserve">Le tableau 38 précise, pour chaque phase, le rôle du maître, l'activité des élèves, le registre mobilisé et la durée indicative dans une séance de 45 à 60 minutes.</w:t>
      </w:r>
    </w:p>
    <w:p>
      <w:pPr>
        <w:keepNext/>
        <w:keepLines/>
        <w:spacing w:after="80" w:before="160" w:line="276"/>
        <w:jc w:val="center"/>
      </w:pPr>
      <w:r>
        <w:rPr>
          <w:rFonts w:ascii="Times New Roman" w:cs="Times New Roman" w:eastAsia="Times New Roman" w:hAnsi="Times New Roman"/>
          <w:b/>
          <w:bCs/>
          <w:sz w:val="22"/>
          <w:szCs w:val="22"/>
        </w:rPr>
        <w:t xml:space="preserve">Tableau 38 : </w:t>
      </w:r>
      <w:r>
        <w:rPr>
          <w:rFonts w:ascii="Times New Roman" w:cs="Times New Roman" w:eastAsia="Times New Roman" w:hAnsi="Times New Roman"/>
          <w:b/>
          <w:bCs/>
          <w:sz w:val="22"/>
          <w:szCs w:val="22"/>
        </w:rPr>
        <w:t xml:space="preserve">Déroulement des phases de la démarche P-M-R-S-R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60"/>
        <w:gridCol w:w="2721"/>
        <w:gridCol w:w="2721"/>
        <w:gridCol w:w="1179"/>
        <w:gridCol w:w="1091"/>
      </w:tblGrid>
      <w:tr>
        <w:trPr>
          <w:cantSplit/>
          <w:tblHeader/>
        </w:trPr>
        <w:tc>
          <w:tcPr>
            <w:tcW w:type="dxa" w:w="13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Phase</w:t>
            </w:r>
          </w:p>
        </w:tc>
        <w:tc>
          <w:tcPr>
            <w:tcW w:type="dxa" w:w="272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Rôle du maître</w:t>
            </w:r>
          </w:p>
        </w:tc>
        <w:tc>
          <w:tcPr>
            <w:tcW w:type="dxa" w:w="272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Activité des élèves</w:t>
            </w:r>
          </w:p>
        </w:tc>
        <w:tc>
          <w:tcPr>
            <w:tcW w:type="dxa" w:w="1179"/>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Registre</w:t>
            </w:r>
          </w:p>
        </w:tc>
        <w:tc>
          <w:tcPr>
            <w:tcW w:type="dxa" w:w="109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Durée</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 – Problématiser</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Présente une situation-problème de partage ou de mesure ; s'assure de la compréhension de la consigne ; ne donne pas la solution (dévolution)</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S'approprient le problème ; formulent des hypothèses ; constatent que les entiers ne suffisent pas</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Langue naturelle</w:t>
            </w:r>
          </w:p>
        </w:tc>
        <w:tc>
          <w:tcPr>
            <w:tcW w:type="dxa" w:w="10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5 à 8 min</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 – Manipuler</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Distribue le matériel ; organise les groupes et les rôles ; circule et observe les stratégies</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Plient, découpent, partagent, superposent ; cherchent en groupe</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Matériel (énactif)</w:t>
            </w:r>
          </w:p>
        </w:tc>
        <w:tc>
          <w:tcPr>
            <w:tcW w:type="dxa" w:w="10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 à 15 min</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 – Représenter</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Demande de dessiner le résultat ; organise la mise en commun ; confronte les productions et les erreurs</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Schématisent ; placent sur la droite graduée ; comparent et justifient</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Figural et droite graduée</w:t>
            </w:r>
          </w:p>
        </w:tc>
        <w:tc>
          <w:tcPr>
            <w:tcW w:type="dxa" w:w="10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 min</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 – Symboliser</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Institutionnalise l'écriture et la règle ; fait le lien explicite entre matériel, schéma et écriture</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Écrivent la fraction ; verbalisent la règle ; la valident sur le matériel</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Symbolique</w:t>
            </w:r>
          </w:p>
        </w:tc>
        <w:tc>
          <w:tcPr>
            <w:tcW w:type="dxa" w:w="10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8 à 10 min</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 – Réinvestir</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Propose des exercices et un problème de transfert ; repère les erreurs persistantes</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Résolvent seuls ; contrôlent la vraisemblance ; corrigent</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Tous registres</w:t>
            </w:r>
          </w:p>
        </w:tc>
        <w:tc>
          <w:tcPr>
            <w:tcW w:type="dxa" w:w="10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 à 15 min</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pStyle w:val="Heading3"/>
        <w:keepNext/>
        <w:keepLines/>
      </w:pPr>
      <w:r>
        <w:rPr>
          <w:rFonts w:ascii="Times New Roman" w:cs="Times New Roman" w:eastAsia="Times New Roman" w:hAnsi="Times New Roman"/>
        </w:rPr>
        <w:t xml:space="preserve">5.2.2. La démarche au regard de la pratique ordinaire</w:t>
      </w:r>
    </w:p>
    <w:p>
      <w:pPr>
        <w:spacing w:after="120" w:before="0" w:line="360"/>
        <w:ind w:firstLine="709"/>
        <w:jc w:val="both"/>
      </w:pPr>
      <w:r>
        <w:rPr>
          <w:rFonts w:ascii="Times New Roman" w:cs="Times New Roman" w:eastAsia="Times New Roman" w:hAnsi="Times New Roman"/>
        </w:rPr>
        <w:t xml:space="preserve">La démarche P-M-R-S-R n'ignore pas les rituels de séance en usage dans les ENFPE et dans les écoles primaires togolaises : la prise en main, la révision fonctionnelle et la mise en train précèdent la phase P, et l'évaluation formative prolonge la phase de réinvestissement. Elle en modifie cependant l'économie : là où la pratique observée consacrait l'essentiel du temps à l'énoncé de la règle et aux exercices d'application, la démarche consacre environ la moitié de la séance aux phases de problématisation, de manipulation et de représentation. Le temps apparemment « perdu » dans ces phases est regagné lors du réinvestissement, parce que les élèves disposent d'un moyen de contrôle qui réduit les erreurs et le besoin de remédiation.</w:t>
      </w:r>
    </w:p>
    <w:p>
      <w:pPr>
        <w:pStyle w:val="Heading2"/>
        <w:keepNext/>
        <w:keepLines/>
      </w:pPr>
      <w:r>
        <w:rPr>
          <w:rFonts w:ascii="Times New Roman" w:cs="Times New Roman" w:eastAsia="Times New Roman" w:hAnsi="Times New Roman"/>
        </w:rPr>
        <w:t xml:space="preserve">5.3. Le kit de matériel didactique local pour les fractions</w:t>
      </w:r>
    </w:p>
    <w:p>
      <w:pPr>
        <w:spacing w:after="120" w:before="0" w:line="360"/>
        <w:ind w:firstLine="709"/>
        <w:jc w:val="both"/>
      </w:pPr>
      <w:r>
        <w:rPr>
          <w:rFonts w:ascii="Times New Roman" w:cs="Times New Roman" w:eastAsia="Times New Roman" w:hAnsi="Times New Roman"/>
        </w:rPr>
        <w:t xml:space="preserve">L'un des obstacles évoqués par 12 EPE sur 20 est le manque de matériel. Notre démarche s'appuie donc sur un kit réalisable à coût quasi nul, à partir de matériaux disponibles localement. Le tableau 39 en présente la composition et les usages.</w:t>
      </w:r>
    </w:p>
    <w:p>
      <w:pPr>
        <w:keepNext/>
        <w:keepLines/>
        <w:spacing w:after="80" w:before="160" w:line="276"/>
        <w:jc w:val="center"/>
      </w:pPr>
      <w:r>
        <w:rPr>
          <w:rFonts w:ascii="Times New Roman" w:cs="Times New Roman" w:eastAsia="Times New Roman" w:hAnsi="Times New Roman"/>
          <w:b/>
          <w:bCs/>
          <w:sz w:val="22"/>
          <w:szCs w:val="22"/>
        </w:rPr>
        <w:t xml:space="preserve">Tableau 39 : </w:t>
      </w:r>
      <w:r>
        <w:rPr>
          <w:rFonts w:ascii="Times New Roman" w:cs="Times New Roman" w:eastAsia="Times New Roman" w:hAnsi="Times New Roman"/>
          <w:b/>
          <w:bCs/>
          <w:sz w:val="22"/>
          <w:szCs w:val="22"/>
        </w:rPr>
        <w:t xml:space="preserve">Composition, confection et usages du kit de matériel pour les fractions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2903"/>
        <w:gridCol w:w="2540"/>
        <w:gridCol w:w="1815"/>
      </w:tblGrid>
      <w:tr>
        <w:trPr>
          <w:cantSplit/>
          <w:tblHeader/>
        </w:trPr>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Matériel</w:t>
            </w:r>
          </w:p>
        </w:tc>
        <w:tc>
          <w:tcPr>
            <w:tcW w:type="dxa" w:w="290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Confection</w:t>
            </w:r>
          </w:p>
        </w:tc>
        <w:tc>
          <w:tcPr>
            <w:tcW w:type="dxa" w:w="254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Usages didactiques</w:t>
            </w:r>
          </w:p>
        </w:tc>
        <w:tc>
          <w:tcPr>
            <w:tcW w:type="dxa" w:w="181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Erreurs visées</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Bandes-unités</w:t>
            </w:r>
          </w:p>
        </w:tc>
        <w:tc>
          <w:tcPr>
            <w:tcW w:type="dxa" w:w="29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Bandes de papier ou de carton de 24 cm × 3 cm (24 étant divisible par 2, 3, 4, 6, 8 et 12)</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Partage par pliage ; comparaison par superposition ; addition par juxtaposition</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T1, T2, T3</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Mur des fractions</w:t>
            </w:r>
          </w:p>
        </w:tc>
        <w:tc>
          <w:tcPr>
            <w:tcW w:type="dxa" w:w="29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Bandes-unités partagées en demis, tiers, quarts, sixièmes, huitièmes et douzièmes, collées les unes sous les autres sur un carton</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Comparaison visuelle ; recherche de fractions égales ; dénominateur commun</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T1, T2, T5</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Disques à secteurs</w:t>
            </w:r>
          </w:p>
        </w:tc>
        <w:tc>
          <w:tcPr>
            <w:tcW w:type="dxa" w:w="29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Disques de carton de 12 cm de diamètre découpés en secteurs égaux (gabarits fournis)</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Relation partie-tout ; fractions supérieures à l'unité</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T3</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Droite graduée murale</w:t>
            </w:r>
          </w:p>
        </w:tc>
        <w:tc>
          <w:tcPr>
            <w:tcW w:type="dxa" w:w="29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Bande de 1 m graduée de 0 à 2, avec des étiquettes mobiles</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Fraction-mesure ; ordre ; placement de fractions</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T1</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Collections d'objets</w:t>
            </w:r>
          </w:p>
        </w:tc>
        <w:tc>
          <w:tcPr>
            <w:tcW w:type="dxa" w:w="29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Capsules, graines, bâtonnets (lots de 12, 24 ou 60)</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Fraction d'une quantité (opérateur) ; problèmes de partage</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T4</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Cartes-registres</w:t>
            </w:r>
          </w:p>
        </w:tc>
        <w:tc>
          <w:tcPr>
            <w:tcW w:type="dxa" w:w="290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Cartes associant une écriture, un schéma, une expression en mots et un point de la droite</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Jeux de conversion entre registres (loto, mémoire)</w:t>
            </w:r>
          </w:p>
        </w:tc>
        <w:tc>
          <w:tcPr>
            <w:tcW w:type="dxa" w:w="181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T3</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spacing w:after="120" w:before="0" w:line="360"/>
        <w:ind w:firstLine="709"/>
        <w:jc w:val="both"/>
      </w:pPr>
      <w:r>
        <w:rPr>
          <w:rFonts w:ascii="Times New Roman" w:cs="Times New Roman" w:eastAsia="Times New Roman" w:hAnsi="Times New Roman"/>
        </w:rPr>
        <w:t xml:space="preserve">Le choix d'une bande-unité de 24 cm n'est pas anodin. Il permet de partager la bande en 2, 3, 4, 6, 8 et 12 parts de longueur entière (12, 8, 6, 4, 3 et 2 cm), ce qui rend possibles la comparaison et l'addition de fractions de dénominateurs différents par simple superposition, sans mesure fastidieuse. C'est ce choix de « variable didactique », au sens de Brousseau (1998), qui permet aux élèves de découvrir par eux-mêmes que 2/3 et 8/12 représentent la même longueur, ou que 2/3 + 1/4 occupe 11 des 12 parts de la bande.</w:t>
      </w:r>
    </w:p>
    <w:p>
      <w:pPr>
        <w:pStyle w:val="Heading2"/>
        <w:keepNext/>
        <w:keepLines/>
      </w:pPr>
      <w:r>
        <w:rPr>
          <w:rFonts w:ascii="Times New Roman" w:cs="Times New Roman" w:eastAsia="Times New Roman" w:hAnsi="Times New Roman"/>
        </w:rPr>
        <w:t xml:space="preserve">5.4. Progression des apprentissages sur les fractions du CE1 au CM2</w:t>
      </w:r>
    </w:p>
    <w:p>
      <w:pPr>
        <w:spacing w:after="120" w:before="0" w:line="360"/>
        <w:ind w:firstLine="709"/>
        <w:jc w:val="both"/>
      </w:pPr>
      <w:r>
        <w:rPr>
          <w:rFonts w:ascii="Times New Roman" w:cs="Times New Roman" w:eastAsia="Times New Roman" w:hAnsi="Times New Roman"/>
        </w:rPr>
        <w:t xml:space="preserve">Pour que l'enseignement des fractions ne se réduise pas à une succession de leçons isolées, nous proposons une progression qui fait rencontrer progressivement aux élèves les différentes significations de la fraction (tableau 40).</w:t>
      </w:r>
    </w:p>
    <w:p>
      <w:pPr>
        <w:keepNext/>
        <w:keepLines/>
        <w:spacing w:after="80" w:before="160" w:line="276"/>
        <w:jc w:val="center"/>
      </w:pPr>
      <w:r>
        <w:rPr>
          <w:rFonts w:ascii="Times New Roman" w:cs="Times New Roman" w:eastAsia="Times New Roman" w:hAnsi="Times New Roman"/>
          <w:b/>
          <w:bCs/>
          <w:sz w:val="22"/>
          <w:szCs w:val="22"/>
        </w:rPr>
        <w:t xml:space="preserve">Tableau 40 : </w:t>
      </w:r>
      <w:r>
        <w:rPr>
          <w:rFonts w:ascii="Times New Roman" w:cs="Times New Roman" w:eastAsia="Times New Roman" w:hAnsi="Times New Roman"/>
          <w:b/>
          <w:bCs/>
          <w:sz w:val="22"/>
          <w:szCs w:val="22"/>
        </w:rPr>
        <w:t xml:space="preserve">Progression proposée pour l'enseignement des fractions au primaire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88"/>
        <w:gridCol w:w="3628"/>
        <w:gridCol w:w="2358"/>
        <w:gridCol w:w="1998"/>
      </w:tblGrid>
      <w:tr>
        <w:trPr>
          <w:cantSplit/>
          <w:tblHeader/>
        </w:trPr>
        <w:tc>
          <w:tcPr>
            <w:tcW w:type="dxa" w:w="108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Classe</w:t>
            </w:r>
          </w:p>
        </w:tc>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Contenus et compétences visés</w:t>
            </w:r>
          </w:p>
        </w:tc>
        <w:tc>
          <w:tcPr>
            <w:tcW w:type="dxa" w:w="235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Signification dominante</w:t>
            </w:r>
          </w:p>
        </w:tc>
        <w:tc>
          <w:tcPr>
            <w:tcW w:type="dxa" w:w="199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Matériel principal</w:t>
            </w:r>
          </w:p>
        </w:tc>
      </w:tr>
      <w:tr>
        <w:trPr>
          <w:cantSplit/>
          <w:tblHeader w:val="false"/>
        </w:trPr>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CE1</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Partager une unité en 2 et en 4 parts égales ; nommer et écrire 1/2 et 1/4</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Partie-tout</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Bandes-unités, disques</w:t>
            </w:r>
          </w:p>
        </w:tc>
      </w:tr>
      <w:tr>
        <w:trPr>
          <w:cantSplit/>
          <w:tblHeader w:val="false"/>
        </w:trPr>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CE2</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Lire, écrire et représenter des fractions simples ; comparer des fractions de même dénominateur ou de même numérateur</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Partie-tout, mesure</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Bandes, mur des fractions</w:t>
            </w:r>
          </w:p>
        </w:tc>
      </w:tr>
      <w:tr>
        <w:trPr>
          <w:cantSplit/>
          <w:tblHeader w:val="false"/>
        </w:trPr>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CM1</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Placer des fractions sur une droite graduée ; reconnaître des fractions égales ; additionner et soustraire des fractions de même dénominateur, puis de dénominateurs multiples</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Mesure, équivalence</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Droite graduée, mur des fractions</w:t>
            </w:r>
          </w:p>
        </w:tc>
      </w:tr>
      <w:tr>
        <w:trPr>
          <w:cantSplit/>
          <w:tblHeader w:val="false"/>
        </w:trPr>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CM2</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Comparer, simplifier, additionner et soustraire des fractions quelconques ; calculer la fraction d'une quantité ; lien avec les décimaux et les pourcentages</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Opérateur, quotient</w:t>
            </w:r>
          </w:p>
        </w:tc>
        <w:tc>
          <w:tcPr>
            <w:tcW w:type="dxa" w:w="199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Collections d'objets, droite graduée</w:t>
            </w:r>
          </w:p>
        </w:tc>
      </w:tr>
    </w:tbl>
    <w:p>
      <w:pPr>
        <w:spacing w:after="200" w:before="60" w:line="240"/>
        <w:jc w:val="left"/>
      </w:pPr>
      <w:r>
        <w:rPr>
          <w:rFonts w:ascii="Times New Roman" w:cs="Times New Roman" w:eastAsia="Times New Roman" w:hAnsi="Times New Roman"/>
          <w:i/>
          <w:iCs/>
          <w:sz w:val="20"/>
          <w:szCs w:val="20"/>
        </w:rPr>
        <w:t xml:space="preserve">Source : Notre construction, 2026, à partir des contenus usuels des programmes du primaire.</w:t>
      </w:r>
    </w:p>
    <w:p>
      <w:pPr>
        <w:pStyle w:val="Heading2"/>
        <w:keepNext/>
        <w:keepLines/>
      </w:pPr>
      <w:r>
        <w:rPr>
          <w:rFonts w:ascii="Times New Roman" w:cs="Times New Roman" w:eastAsia="Times New Roman" w:hAnsi="Times New Roman"/>
        </w:rPr>
        <w:t xml:space="preserve">5.5. Démonstration : trois fiches pédagogiques conçues selon la démarche</w:t>
      </w:r>
    </w:p>
    <w:p>
      <w:pPr>
        <w:spacing w:after="120" w:before="0" w:line="360"/>
        <w:ind w:firstLine="709"/>
        <w:jc w:val="both"/>
      </w:pPr>
      <w:r>
        <w:rPr>
          <w:rFonts w:ascii="Times New Roman" w:cs="Times New Roman" w:eastAsia="Times New Roman" w:hAnsi="Times New Roman"/>
        </w:rPr>
        <w:t xml:space="preserve">Pour démontrer la mise en œuvre de la démarche, nous présentons trois fiches pédagogiques, chacune ciblant une erreur majeure mise en évidence par l'étude. La première, développée intégralement, porte sur l'addition de fractions de dénominateurs différents, qui est l'item le plus échoué par les EPE (18 % de réussite) et le lieu de l'erreur la plus fréquente (T2). La deuxième, présentée de manière plus synthétique, porte sur la comparaison de fractions et cible l'erreur T1 ; la troisième porte sur la fraction d'une quantité et cible l'erreur T4.</w:t>
      </w:r>
    </w:p>
    <w:p>
      <w:pPr>
        <w:pStyle w:val="Heading3"/>
        <w:keepNext/>
        <w:keepLines/>
      </w:pPr>
      <w:r>
        <w:rPr>
          <w:rFonts w:ascii="Times New Roman" w:cs="Times New Roman" w:eastAsia="Times New Roman" w:hAnsi="Times New Roman"/>
        </w:rPr>
        <w:t xml:space="preserve">5.5.1. Fiche n°1 : additionner deux fractions de dénominateurs différents (CM1)</w:t>
      </w:r>
    </w:p>
    <w:p>
      <w:pPr>
        <w:keepNext/>
        <w:keepLines/>
        <w:spacing w:after="80" w:before="160" w:line="276"/>
        <w:jc w:val="center"/>
      </w:pPr>
      <w:r>
        <w:rPr>
          <w:rFonts w:ascii="Times New Roman" w:cs="Times New Roman" w:eastAsia="Times New Roman" w:hAnsi="Times New Roman"/>
          <w:b/>
          <w:bCs/>
          <w:sz w:val="22"/>
          <w:szCs w:val="22"/>
        </w:rPr>
        <w:t xml:space="preserve">Tableau 41 : </w:t>
      </w:r>
      <w:r>
        <w:rPr>
          <w:rFonts w:ascii="Times New Roman" w:cs="Times New Roman" w:eastAsia="Times New Roman" w:hAnsi="Times New Roman"/>
          <w:b/>
          <w:bCs/>
          <w:sz w:val="22"/>
          <w:szCs w:val="22"/>
        </w:rPr>
        <w:t xml:space="preserve">Fiche n°1 : renseignements généraux</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1"/>
        <w:gridCol w:w="6351"/>
      </w:tblGrid>
      <w:tr>
        <w:trPr>
          <w:cantSplit/>
          <w:tblHeader/>
        </w:trPr>
        <w:tc>
          <w:tcPr>
            <w:tcW w:type="dxa" w:w="272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Rubrique</w:t>
            </w:r>
          </w:p>
        </w:tc>
        <w:tc>
          <w:tcPr>
            <w:tcW w:type="dxa" w:w="635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Contenu</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Champ disciplinaire / Discipline</w:t>
            </w:r>
          </w:p>
        </w:tc>
        <w:tc>
          <w:tcPr>
            <w:tcW w:type="dxa" w:w="6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Mathématiques / Calcul (nombres et opérations)</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Classe / Effectif</w:t>
            </w:r>
          </w:p>
        </w:tc>
        <w:tc>
          <w:tcPr>
            <w:tcW w:type="dxa" w:w="6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CM1 / G : …… F : …… T : ……</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Titre</w:t>
            </w:r>
          </w:p>
        </w:tc>
        <w:tc>
          <w:tcPr>
            <w:tcW w:type="dxa" w:w="6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Addition de deux fractions de dénominateurs différents</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Objectif d'apprentissage</w:t>
            </w:r>
          </w:p>
        </w:tc>
        <w:tc>
          <w:tcPr>
            <w:tcW w:type="dxa" w:w="6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À la fin de la séance, l'élève doit être capable de calculer la somme de deux fractions dont les dénominateurs sont différents (l'un multiple de l'autre, puis quelconques), en justifiant le résultat à l'aide de la bande-unité.</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Prérequis</w:t>
            </w:r>
          </w:p>
        </w:tc>
        <w:tc>
          <w:tcPr>
            <w:tcW w:type="dxa" w:w="6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Lire et représenter une fraction ; reconnaître des fractions égales sur le mur des fractions ; additionner deux fractions de même dénominateur</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Matériel</w:t>
            </w:r>
          </w:p>
        </w:tc>
        <w:tc>
          <w:tcPr>
            <w:tcW w:type="dxa" w:w="6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Par groupe : 3 bandes-unités de 24 cm, le mur des fractions, ciseaux, crayons de couleur ; au tableau : bande-unité agrandie et droite graduée</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Durée</w:t>
            </w:r>
          </w:p>
        </w:tc>
        <w:tc>
          <w:tcPr>
            <w:tcW w:type="dxa" w:w="6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60 minutes</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Erreurs anticipées</w:t>
            </w:r>
          </w:p>
        </w:tc>
        <w:tc>
          <w:tcPr>
            <w:tcW w:type="dxa" w:w="63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2/3 + 1/4 = 3/7 (T2) ; somme inférieure à l'un des termes non détectée</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keepNext/>
        <w:keepLines/>
        <w:spacing w:after="80" w:before="160" w:line="276"/>
        <w:jc w:val="center"/>
      </w:pPr>
      <w:r>
        <w:rPr>
          <w:rFonts w:ascii="Times New Roman" w:cs="Times New Roman" w:eastAsia="Times New Roman" w:hAnsi="Times New Roman"/>
          <w:b/>
          <w:bCs/>
          <w:sz w:val="22"/>
          <w:szCs w:val="22"/>
        </w:rPr>
        <w:t xml:space="preserve">Tableau 42 : </w:t>
      </w:r>
      <w:r>
        <w:rPr>
          <w:rFonts w:ascii="Times New Roman" w:cs="Times New Roman" w:eastAsia="Times New Roman" w:hAnsi="Times New Roman"/>
          <w:b/>
          <w:bCs/>
          <w:sz w:val="22"/>
          <w:szCs w:val="22"/>
        </w:rPr>
        <w:t xml:space="preserve">Fiche n°1 : déroulement de la séance selon la démarche P-M-R-S-R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360"/>
        <w:gridCol w:w="3356"/>
        <w:gridCol w:w="3084"/>
        <w:gridCol w:w="1272"/>
      </w:tblGrid>
      <w:tr>
        <w:trPr>
          <w:cantSplit/>
          <w:tblHeader/>
        </w:trPr>
        <w:tc>
          <w:tcPr>
            <w:tcW w:type="dxa" w:w="136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Étapes</w:t>
            </w:r>
          </w:p>
        </w:tc>
        <w:tc>
          <w:tcPr>
            <w:tcW w:type="dxa" w:w="335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Activités du maître</w:t>
            </w:r>
          </w:p>
        </w:tc>
        <w:tc>
          <w:tcPr>
            <w:tcW w:type="dxa" w:w="308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Activités des élèves</w:t>
            </w:r>
          </w:p>
        </w:tc>
        <w:tc>
          <w:tcPr>
            <w:tcW w:type="dxa" w:w="127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Durée</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Mise en train et révision fonctionnelle</w:t>
            </w:r>
          </w:p>
        </w:tc>
        <w:tc>
          <w:tcPr>
            <w:tcW w:type="dxa" w:w="3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Calcul mental : 1/5 + 2/5 ; 3/8 + 1/8. « Pourquoi le dénominateur ne change-t-il pas ? »</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Calculent et justifient : « on additionne des cinquièmes, le résultat est en cinquièmes »</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5 min</w:t>
            </w:r>
          </w:p>
        </w:tc>
      </w:tr>
      <w:tr>
        <w:trPr>
          <w:cantSplit/>
          <w:tblHeader w:val="false"/>
        </w:trPr>
        <w:tc>
          <w:tcPr>
            <w:tcW w:type="dxa" w:w="1360"/>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 – Problématiser</w:t>
            </w:r>
          </w:p>
        </w:tc>
        <w:tc>
          <w:tcPr>
            <w:tcW w:type="dxa" w:w="3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Présente la situation : « Koffi a peint les 2/3 d'une planche le matin et 1/4 de la même planche l'après-midi. Quelle fraction de la planche a-t-il peinte dans la journée ? » Recueille les propositions sans les valider.</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Proposent des réponses ; la réponse 3/7 apparaît souvent. Le maître note toutes les propositions au tableau.</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7 min</w:t>
            </w:r>
          </w:p>
        </w:tc>
      </w:tr>
      <w:tr>
        <w:trPr>
          <w:cantSplit/>
          <w:tblHeader w:val="false"/>
        </w:trPr>
        <w:tc>
          <w:tcPr>
            <w:tcW w:type="dxa" w:w="1360"/>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 – Manipuler</w:t>
            </w:r>
          </w:p>
        </w:tc>
        <w:tc>
          <w:tcPr>
            <w:tcW w:type="dxa" w:w="3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Distribue les bandes-unités (la bande représente la planche). Consigne : « Coloriez les 2/3 en bleu, puis 1/4 en rouge à la suite. Quelle part de la bande est coloriée ? Utilisez le mur des fractions pour trouver des parts qui conviennent aux deux couleurs. » Circule, observe, relance les groupes bloqués.</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Plient la bande en 3, colorient 2 tiers ; plient une autre bande en 4, reportent un quart. Cherchent sur le mur des parts qui s'ajustent aux tiers et aux quarts : les douzièmes.</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15 min</w:t>
            </w:r>
          </w:p>
        </w:tc>
      </w:tr>
      <w:tr>
        <w:trPr>
          <w:cantSplit/>
          <w:tblHeader w:val="false"/>
        </w:trPr>
        <w:tc>
          <w:tcPr>
            <w:tcW w:type="dxa" w:w="1360"/>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 – Représenter</w:t>
            </w:r>
          </w:p>
        </w:tc>
        <w:tc>
          <w:tcPr>
            <w:tcW w:type="dxa" w:w="3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Fait dessiner au tableau la bande partagée en 12 par un groupe. Confronte la proposition 3/7 au dessin : « 3/7 est-il plus grand ou plus petit que 2/3 ? Est-ce possible, puisqu'on a ajouté de la peinture ? »</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Constatent que 2/3 = 8/12 et 1/4 = 3/12 ; comptent 11 douzièmes coloriés. Rejettent 3/7, qui est plus petit que 2/3 : c'est impossible.</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10 min</w:t>
            </w:r>
          </w:p>
        </w:tc>
      </w:tr>
      <w:tr>
        <w:trPr>
          <w:cantSplit/>
          <w:tblHeader w:val="false"/>
        </w:trPr>
        <w:tc>
          <w:tcPr>
            <w:tcW w:type="dxa" w:w="1360"/>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 – Symboliser</w:t>
            </w:r>
          </w:p>
        </w:tc>
        <w:tc>
          <w:tcPr>
            <w:tcW w:type="dxa" w:w="3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Institutionnalise : « Pour additionner deux fractions de dénominateurs différents, on les remplace par des fractions égales ayant le même dénominateur, puis on additionne les numérateurs. » Écrit : 2/3 + 1/4 = 8/12 + 3/12 = 11/12. Fait le lien entre chaque étape du calcul et la bande.</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Verbalisent la règle ; la valident sur la bande ; copient la trace écrite comprenant le schéma et le calcul.</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8 min</w:t>
            </w:r>
          </w:p>
        </w:tc>
      </w:tr>
      <w:tr>
        <w:trPr>
          <w:cantSplit/>
          <w:tblHeader w:val="false"/>
        </w:trPr>
        <w:tc>
          <w:tcPr>
            <w:tcW w:type="dxa" w:w="1360"/>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 – Réinvestir</w:t>
            </w:r>
          </w:p>
        </w:tc>
        <w:tc>
          <w:tcPr>
            <w:tcW w:type="dxa" w:w="3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Exercices gradués : 1/2 + 1/4 ; 1/3 + 1/6 ; 3/4 + 1/6. Problème de transfert : « Ama boit 1/2 litre de lait le matin et 1/3 litre le soir. Quelle quantité boit-elle ? » Exige un contrôle de vraisemblance.</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Calculent seuls ; vérifient sur le mur que le résultat est plus grand que chacun des termes ; les élèves en difficulté utilisent la bande.</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12 min</w:t>
            </w:r>
          </w:p>
        </w:tc>
      </w:tr>
      <w:tr>
        <w:trPr>
          <w:cantSplit/>
          <w:tblHeader w:val="false"/>
        </w:trPr>
        <w:tc>
          <w:tcPr>
            <w:tcW w:type="dxa" w:w="13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Évaluation et consigne de remédiation</w:t>
            </w:r>
          </w:p>
        </w:tc>
        <w:tc>
          <w:tcPr>
            <w:tcW w:type="dxa" w:w="3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Relève les erreurs persistantes ; regroupe pour la séance suivante les élèves ayant produit une addition terme à terme.</w:t>
            </w:r>
          </w:p>
        </w:tc>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Auto-évaluent leurs réponses à l'aide du corrigé collectif.</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3 min</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spacing w:after="120" w:before="0" w:line="360"/>
        <w:ind w:firstLine="709"/>
        <w:jc w:val="both"/>
      </w:pPr>
      <w:r>
        <w:rPr>
          <w:rFonts w:ascii="Times New Roman" w:cs="Times New Roman" w:eastAsia="Times New Roman" w:hAnsi="Times New Roman"/>
        </w:rPr>
        <w:t xml:space="preserve">Cette fiche illustre les principes de la démarche. La phase de problématisation fait émerger l'erreur 3/7 au lieu de la taire ; la manipulation fournit un milieu qui invalide cette réponse par lui-même ; la représentation organise la conversion entre le matériel, le schéma et l'écriture ; la règle n'est institutionnalisée qu'après avoir été rendue nécessaire et vérifiée. Le contrôle de vraisemblance, systématiquement exigé, donne aux élèves un moyen de détecter seuls l'erreur T2.</w:t>
      </w:r>
    </w:p>
    <w:p>
      <w:pPr>
        <w:pStyle w:val="Heading4"/>
        <w:keepNext/>
        <w:keepLines/>
      </w:pPr>
      <w:r>
        <w:rPr>
          <w:rFonts w:ascii="Times New Roman" w:cs="Times New Roman" w:eastAsia="Times New Roman" w:hAnsi="Times New Roman"/>
        </w:rPr>
        <w:t xml:space="preserve">Illustration : l'exploitation de l'erreur lors de la phase de représentation</w:t>
      </w:r>
    </w:p>
    <w:p>
      <w:pPr>
        <w:spacing w:after="120" w:before="0" w:line="360"/>
        <w:ind w:firstLine="709"/>
        <w:jc w:val="both"/>
      </w:pPr>
      <w:r>
        <w:rPr>
          <w:rFonts w:ascii="Times New Roman" w:cs="Times New Roman" w:eastAsia="Times New Roman" w:hAnsi="Times New Roman"/>
        </w:rPr>
        <w:t xml:space="preserve">Pour rendre concrète la manière dont l'erreur 3/7 est exploitée, nous présentons ci-après un extrait de l'échange prévu lors de la mise en commun. Il sert de modèle aux EPE, qui éprouvent, selon les entretiens, des difficultés à répondre aux questions « pourquoi » des élèves.</w:t>
      </w:r>
    </w:p>
    <w:p>
      <w:pPr>
        <w:spacing w:after="140" w:before="40" w:line="300"/>
        <w:ind w:left="850" w:right="567"/>
        <w:jc w:val="both"/>
      </w:pPr>
      <w:r>
        <w:rPr>
          <w:rFonts w:ascii="Times New Roman" w:cs="Times New Roman" w:eastAsia="Times New Roman" w:hAnsi="Times New Roman"/>
          <w:i/>
          <w:iCs/>
          <w:sz w:val="23"/>
          <w:szCs w:val="23"/>
        </w:rPr>
        <w:t xml:space="preserve">Maître : « Le groupe 2 propose 3/7. Le groupe 4 propose 11/12. Les deux réponses peuvent-elles être justes ? »</w:t>
      </w:r>
    </w:p>
    <w:p>
      <w:pPr>
        <w:spacing w:after="140" w:before="40" w:line="300"/>
        <w:ind w:left="850" w:right="567"/>
        <w:jc w:val="both"/>
      </w:pPr>
      <w:r>
        <w:rPr>
          <w:rFonts w:ascii="Times New Roman" w:cs="Times New Roman" w:eastAsia="Times New Roman" w:hAnsi="Times New Roman"/>
          <w:i/>
          <w:iCs/>
          <w:sz w:val="23"/>
          <w:szCs w:val="23"/>
        </w:rPr>
        <w:t xml:space="preserve">Élève A : « Non, parce que ce n'est pas le même nombre. »</w:t>
      </w:r>
    </w:p>
    <w:p>
      <w:pPr>
        <w:spacing w:after="140" w:before="40" w:line="300"/>
        <w:ind w:left="850" w:right="567"/>
        <w:jc w:val="both"/>
      </w:pPr>
      <w:r>
        <w:rPr>
          <w:rFonts w:ascii="Times New Roman" w:cs="Times New Roman" w:eastAsia="Times New Roman" w:hAnsi="Times New Roman"/>
          <w:i/>
          <w:iCs/>
          <w:sz w:val="23"/>
          <w:szCs w:val="23"/>
        </w:rPr>
        <w:t xml:space="preserve">Maître : « Alors comment savoir laquelle est juste ? Regardez votre bande. Koffi a déjà peint les 2/3 le matin. Montrez-moi les 2/3. »</w:t>
      </w:r>
    </w:p>
    <w:p>
      <w:pPr>
        <w:spacing w:after="140" w:before="40" w:line="300"/>
        <w:ind w:left="850" w:right="567"/>
        <w:jc w:val="both"/>
      </w:pPr>
      <w:r>
        <w:rPr>
          <w:rFonts w:ascii="Times New Roman" w:cs="Times New Roman" w:eastAsia="Times New Roman" w:hAnsi="Times New Roman"/>
          <w:i/>
          <w:iCs/>
          <w:sz w:val="23"/>
          <w:szCs w:val="23"/>
        </w:rPr>
        <w:t xml:space="preserve">Élève B : « C'est les deux premières parts quand on plie en trois. »</w:t>
      </w:r>
    </w:p>
    <w:p>
      <w:pPr>
        <w:spacing w:after="140" w:before="40" w:line="300"/>
        <w:ind w:left="850" w:right="567"/>
        <w:jc w:val="both"/>
      </w:pPr>
      <w:r>
        <w:rPr>
          <w:rFonts w:ascii="Times New Roman" w:cs="Times New Roman" w:eastAsia="Times New Roman" w:hAnsi="Times New Roman"/>
          <w:i/>
          <w:iCs/>
          <w:sz w:val="23"/>
          <w:szCs w:val="23"/>
        </w:rPr>
        <w:t xml:space="preserve">Maître : « Et 3/7, c'est plus ou c'est moins que 2/3 ? Pliez une bande en sept et comparez. »</w:t>
      </w:r>
    </w:p>
    <w:p>
      <w:pPr>
        <w:spacing w:after="140" w:before="40" w:line="300"/>
        <w:ind w:left="850" w:right="567"/>
        <w:jc w:val="both"/>
      </w:pPr>
      <w:r>
        <w:rPr>
          <w:rFonts w:ascii="Times New Roman" w:cs="Times New Roman" w:eastAsia="Times New Roman" w:hAnsi="Times New Roman"/>
          <w:i/>
          <w:iCs/>
          <w:sz w:val="23"/>
          <w:szCs w:val="23"/>
        </w:rPr>
        <w:t xml:space="preserve">Élève C : « 3/7, c'est plus petit que 2/3 ! »</w:t>
      </w:r>
    </w:p>
    <w:p>
      <w:pPr>
        <w:spacing w:after="140" w:before="40" w:line="300"/>
        <w:ind w:left="850" w:right="567"/>
        <w:jc w:val="both"/>
      </w:pPr>
      <w:r>
        <w:rPr>
          <w:rFonts w:ascii="Times New Roman" w:cs="Times New Roman" w:eastAsia="Times New Roman" w:hAnsi="Times New Roman"/>
          <w:i/>
          <w:iCs/>
          <w:sz w:val="23"/>
          <w:szCs w:val="23"/>
        </w:rPr>
        <w:t xml:space="preserve">Maître : « Est-ce possible ? L'après-midi, Koffi a peint encore un morceau. La partie peinte peut-elle devenir plus petite ? »</w:t>
      </w:r>
    </w:p>
    <w:p>
      <w:pPr>
        <w:spacing w:after="140" w:before="40" w:line="300"/>
        <w:ind w:left="850" w:right="567"/>
        <w:jc w:val="both"/>
      </w:pPr>
      <w:r>
        <w:rPr>
          <w:rFonts w:ascii="Times New Roman" w:cs="Times New Roman" w:eastAsia="Times New Roman" w:hAnsi="Times New Roman"/>
          <w:i/>
          <w:iCs/>
          <w:sz w:val="23"/>
          <w:szCs w:val="23"/>
        </w:rPr>
        <w:t xml:space="preserve">Élèves : « Non ! Donc 3/7, c'est faux. »</w:t>
      </w:r>
    </w:p>
    <w:p>
      <w:pPr>
        <w:spacing w:after="140" w:before="40" w:line="300"/>
        <w:ind w:left="850" w:right="567"/>
        <w:jc w:val="both"/>
      </w:pPr>
      <w:r>
        <w:rPr>
          <w:rFonts w:ascii="Times New Roman" w:cs="Times New Roman" w:eastAsia="Times New Roman" w:hAnsi="Times New Roman"/>
          <w:i/>
          <w:iCs/>
          <w:sz w:val="23"/>
          <w:szCs w:val="23"/>
        </w:rPr>
        <w:t xml:space="preserve">Maître : « Pourquoi alors ne peut-on pas additionner les tiers et les quarts directement ? »</w:t>
      </w:r>
    </w:p>
    <w:p>
      <w:pPr>
        <w:spacing w:after="140" w:before="40" w:line="300"/>
        <w:ind w:left="850" w:right="567"/>
        <w:jc w:val="both"/>
      </w:pPr>
      <w:r>
        <w:rPr>
          <w:rFonts w:ascii="Times New Roman" w:cs="Times New Roman" w:eastAsia="Times New Roman" w:hAnsi="Times New Roman"/>
          <w:i/>
          <w:iCs/>
          <w:sz w:val="23"/>
          <w:szCs w:val="23"/>
        </w:rPr>
        <w:t xml:space="preserve">Élève D : « Parce que ce ne sont pas les mêmes parts. Il faut les couper pareil, en douzièmes. »</w:t>
      </w:r>
    </w:p>
    <w:p>
      <w:pPr>
        <w:spacing w:after="120" w:before="0" w:line="360"/>
        <w:ind w:firstLine="709"/>
        <w:jc w:val="both"/>
      </w:pPr>
      <w:r>
        <w:rPr>
          <w:rFonts w:ascii="Times New Roman" w:cs="Times New Roman" w:eastAsia="Times New Roman" w:hAnsi="Times New Roman"/>
        </w:rPr>
        <w:t xml:space="preserve">Cet échange illustre le principe de validation par le milieu : ce n'est pas le maître qui déclare la réponse fausse, c'est le matériel, puis le raisonnement des élèves eux-mêmes. Le maître se contente de poser les questions qui rendent la contradiction visible. L'élève D formule spontanément l'idée d'unité commune, que le maître n'aura plus qu'à institutionnaliser. Cette gestion de l'erreur rompt avec la pratique observée dans les fiches, où l'erreur est soit ignorée, soit corrigée d'autorité.</w:t>
      </w:r>
    </w:p>
    <w:p>
      <w:pPr>
        <w:pStyle w:val="Heading3"/>
        <w:keepNext/>
        <w:keepLines/>
      </w:pPr>
      <w:r>
        <w:rPr>
          <w:rFonts w:ascii="Times New Roman" w:cs="Times New Roman" w:eastAsia="Times New Roman" w:hAnsi="Times New Roman"/>
        </w:rPr>
        <w:t xml:space="preserve">5.5.2. Fiche n°2 : comparer des fractions de même numérateur (CE2)</w:t>
      </w:r>
    </w:p>
    <w:p>
      <w:pPr>
        <w:keepNext/>
        <w:keepLines/>
        <w:spacing w:after="80" w:before="160" w:line="276"/>
        <w:jc w:val="center"/>
      </w:pPr>
      <w:r>
        <w:rPr>
          <w:rFonts w:ascii="Times New Roman" w:cs="Times New Roman" w:eastAsia="Times New Roman" w:hAnsi="Times New Roman"/>
          <w:b/>
          <w:bCs/>
          <w:sz w:val="22"/>
          <w:szCs w:val="22"/>
        </w:rPr>
        <w:t xml:space="preserve">Tableau 43 : </w:t>
      </w:r>
      <w:r>
        <w:rPr>
          <w:rFonts w:ascii="Times New Roman" w:cs="Times New Roman" w:eastAsia="Times New Roman" w:hAnsi="Times New Roman"/>
          <w:b/>
          <w:bCs/>
          <w:sz w:val="22"/>
          <w:szCs w:val="22"/>
        </w:rPr>
        <w:t xml:space="preserve">Fiche n°2 : déroulement synthétique de la séance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4536"/>
        <w:gridCol w:w="3085"/>
      </w:tblGrid>
      <w:tr>
        <w:trPr>
          <w:cantSplit/>
          <w:tblHeader/>
        </w:trPr>
        <w:tc>
          <w:tcPr>
            <w:tcW w:type="dxa" w:w="145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Phase</w:t>
            </w:r>
          </w:p>
        </w:tc>
        <w:tc>
          <w:tcPr>
            <w:tcW w:type="dxa" w:w="453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Déroulement</w:t>
            </w:r>
          </w:p>
        </w:tc>
        <w:tc>
          <w:tcPr>
            <w:tcW w:type="dxa" w:w="308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Point de vigilance</w:t>
            </w:r>
          </w:p>
        </w:tc>
      </w:tr>
      <w:tr>
        <w:trPr>
          <w:cantSplit/>
          <w:tblHeader w:val="false"/>
        </w:trPr>
        <w:tc>
          <w:tcPr>
            <w:tcW w:type="dxa" w:w="145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Situation : « On partage une galette entre 5 enfants et une galette identique entre 7 enfants. Dans quel groupe chaque enfant reçoit-il la plus grosse part ? »</w:t>
            </w:r>
          </w:p>
        </w:tc>
        <w:tc>
          <w:tcPr>
            <w:tcW w:type="dxa" w:w="30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Recueillir la réponse « 1/7 car 7 est plus grand que 5 » sans la corriger.</w:t>
            </w:r>
          </w:p>
        </w:tc>
      </w:tr>
      <w:tr>
        <w:trPr>
          <w:cantSplit/>
          <w:tblHeader w:val="false"/>
        </w:trPr>
        <w:tc>
          <w:tcPr>
            <w:tcW w:type="dxa" w:w="145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Chaque groupe partage une bande-unité en 5 et une autre en 7 (gabarits fournis), puis superpose une part de chaque bande.</w:t>
            </w:r>
          </w:p>
        </w:tc>
        <w:tc>
          <w:tcPr>
            <w:tcW w:type="dxa" w:w="30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Veiller à l'égalité des parts : c'est la condition de l'écriture fractionnaire.</w:t>
            </w:r>
          </w:p>
        </w:tc>
      </w:tr>
      <w:tr>
        <w:trPr>
          <w:cantSplit/>
          <w:tblHeader w:val="false"/>
        </w:trPr>
        <w:tc>
          <w:tcPr>
            <w:tcW w:type="dxa" w:w="145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Les élèves dessinent les deux bandes l'une sous l'autre, puis placent 1/5 et 1/7 sur la droite graduée.</w:t>
            </w:r>
          </w:p>
        </w:tc>
        <w:tc>
          <w:tcPr>
            <w:tcW w:type="dxa" w:w="30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Faire verbaliser : « plus on partage, plus les parts sont petites ».</w:t>
            </w:r>
          </w:p>
        </w:tc>
      </w:tr>
      <w:tr>
        <w:trPr>
          <w:cantSplit/>
          <w:tblHeader w:val="false"/>
        </w:trPr>
        <w:tc>
          <w:tcPr>
            <w:tcW w:type="dxa" w:w="145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Institutionnalisation : « Quand deux fractions ont le même numérateur, la plus grande est celle qui a le plus petit dénominateur. » Écriture : 1/7 &lt; 1/5 ; 3/7 &lt; 3/5.</w:t>
            </w:r>
          </w:p>
        </w:tc>
        <w:tc>
          <w:tcPr>
            <w:tcW w:type="dxa" w:w="30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Opposer explicitement cette règle à l'ordre des entiers : « 7 &gt; 5 mais 1/7 &lt; 1/5 ».</w:t>
            </w:r>
          </w:p>
        </w:tc>
      </w:tr>
      <w:tr>
        <w:trPr>
          <w:cantSplit/>
          <w:tblHeader w:val="false"/>
        </w:trPr>
        <w:tc>
          <w:tcPr>
            <w:tcW w:type="dxa" w:w="145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Ranger 1/2, 1/8, 1/4, 1/3 ; comparer 2/3 et 2/9 ; justifier avec un dessin.</w:t>
            </w:r>
          </w:p>
        </w:tc>
        <w:tc>
          <w:tcPr>
            <w:tcW w:type="dxa" w:w="30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Exiger une justification par le dessin ou la droite graduée.</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spacing w:after="120" w:before="0" w:line="360"/>
        <w:ind w:firstLine="709"/>
        <w:jc w:val="both"/>
      </w:pPr>
      <w:r>
        <w:rPr>
          <w:rFonts w:ascii="Times New Roman" w:cs="Times New Roman" w:eastAsia="Times New Roman" w:hAnsi="Times New Roman"/>
        </w:rPr>
        <w:t xml:space="preserve">Cette seconde fiche cible directement l'interférence du modèle des entiers (T1). La manipulation met en contradiction l'intuition issue des entiers (7 est plus grand que 5) et la perception de la grandeur des parts : c'est ce conflit, organisé par la situation, qui permet le dépassement de l'obstacle au sens de Bachelard (1938) et de Brousseau (1983).</w:t>
      </w:r>
    </w:p>
    <w:p>
      <w:pPr>
        <w:pStyle w:val="Heading3"/>
        <w:keepNext/>
        <w:keepLines/>
      </w:pPr>
      <w:r>
        <w:rPr>
          <w:rFonts w:ascii="Times New Roman" w:cs="Times New Roman" w:eastAsia="Times New Roman" w:hAnsi="Times New Roman"/>
        </w:rPr>
        <w:t xml:space="preserve">5.5.3. Fiche n°3 : calculer la fraction d'une quantité (CM2)</w:t>
      </w:r>
    </w:p>
    <w:p>
      <w:pPr>
        <w:spacing w:after="120" w:before="0" w:line="360"/>
        <w:ind w:firstLine="709"/>
        <w:jc w:val="both"/>
      </w:pPr>
      <w:r>
        <w:rPr>
          <w:rFonts w:ascii="Times New Roman" w:cs="Times New Roman" w:eastAsia="Times New Roman" w:hAnsi="Times New Roman"/>
        </w:rPr>
        <w:t xml:space="preserve">La troisième fiche porte sur la fraction-opérateur, que seuls 46 % des EPE ont su mobiliser dans le problème de l'item I5 et qui reste fragile même chez les EPE du niveau « acquis ». Elle cible l'erreur T4.</w:t>
      </w:r>
    </w:p>
    <w:p>
      <w:pPr>
        <w:keepNext/>
        <w:keepLines/>
        <w:spacing w:after="80" w:before="160" w:line="276"/>
        <w:jc w:val="center"/>
      </w:pPr>
      <w:r>
        <w:rPr>
          <w:rFonts w:ascii="Times New Roman" w:cs="Times New Roman" w:eastAsia="Times New Roman" w:hAnsi="Times New Roman"/>
          <w:b/>
          <w:bCs/>
          <w:sz w:val="22"/>
          <w:szCs w:val="22"/>
        </w:rPr>
        <w:t xml:space="preserve">Tableau 44 : </w:t>
      </w:r>
      <w:r>
        <w:rPr>
          <w:rFonts w:ascii="Times New Roman" w:cs="Times New Roman" w:eastAsia="Times New Roman" w:hAnsi="Times New Roman"/>
          <w:b/>
          <w:bCs/>
          <w:sz w:val="22"/>
          <w:szCs w:val="22"/>
        </w:rPr>
        <w:t xml:space="preserve">Fiche n°3 : déroulement synthétique de la séance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4536"/>
        <w:gridCol w:w="3085"/>
      </w:tblGrid>
      <w:tr>
        <w:trPr>
          <w:cantSplit/>
          <w:tblHeader/>
        </w:trPr>
        <w:tc>
          <w:tcPr>
            <w:tcW w:type="dxa" w:w="145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Phase</w:t>
            </w:r>
          </w:p>
        </w:tc>
        <w:tc>
          <w:tcPr>
            <w:tcW w:type="dxa" w:w="453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Déroulement</w:t>
            </w:r>
          </w:p>
        </w:tc>
        <w:tc>
          <w:tcPr>
            <w:tcW w:type="dxa" w:w="308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Point de vigilance</w:t>
            </w:r>
          </w:p>
        </w:tc>
      </w:tr>
      <w:tr>
        <w:trPr>
          <w:cantSplit/>
          <w:tblHeader w:val="false"/>
        </w:trPr>
        <w:tc>
          <w:tcPr>
            <w:tcW w:type="dxa" w:w="145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Situation : « La coopérative de l'école a récolté 60 kg de maïs. Les 2/5 de la récolte sont vendus au marché. Combien de kilogrammes sont vendus ? » Recueil des procédures spontanées.</w:t>
            </w:r>
          </w:p>
        </w:tc>
        <w:tc>
          <w:tcPr>
            <w:tcW w:type="dxa" w:w="30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Noter les réponses du type 60 : 2 × 5 = 150 kg et demander : « peut-on vendre plus que la récolte ? »</w:t>
            </w:r>
          </w:p>
        </w:tc>
      </w:tr>
      <w:tr>
        <w:trPr>
          <w:cantSplit/>
          <w:tblHeader w:val="false"/>
        </w:trPr>
        <w:tc>
          <w:tcPr>
            <w:tcW w:type="dxa" w:w="145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Chaque groupe reçoit 60 capsules représentant les 60 kg. Consigne : « Partagez la récolte en 5 parts égales, puis prenez-en 2. »</w:t>
            </w:r>
          </w:p>
        </w:tc>
        <w:tc>
          <w:tcPr>
            <w:tcW w:type="dxa" w:w="30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S'assurer que les parts sont égales (12 capsules chacune) avant de prendre 2 parts.</w:t>
            </w:r>
          </w:p>
        </w:tc>
      </w:tr>
      <w:tr>
        <w:trPr>
          <w:cantSplit/>
          <w:tblHeader w:val="false"/>
        </w:trPr>
        <w:tc>
          <w:tcPr>
            <w:tcW w:type="dxa" w:w="145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Représentation par un schéma en barre : une barre de 60 partagée en 5 cases de 12, dont 2 sont hachurées.</w:t>
            </w:r>
          </w:p>
        </w:tc>
        <w:tc>
          <w:tcPr>
            <w:tcW w:type="dxa" w:w="30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Faire écrire sous le schéma : 1/5 de 60 = 12 ; 2/5 de 60 = 24.</w:t>
            </w:r>
          </w:p>
        </w:tc>
      </w:tr>
      <w:tr>
        <w:trPr>
          <w:cantSplit/>
          <w:tblHeader w:val="false"/>
        </w:trPr>
        <w:tc>
          <w:tcPr>
            <w:tcW w:type="dxa" w:w="145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Institutionnalisation : « Pour calculer les a/b d'une quantité, on cherche d'abord la valeur de 1/b (on divise par b), puis on multiplie par a. » Lien avec l'écriture 60 × 2/5 = (60 : 5) × 2 = 24.</w:t>
            </w:r>
          </w:p>
        </w:tc>
        <w:tc>
          <w:tcPr>
            <w:tcW w:type="dxa" w:w="30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Expliciter que le résultat est inférieur à la quantité quand la fraction est inférieure à 1.</w:t>
            </w:r>
          </w:p>
        </w:tc>
      </w:tr>
      <w:tr>
        <w:trPr>
          <w:cantSplit/>
          <w:tblHeader w:val="false"/>
        </w:trPr>
        <w:tc>
          <w:tcPr>
            <w:tcW w:type="dxa" w:w="1451"/>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Problèmes variés : les 3/4 de 2 000 F ; les 5/8 d'une classe de 48 élèves ; problème inverse : « 1/3 d'une somme vaut 500 F ; quelle est la somme ? »</w:t>
            </w:r>
          </w:p>
        </w:tc>
        <w:tc>
          <w:tcPr>
            <w:tcW w:type="dxa" w:w="308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Exiger un schéma en barre et un contrôle de vraisemblance pour chaque problème.</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spacing w:after="120" w:before="0" w:line="360"/>
        <w:ind w:firstLine="709"/>
        <w:jc w:val="both"/>
      </w:pPr>
      <w:r>
        <w:rPr>
          <w:rFonts w:ascii="Times New Roman" w:cs="Times New Roman" w:eastAsia="Times New Roman" w:hAnsi="Times New Roman"/>
        </w:rPr>
        <w:t xml:space="preserve">Le passage par la fraction unitaire correspond à la procédure la plus sûre observée dans les copies réussies (voir section 4.2.5). Le schéma en barre, qui constitue un registre intermédiaire entre la manipulation des capsules et le calcul, permet aux élèves, et aux EPE eux-mêmes, de contrôler le sens de l'opération et de détecter l'erreur consistant à diviser par le numérateur.</w:t>
      </w:r>
    </w:p>
    <w:p>
      <w:pPr>
        <w:pStyle w:val="Heading2"/>
        <w:keepNext/>
        <w:keepLines/>
      </w:pPr>
      <w:r>
        <w:rPr>
          <w:rFonts w:ascii="Times New Roman" w:cs="Times New Roman" w:eastAsia="Times New Roman" w:hAnsi="Times New Roman"/>
        </w:rPr>
        <w:t xml:space="preserve">5.6. Le dispositif de remédiation des erreurs typiques</w:t>
      </w:r>
    </w:p>
    <w:p>
      <w:pPr>
        <w:spacing w:after="120" w:before="0" w:line="360"/>
        <w:ind w:firstLine="709"/>
        <w:jc w:val="both"/>
      </w:pPr>
      <w:r>
        <w:rPr>
          <w:rFonts w:ascii="Times New Roman" w:cs="Times New Roman" w:eastAsia="Times New Roman" w:hAnsi="Times New Roman"/>
        </w:rPr>
        <w:t xml:space="preserve">La démarche est complétée par un dispositif de remédiation qui associe à chaque type d'erreur identifié dans l'étude un indice de repérage, une cause probable et une situation de remédiation (tableau 45). Ce dispositif est destiné aussi bien aux formateurs de l'ENFPE, pour la remédiation auprès des EPE, qu'aux EPE eux-mêmes, pour la remédiation auprès de leurs élèves.</w:t>
      </w:r>
    </w:p>
    <w:p>
      <w:pPr>
        <w:keepNext/>
        <w:keepLines/>
        <w:spacing w:after="80" w:before="160" w:line="276"/>
        <w:jc w:val="center"/>
      </w:pPr>
      <w:r>
        <w:rPr>
          <w:rFonts w:ascii="Times New Roman" w:cs="Times New Roman" w:eastAsia="Times New Roman" w:hAnsi="Times New Roman"/>
          <w:b/>
          <w:bCs/>
          <w:sz w:val="22"/>
          <w:szCs w:val="22"/>
        </w:rPr>
        <w:t xml:space="preserve">Tableau 45 : </w:t>
      </w:r>
      <w:r>
        <w:rPr>
          <w:rFonts w:ascii="Times New Roman" w:cs="Times New Roman" w:eastAsia="Times New Roman" w:hAnsi="Times New Roman"/>
          <w:b/>
          <w:bCs/>
          <w:sz w:val="22"/>
          <w:szCs w:val="22"/>
        </w:rPr>
        <w:t xml:space="preserve">Dispositif de remédiation des erreurs typiques relatives aux fractions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1995"/>
        <w:gridCol w:w="2177"/>
        <w:gridCol w:w="3268"/>
      </w:tblGrid>
      <w:tr>
        <w:trPr>
          <w:cantSplit/>
          <w:tblHeader/>
        </w:trPr>
        <w:tc>
          <w:tcPr>
            <w:tcW w:type="dxa" w:w="163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Erreur</w:t>
            </w:r>
          </w:p>
        </w:tc>
        <w:tc>
          <w:tcPr>
            <w:tcW w:type="dxa" w:w="199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Indice de repérage</w:t>
            </w:r>
          </w:p>
        </w:tc>
        <w:tc>
          <w:tcPr>
            <w:tcW w:type="dxa" w:w="217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Cause probable</w:t>
            </w:r>
          </w:p>
        </w:tc>
        <w:tc>
          <w:tcPr>
            <w:tcW w:type="dxa" w:w="326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Situation de remédiation</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T1 – Interférence du modèle des entiers</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 1/8 &gt; 1/5 car 8 &gt; 5 »</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La fraction est conçue comme deux entiers indépendants</w:t>
            </w:r>
          </w:p>
        </w:tc>
        <w:tc>
          <w:tcPr>
            <w:tcW w:type="dxa" w:w="3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Superposer des parts de bandes partagées en 5 et en 8 ; placer les fractions sur la droite graduée ; formuler la règle en opposition à l'ordre des entiers</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T2 – Addition terme à terme</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2/3 + 1/4 = 3/7</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Règle syntaxique sans signification ; analogie avec les entiers</w:t>
            </w:r>
          </w:p>
        </w:tc>
        <w:tc>
          <w:tcPr>
            <w:tcW w:type="dxa" w:w="3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Juxtaposer 2/3 et 1/4 sur la bande-unité ; comparer 3/7 à 2/3 (contrôle de vraisemblance) ; rechercher l'unité commune sur le mur des fractions</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T3 – Défaut de conversion</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Parts inégales acceptées ; comptage des traits</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Condition d'égalité des parts non intégrée</w:t>
            </w:r>
          </w:p>
        </w:tc>
        <w:tc>
          <w:tcPr>
            <w:tcW w:type="dxa" w:w="3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Jeu des cartes-registres ; tâches « vrai ou faux » sur des figures partagées en parts inégales ; tracés sur quadrillage</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T4 – Fraction-opérateur</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3/5 de 2 400 = 4 000</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Absence de représentation de la situation</w:t>
            </w:r>
          </w:p>
        </w:tc>
        <w:tc>
          <w:tcPr>
            <w:tcW w:type="dxa" w:w="3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Partager une collection de 60 capsules en 5 lots égaux, prendre 3 lots ; schéma en barre ; question de contrôle : « la part peut-elle dépasser le tout ? »</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T5 – Simplification erronée</w:t>
            </w:r>
          </w:p>
        </w:tc>
        <w:tc>
          <w:tcPr>
            <w:tcW w:type="dxa" w:w="199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18/24 = 15/21</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Confusion entre égalité additive et égalité multiplicative</w:t>
            </w:r>
          </w:p>
        </w:tc>
        <w:tc>
          <w:tcPr>
            <w:tcW w:type="dxa" w:w="3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Vérifier sur le mur que 18/24 et 3/4 occupent la même longueur, mais pas 15/21 ; formuler la règle multiplicative</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pStyle w:val="Heading2"/>
        <w:keepNext/>
        <w:keepLines/>
      </w:pPr>
      <w:r>
        <w:rPr>
          <w:rFonts w:ascii="Times New Roman" w:cs="Times New Roman" w:eastAsia="Times New Roman" w:hAnsi="Times New Roman"/>
        </w:rPr>
        <w:t xml:space="preserve">5.7. L'atelier de formation des EPE à la double transposition</w:t>
      </w:r>
    </w:p>
    <w:p>
      <w:pPr>
        <w:spacing w:after="120" w:before="0" w:line="360"/>
        <w:ind w:firstLine="709"/>
        <w:jc w:val="both"/>
      </w:pPr>
      <w:r>
        <w:rPr>
          <w:rFonts w:ascii="Times New Roman" w:cs="Times New Roman" w:eastAsia="Times New Roman" w:hAnsi="Times New Roman"/>
        </w:rPr>
        <w:t xml:space="preserve">Les résultats ont montré que les EPE, y compris ceux qui maîtrisent les fractions, ne conçoivent pas de situations-problèmes, parce qu'ils n'en ont pas vécu en formation. Pour rompre ce cercle, nous avons conçu un atelier de formation de huit heures, organisé en quatre séances de deux heures, destiné aux EPE de première année à l'ENFPE. Il s'inspire de la stratégie de transposition décrite par Houdement et Kuzniak (1996) : les EPE vivent la démarche en tant qu'apprenants, puis l'analysent en tant que futurs enseignants.</w:t>
      </w:r>
    </w:p>
    <w:p>
      <w:pPr>
        <w:keepNext/>
        <w:keepLines/>
        <w:spacing w:after="80" w:before="160" w:line="276"/>
        <w:jc w:val="center"/>
      </w:pPr>
      <w:r>
        <w:rPr>
          <w:rFonts w:ascii="Times New Roman" w:cs="Times New Roman" w:eastAsia="Times New Roman" w:hAnsi="Times New Roman"/>
          <w:b/>
          <w:bCs/>
          <w:sz w:val="22"/>
          <w:szCs w:val="22"/>
        </w:rPr>
        <w:t xml:space="preserve">Tableau 46 : </w:t>
      </w:r>
      <w:r>
        <w:rPr>
          <w:rFonts w:ascii="Times New Roman" w:cs="Times New Roman" w:eastAsia="Times New Roman" w:hAnsi="Times New Roman"/>
          <w:b/>
          <w:bCs/>
          <w:sz w:val="22"/>
          <w:szCs w:val="22"/>
        </w:rPr>
        <w:t xml:space="preserve">Organisation de l'atelier de formation à la double transposition (8 heures)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3628"/>
        <w:gridCol w:w="2358"/>
        <w:gridCol w:w="1635"/>
      </w:tblGrid>
      <w:tr>
        <w:trPr>
          <w:cantSplit/>
          <w:tblHeader/>
        </w:trPr>
        <w:tc>
          <w:tcPr>
            <w:tcW w:type="dxa" w:w="145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Séance</w:t>
            </w:r>
          </w:p>
        </w:tc>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Contenu et activités</w:t>
            </w:r>
          </w:p>
        </w:tc>
        <w:tc>
          <w:tcPr>
            <w:tcW w:type="dxa" w:w="235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Production attendue</w:t>
            </w:r>
          </w:p>
        </w:tc>
        <w:tc>
          <w:tcPr>
            <w:tcW w:type="dxa" w:w="163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Posture de l'EPE</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 Vivre le conflit cognitif</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Les EPE résolvent, sans règle, des problèmes où leurs conceptions sont mises en défaut (comparer 1/7 et 1/5 ; calculer 2/3 + 1/4 ; les 3/5 de 2 400 F) puis les valident avec le kit</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Prise de conscience de ses propres conceptions ; notes de réflexion</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Apprenant</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 Analyser les erreurs des élèves</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Classement de productions d'élèves selon les types T1 à T5 ; recherche des causes ; choix d'une situation de remédiation</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Grille d'analyse d'erreurs complétée</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Analyste</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3. Concevoir une fiche P-M-R-S-R</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Conception en groupe d'une fiche sur une notion de la progression ; confection du matériel correspondant ; auto-analyse avec la grille du tableau 47</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Fiche pédagogique et matériel</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Concepteur</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4. Enseigner et analyser</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Micro-enseignement de 20 minutes par groupe devant les pairs ; entretien-conseil centré sur les phases P, M et R</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Fiche révisée ; plan de progrès individuel</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Enseignant réflexif</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spacing w:after="120" w:before="0" w:line="360"/>
        <w:ind w:firstLine="709"/>
        <w:jc w:val="both"/>
      </w:pPr>
      <w:r>
        <w:rPr>
          <w:rFonts w:ascii="Times New Roman" w:cs="Times New Roman" w:eastAsia="Times New Roman" w:hAnsi="Times New Roman"/>
        </w:rPr>
        <w:t xml:space="preserve">L'atelier s'intègre dans les séances ordinaires du champ mathématique et peut être conduit dans les salles polyvalentes, en groupes de cinq ou six EPE, ce qui répond à la contrainte des effectifs élevés soulignée par les formateurs. La séance 1 est déterminante : en faisant vivre aux EPE le conflit cognitif que provoque la bande-unité face à la réponse 3/7, elle transforme la manipulation, jusqu'ici connue comme un principe, en une expérience personnelle que l'EPE pourra ensuite reproduire avec ses élèves. L'organisation de l'atelier en quatre séances de deux heures tient compte du volume horaire limité : elle mobilise, sur un semestre, un temps comparable à celui qui est habituellement consacré aux leçons sur les fractions, mais en l'organisant autrement.</w:t>
      </w:r>
    </w:p>
    <w:p>
      <w:pPr>
        <w:pStyle w:val="Heading2"/>
        <w:keepNext/>
        <w:keepLines/>
      </w:pPr>
      <w:r>
        <w:rPr>
          <w:rFonts w:ascii="Times New Roman" w:cs="Times New Roman" w:eastAsia="Times New Roman" w:hAnsi="Times New Roman"/>
        </w:rPr>
        <w:t xml:space="preserve">5.8. La grille d'auto-analyse des fiches pédagogiques</w:t>
      </w:r>
    </w:p>
    <w:p>
      <w:pPr>
        <w:spacing w:after="120" w:before="0" w:line="360"/>
        <w:ind w:firstLine="709"/>
        <w:jc w:val="both"/>
      </w:pPr>
      <w:r>
        <w:rPr>
          <w:rFonts w:ascii="Times New Roman" w:cs="Times New Roman" w:eastAsia="Times New Roman" w:hAnsi="Times New Roman"/>
        </w:rPr>
        <w:t xml:space="preserve">Pour accompagner les EPE dans la conception de leurs fiches, nous proposons une grille d'auto-analyse dérivée de l'Outil 1 de notre étude et enrichie des principes de la démarche. Elle peut être utilisée par l'EPE avant de soumettre sa fiche, par le formateur lors des entretiens-conseils et par le maître d'accueil lors du suivi du stage.</w:t>
      </w:r>
    </w:p>
    <w:p>
      <w:pPr>
        <w:keepNext/>
        <w:keepLines/>
        <w:spacing w:after="80" w:before="160" w:line="276"/>
        <w:jc w:val="center"/>
      </w:pPr>
      <w:r>
        <w:rPr>
          <w:rFonts w:ascii="Times New Roman" w:cs="Times New Roman" w:eastAsia="Times New Roman" w:hAnsi="Times New Roman"/>
          <w:b/>
          <w:bCs/>
          <w:sz w:val="22"/>
          <w:szCs w:val="22"/>
        </w:rPr>
        <w:t xml:space="preserve">Tableau 47 : </w:t>
      </w:r>
      <w:r>
        <w:rPr>
          <w:rFonts w:ascii="Times New Roman" w:cs="Times New Roman" w:eastAsia="Times New Roman" w:hAnsi="Times New Roman"/>
          <w:b/>
          <w:bCs/>
          <w:sz w:val="22"/>
          <w:szCs w:val="22"/>
        </w:rPr>
        <w:t xml:space="preserve">Grille d'auto-analyse d'une fiche pédagogique sur les fractions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261"/>
        <w:gridCol w:w="1270"/>
        <w:gridCol w:w="1270"/>
        <w:gridCol w:w="1271"/>
      </w:tblGrid>
      <w:tr>
        <w:trPr>
          <w:cantSplit/>
          <w:tblHeader/>
        </w:trPr>
        <w:tc>
          <w:tcPr>
            <w:tcW w:type="dxa" w:w="526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Question d'auto-analyse</w:t>
            </w:r>
          </w:p>
        </w:tc>
        <w:tc>
          <w:tcPr>
            <w:tcW w:type="dxa" w:w="127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Oui</w:t>
            </w:r>
          </w:p>
        </w:tc>
        <w:tc>
          <w:tcPr>
            <w:tcW w:type="dxa" w:w="127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En partie</w:t>
            </w:r>
          </w:p>
        </w:tc>
        <w:tc>
          <w:tcPr>
            <w:tcW w:type="dxa" w:w="127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Non</w:t>
            </w:r>
          </w:p>
        </w:tc>
      </w:tr>
      <w:tr>
        <w:trPr>
          <w:cantSplit/>
          <w:tblHeader w:val="false"/>
        </w:trPr>
        <w:tc>
          <w:tcPr>
            <w:tcW w:type="dxa" w:w="52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 Ma séance commence-t-elle par un problème que les élèves ne peuvent pas résoudre avec les seuls nombres entiers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 Les élèves manipulent-ils eux-mêmes du matériel (et non le maître seul)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3. Ai-je prévu le passage du matériel au dessin, puis du dessin à l'écriture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4. Ai-je prévu les erreurs typiques (T1 à T5) et la manière de les exploiter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5. La règle est-elle institutionnalisée après avoir été validée par le matériel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6. Mes définitions, écritures et exemples sont-ils mathématiquement exacts (parts égales)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7. Les élèves disposent-ils d'un moyen de contrôler la vraisemblance de leurs résultats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8. Ma séance comporte-t-elle un problème de réinvestissement dans un contexte nouveau ?</w:t>
            </w: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bl>
    <w:p>
      <w:pPr>
        <w:spacing w:after="200" w:before="60" w:line="240"/>
        <w:jc w:val="left"/>
      </w:pPr>
      <w:r>
        <w:rPr>
          <w:rFonts w:ascii="Times New Roman" w:cs="Times New Roman" w:eastAsia="Times New Roman" w:hAnsi="Times New Roman"/>
          <w:i/>
          <w:iCs/>
          <w:sz w:val="20"/>
          <w:szCs w:val="20"/>
        </w:rPr>
        <w:t xml:space="preserve">Source : Notre construction, 2026, à partir de l'Outil 1.</w:t>
      </w:r>
    </w:p>
    <w:p>
      <w:pPr>
        <w:pStyle w:val="Heading2"/>
        <w:keepNext/>
        <w:keepLines/>
      </w:pPr>
      <w:r>
        <w:rPr>
          <w:rFonts w:ascii="Times New Roman" w:cs="Times New Roman" w:eastAsia="Times New Roman" w:hAnsi="Times New Roman"/>
        </w:rPr>
        <w:t xml:space="preserve">5.9. La fiche d'observation pour l'accompagnement des stagiaires</w:t>
      </w:r>
    </w:p>
    <w:p>
      <w:pPr>
        <w:spacing w:after="120" w:before="0" w:line="360"/>
        <w:ind w:firstLine="709"/>
        <w:jc w:val="both"/>
      </w:pPr>
      <w:r>
        <w:rPr>
          <w:rFonts w:ascii="Times New Roman" w:cs="Times New Roman" w:eastAsia="Times New Roman" w:hAnsi="Times New Roman"/>
        </w:rPr>
        <w:t xml:space="preserve">Les entretiens ont montré que l'accompagnement didactique des stagiaires par les maîtres d'accueil porte davantage sur la discipline de la classe et sur la tenue du cahier de préparation que sur la manière d'enseigner les notions. Pour outiller cet accompagnement, nous proposons une fiche d'observation centrée sur les phases de la démarche. Elle est conçue pour être remplie en une seule séance par un maître d'accueil ou par un formateur en visite, et pour servir de support à un entretien-conseil de quinze minutes.</w:t>
      </w:r>
    </w:p>
    <w:p>
      <w:pPr>
        <w:keepNext/>
        <w:keepLines/>
        <w:spacing w:after="80" w:before="160" w:line="276"/>
        <w:jc w:val="center"/>
      </w:pPr>
      <w:r>
        <w:rPr>
          <w:rFonts w:ascii="Times New Roman" w:cs="Times New Roman" w:eastAsia="Times New Roman" w:hAnsi="Times New Roman"/>
          <w:b/>
          <w:bCs/>
          <w:sz w:val="22"/>
          <w:szCs w:val="22"/>
        </w:rPr>
        <w:t xml:space="preserve">Tableau 48 : </w:t>
      </w:r>
      <w:r>
        <w:rPr>
          <w:rFonts w:ascii="Times New Roman" w:cs="Times New Roman" w:eastAsia="Times New Roman" w:hAnsi="Times New Roman"/>
          <w:b/>
          <w:bCs/>
          <w:sz w:val="22"/>
          <w:szCs w:val="22"/>
        </w:rPr>
        <w:t xml:space="preserve">Fiche d'observation d'une séance sur les fractions (accompagnement du stagiaire)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2"/>
        <w:gridCol w:w="4173"/>
        <w:gridCol w:w="1632"/>
        <w:gridCol w:w="1635"/>
      </w:tblGrid>
      <w:tr>
        <w:trPr>
          <w:cantSplit/>
          <w:tblHeader/>
        </w:trPr>
        <w:tc>
          <w:tcPr>
            <w:tcW w:type="dxa" w:w="163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Phase observée</w:t>
            </w:r>
          </w:p>
        </w:tc>
        <w:tc>
          <w:tcPr>
            <w:tcW w:type="dxa" w:w="417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Indicateurs à observer</w:t>
            </w:r>
          </w:p>
        </w:tc>
        <w:tc>
          <w:tcPr>
            <w:tcW w:type="dxa" w:w="163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Observé</w:t>
            </w:r>
          </w:p>
        </w:tc>
        <w:tc>
          <w:tcPr>
            <w:tcW w:type="dxa" w:w="1635"/>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Conseil à formuler</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 – Problématiser</w:t>
            </w:r>
          </w:p>
        </w:tc>
        <w:tc>
          <w:tcPr>
            <w:tcW w:type="dxa" w:w="41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Un problème est posé avant toute définition ; les élèves cherchent avant que le maître ne donne la solution</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Oui / Non</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r>
        <w:trPr>
          <w:cantSplit/>
          <w:tblHeader w:val="false"/>
        </w:trPr>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 – Manipuler</w:t>
            </w:r>
          </w:p>
        </w:tc>
        <w:tc>
          <w:tcPr>
            <w:tcW w:type="dxa" w:w="41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Chaque groupe dispose de matériel ; ce sont les élèves qui manipulent ; les parts sont égales</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Oui / Non</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r>
        <w:trPr>
          <w:cantSplit/>
          <w:tblHeader w:val="false"/>
        </w:trPr>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 – Représenter</w:t>
            </w:r>
          </w:p>
        </w:tc>
        <w:tc>
          <w:tcPr>
            <w:tcW w:type="dxa" w:w="41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Les élèves dessinent ; les productions sont confrontées au tableau ; les erreurs sont discutées</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Oui / Non</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r>
        <w:trPr>
          <w:cantSplit/>
          <w:tblHeader w:val="false"/>
        </w:trPr>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 – Symboliser</w:t>
            </w:r>
          </w:p>
        </w:tc>
        <w:tc>
          <w:tcPr>
            <w:tcW w:type="dxa" w:w="41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La règle est formulée après la manipulation ; le lien entre matériel, schéma et écriture est explicité</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Oui / Non</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r>
        <w:trPr>
          <w:cantSplit/>
          <w:tblHeader w:val="false"/>
        </w:trPr>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 – Réinvestir</w:t>
            </w:r>
          </w:p>
        </w:tc>
        <w:tc>
          <w:tcPr>
            <w:tcW w:type="dxa" w:w="41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Les élèves travaillent seuls ; ils contrôlent la vraisemblance ; les erreurs persistantes sont relevées</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Oui / Non</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r>
        <w:trPr>
          <w:cantSplit/>
          <w:tblHeader w:val="false"/>
        </w:trPr>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Gestion de la classe</w:t>
            </w:r>
          </w:p>
        </w:tc>
        <w:tc>
          <w:tcPr>
            <w:tcW w:type="dxa" w:w="41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Rôles dans les groupes ; circulation positive ; respect du temps prévu pour chaque phase</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Oui / Non</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spacing w:after="120" w:before="0" w:line="360"/>
        <w:ind w:firstLine="709"/>
        <w:jc w:val="both"/>
      </w:pPr>
      <w:r>
        <w:rPr>
          <w:rFonts w:ascii="Times New Roman" w:cs="Times New Roman" w:eastAsia="Times New Roman" w:hAnsi="Times New Roman"/>
        </w:rPr>
        <w:t xml:space="preserve">L'entretien-conseil qui suit l'observation porte sur une seule phase jugée prioritaire, afin de fixer au stagiaire un objectif de progrès précis pour la séance suivante. Cette focalisation, que nous avons expérimentée lors du suivi des douze EPE à l'EPP Zongo et à l'EPP Kpota Groupe E, rend l'accompagnement réalisable par des maîtres d'accueil chargés de classes à effectifs élevés.</w:t>
      </w:r>
    </w:p>
    <w:p>
      <w:pPr>
        <w:pStyle w:val="Heading2"/>
        <w:keepNext/>
        <w:keepLines/>
      </w:pPr>
      <w:r>
        <w:rPr>
          <w:rFonts w:ascii="Times New Roman" w:cs="Times New Roman" w:eastAsia="Times New Roman" w:hAnsi="Times New Roman"/>
        </w:rPr>
        <w:t xml:space="preserve">5.10. Planification de la mise en œuvre</w:t>
      </w:r>
    </w:p>
    <w:p>
      <w:pPr>
        <w:spacing w:after="120" w:before="0" w:line="360"/>
        <w:ind w:firstLine="709"/>
        <w:jc w:val="both"/>
      </w:pPr>
      <w:r>
        <w:rPr>
          <w:rFonts w:ascii="Times New Roman" w:cs="Times New Roman" w:eastAsia="Times New Roman" w:hAnsi="Times New Roman"/>
        </w:rPr>
        <w:t xml:space="preserve">La mise en œuvre de la contribution s'inscrit dans le calendrier de la formation, comme le montre le tableau 49.</w:t>
      </w:r>
    </w:p>
    <w:p>
      <w:pPr>
        <w:keepNext/>
        <w:keepLines/>
        <w:spacing w:after="80" w:before="160" w:line="276"/>
        <w:jc w:val="center"/>
      </w:pPr>
      <w:r>
        <w:rPr>
          <w:rFonts w:ascii="Times New Roman" w:cs="Times New Roman" w:eastAsia="Times New Roman" w:hAnsi="Times New Roman"/>
          <w:b/>
          <w:bCs/>
          <w:sz w:val="22"/>
          <w:szCs w:val="22"/>
        </w:rPr>
        <w:t xml:space="preserve">Tableau 49 : </w:t>
      </w:r>
      <w:r>
        <w:rPr>
          <w:rFonts w:ascii="Times New Roman" w:cs="Times New Roman" w:eastAsia="Times New Roman" w:hAnsi="Times New Roman"/>
          <w:b/>
          <w:bCs/>
          <w:sz w:val="22"/>
          <w:szCs w:val="22"/>
        </w:rPr>
        <w:t xml:space="preserve">Planification de la mise en œuvre de la contribution sur un cycle de formation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77"/>
        <w:gridCol w:w="4173"/>
        <w:gridCol w:w="2722"/>
      </w:tblGrid>
      <w:tr>
        <w:trPr>
          <w:cantSplit/>
          <w:tblHeader/>
        </w:trPr>
        <w:tc>
          <w:tcPr>
            <w:tcW w:type="dxa" w:w="217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Période</w:t>
            </w:r>
          </w:p>
        </w:tc>
        <w:tc>
          <w:tcPr>
            <w:tcW w:type="dxa" w:w="417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Action</w:t>
            </w:r>
          </w:p>
        </w:tc>
        <w:tc>
          <w:tcPr>
            <w:tcW w:type="dxa" w:w="272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Acteurs</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Semestre 1 (1re année)</w:t>
            </w:r>
          </w:p>
        </w:tc>
        <w:tc>
          <w:tcPr>
            <w:tcW w:type="dxa" w:w="41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Évaluation diagnostique des EPE sur les fractions à l'aide de l'Outil 2 ; constitution des groupes de remédiation</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Formateurs du champ mathématique</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Semestre 2 (1re année)</w:t>
            </w:r>
          </w:p>
        </w:tc>
        <w:tc>
          <w:tcPr>
            <w:tcW w:type="dxa" w:w="41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Atelier de formation à la double transposition (4 séances de 2 heures) ; confection du kit de matériel par les EPE</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Formateurs, EPE</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Semestre 3 (2e année)</w:t>
            </w:r>
          </w:p>
        </w:tc>
        <w:tc>
          <w:tcPr>
            <w:tcW w:type="dxa" w:w="41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Leçons d'essai sur les fractions conçues selon la démarche P-M-R-S-R ; auto-analyse des fiches avec la grille</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EPE, formateurs, pairs</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Semestre 4 (stage en responsabilité)</w:t>
            </w:r>
          </w:p>
        </w:tc>
        <w:tc>
          <w:tcPr>
            <w:tcW w:type="dxa" w:w="41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Enseignement des fractions dans les classes d'accueil ; observation avec la fiche d'accompagnement ; entretiens-conseils ciblés</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EPE, maîtres d'accueil, formateurs</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Fin du cycle</w:t>
            </w:r>
          </w:p>
        </w:tc>
        <w:tc>
          <w:tcPr>
            <w:tcW w:type="dxa" w:w="417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Évaluation de la contribution à l'aide des indicateurs du tableau 50</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Formateurs, direction des études</w:t>
            </w:r>
          </w:p>
        </w:tc>
      </w:tr>
    </w:tbl>
    <w:p>
      <w:pPr>
        <w:spacing w:after="200" w:before="60" w:line="240"/>
        <w:jc w:val="left"/>
      </w:pPr>
      <w:r>
        <w:rPr>
          <w:rFonts w:ascii="Times New Roman" w:cs="Times New Roman" w:eastAsia="Times New Roman" w:hAnsi="Times New Roman"/>
          <w:i/>
          <w:iCs/>
          <w:sz w:val="20"/>
          <w:szCs w:val="20"/>
        </w:rPr>
        <w:t xml:space="preserve">Source : Notre construction, 2026.</w:t>
      </w:r>
    </w:p>
    <w:p>
      <w:pPr>
        <w:pStyle w:val="Heading2"/>
        <w:keepNext/>
        <w:keepLines/>
      </w:pPr>
      <w:r>
        <w:rPr>
          <w:rFonts w:ascii="Times New Roman" w:cs="Times New Roman" w:eastAsia="Times New Roman" w:hAnsi="Times New Roman"/>
        </w:rPr>
        <w:t xml:space="preserve">5.11. Conditions de mise en œuvre et évaluation de la contribution</w:t>
      </w:r>
    </w:p>
    <w:p>
      <w:pPr>
        <w:spacing w:after="120" w:before="0" w:line="360"/>
        <w:ind w:firstLine="709"/>
        <w:jc w:val="both"/>
      </w:pPr>
      <w:r>
        <w:rPr>
          <w:rFonts w:ascii="Times New Roman" w:cs="Times New Roman" w:eastAsia="Times New Roman" w:hAnsi="Times New Roman"/>
        </w:rPr>
        <w:t xml:space="preserve">La mise en œuvre de la démarche ne requiert pas de moyens financiers importants : le kit peut être confectionné par les EPE eux-mêmes lors de la séance 3 de l'atelier, à partir de carton et de papier de récupération. Elle suppose en revanche une réorganisation du temps de formation consacré aux fractions et une appropriation de la démarche par les formateurs du champ mathématique, qui peuvent s'appuyer sur les fiches modèles présentées ici.</w:t>
      </w:r>
    </w:p>
    <w:p>
      <w:pPr>
        <w:spacing w:after="120" w:before="0" w:line="360"/>
        <w:ind w:firstLine="709"/>
        <w:jc w:val="both"/>
      </w:pPr>
      <w:r>
        <w:rPr>
          <w:rFonts w:ascii="Times New Roman" w:cs="Times New Roman" w:eastAsia="Times New Roman" w:hAnsi="Times New Roman"/>
        </w:rPr>
        <w:t xml:space="preserve">L'efficacité de la contribution peut être évaluée à l'aide des outils mêmes de notre étude, ce qui permet une comparaison avant et après sa mise en œuvre. Le tableau 50 présente les indicateurs proposés.</w:t>
      </w:r>
    </w:p>
    <w:p>
      <w:pPr>
        <w:keepNext/>
        <w:keepLines/>
        <w:spacing w:after="80" w:before="160" w:line="276"/>
        <w:jc w:val="center"/>
      </w:pPr>
      <w:r>
        <w:rPr>
          <w:rFonts w:ascii="Times New Roman" w:cs="Times New Roman" w:eastAsia="Times New Roman" w:hAnsi="Times New Roman"/>
          <w:b/>
          <w:bCs/>
          <w:sz w:val="22"/>
          <w:szCs w:val="22"/>
        </w:rPr>
        <w:t xml:space="preserve">Tableau 50 : </w:t>
      </w:r>
      <w:r>
        <w:rPr>
          <w:rFonts w:ascii="Times New Roman" w:cs="Times New Roman" w:eastAsia="Times New Roman" w:hAnsi="Times New Roman"/>
          <w:b/>
          <w:bCs/>
          <w:sz w:val="22"/>
          <w:szCs w:val="22"/>
        </w:rPr>
        <w:t xml:space="preserve">Indicateurs d'évaluation de la contribution professionnelle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8"/>
        <w:gridCol w:w="2721"/>
        <w:gridCol w:w="2723"/>
      </w:tblGrid>
      <w:tr>
        <w:trPr>
          <w:cantSplit/>
          <w:tblHeader/>
        </w:trPr>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Indicateur</w:t>
            </w:r>
          </w:p>
        </w:tc>
        <w:tc>
          <w:tcPr>
            <w:tcW w:type="dxa" w:w="272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Situation de référence (présente étude)</w:t>
            </w:r>
          </w:p>
        </w:tc>
        <w:tc>
          <w:tcPr>
            <w:tcW w:type="dxa" w:w="272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Outil de mesure</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Taux de validation de la Notion B</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64 % (population : 64,15 %)</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Analyse notionnelle ; Outil 2</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Copies présentant une erreur de type T1, T2 ou T3</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71 %</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2</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Fiches introduisant la notion par une situation-problème (C1 ≥ 1)</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31 %</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1</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Fiches prévoyant une manipulation par les élèves</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26 %</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1</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Score moyen des fiches</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3,25 / 8</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1</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EPE se sentant pleinement préparés à enseigner les fractions</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15 %</w:t>
            </w:r>
          </w:p>
        </w:tc>
        <w:tc>
          <w:tcPr>
            <w:tcW w:type="dxa" w:w="272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Outil 3</w:t>
            </w:r>
          </w:p>
        </w:tc>
      </w:tr>
    </w:tbl>
    <w:p>
      <w:pPr>
        <w:spacing w:after="200" w:before="60" w:line="240"/>
        <w:jc w:val="left"/>
      </w:pPr>
      <w:r>
        <w:rPr>
          <w:rFonts w:ascii="Times New Roman" w:cs="Times New Roman" w:eastAsia="Times New Roman" w:hAnsi="Times New Roman"/>
          <w:i/>
          <w:iCs/>
          <w:sz w:val="20"/>
          <w:szCs w:val="20"/>
        </w:rPr>
        <w:t xml:space="preserve">Source : Notre enquête, 2026.</w:t>
      </w:r>
    </w:p>
    <w:p>
      <w:pPr>
        <w:spacing w:after="120" w:before="0" w:line="360"/>
        <w:ind w:firstLine="709"/>
        <w:jc w:val="both"/>
      </w:pPr>
      <w:r>
        <w:rPr>
          <w:rFonts w:ascii="Times New Roman" w:cs="Times New Roman" w:eastAsia="Times New Roman" w:hAnsi="Times New Roman"/>
        </w:rPr>
        <w:t xml:space="preserve">Cette évaluation pourrait être conduite auprès de la Promotion 4, actuellement en formation, en appliquant la démarche et l'atelier au cours de sa deuxième année et en comparant ses résultats à ceux de la Promotion 3.</w:t>
      </w:r>
    </w:p>
    <w:p>
      <w:pPr>
        <w:pStyle w:val="Heading2"/>
        <w:keepNext/>
        <w:keepLines/>
      </w:pPr>
      <w:r>
        <w:rPr>
          <w:rFonts w:ascii="Times New Roman" w:cs="Times New Roman" w:eastAsia="Times New Roman" w:hAnsi="Times New Roman"/>
        </w:rPr>
        <w:t xml:space="preserve">Conclusion</w:t>
      </w:r>
    </w:p>
    <w:p>
      <w:pPr>
        <w:spacing w:after="120" w:before="0" w:line="360"/>
        <w:ind w:firstLine="709"/>
        <w:jc w:val="both"/>
      </w:pPr>
      <w:r>
        <w:rPr>
          <w:rFonts w:ascii="Times New Roman" w:cs="Times New Roman" w:eastAsia="Times New Roman" w:hAnsi="Times New Roman"/>
        </w:rPr>
        <w:t xml:space="preserve">Ce cinquième chapitre a présenté notre contribution professionnelle à l'enseignement des fractions au primaire et à la formation des EPE. La démarche P-M-R-S-R traduit en pratique les apports du cadre théorique et répond point par point aux difficultés mises en évidence par l'étude : elle fait naître la fraction d'un problème, la fait construire par la manipulation, organise la conversion entre registres, n'institutionnalise la règle qu'après sa validation et exploite les erreurs typiques. Le kit de matériel local, la progression du CE1 au CM2, les trois fiches modèles, le dispositif de remédiation, l'atelier de formation, la grille d'auto-analyse et la fiche d'observation des stagiaires en constituent les outils opérationnels. Ensemble, ils visent à rompre le cercle de reproduction des obstacles et à former des enseignants capables de faire comprendre les fractions, et non seulement d'en faire appliquer les règles.</w:t>
      </w:r>
    </w:p>
    <w:p>
      <w:pPr>
        <w:pStyle w:val="Heading1"/>
        <w:keepNext/>
        <w:keepLines/>
        <w:pageBreakBefore/>
      </w:pPr>
      <w:r>
        <w:rPr>
          <w:rFonts w:ascii="Times New Roman" w:cs="Times New Roman" w:eastAsia="Times New Roman" w:hAnsi="Times New Roman"/>
        </w:rPr>
        <w:t xml:space="preserve">CONCLUSION GÉNÉRALE</w:t>
      </w:r>
    </w:p>
    <w:p>
      <w:pPr>
        <w:spacing w:after="120" w:before="0" w:line="360"/>
        <w:ind w:firstLine="709"/>
        <w:jc w:val="both"/>
      </w:pPr>
      <w:r>
        <w:rPr>
          <w:rFonts w:ascii="Times New Roman" w:cs="Times New Roman" w:eastAsia="Times New Roman" w:hAnsi="Times New Roman"/>
        </w:rPr>
        <w:t xml:space="preserve">Au terme de ce travail, il convient de rappeler la démarche suivie, d'en dégager les principaux résultats et apports, d'en reconnaître les limites et d'en esquisser les perspectives.</w:t>
      </w:r>
    </w:p>
    <w:p>
      <w:pPr>
        <w:spacing w:after="120" w:before="0" w:line="360"/>
        <w:ind w:firstLine="709"/>
        <w:jc w:val="both"/>
      </w:pPr>
      <w:r>
        <w:rPr>
          <w:rFonts w:ascii="Times New Roman" w:cs="Times New Roman" w:eastAsia="Times New Roman" w:hAnsi="Times New Roman"/>
        </w:rPr>
        <w:t xml:space="preserve">Ce mémoire professionnel est né de notre stage en responsabilité à l'École Normale de Formation des Professeurs d'École de Notsè. Le premier chapitre a rendu compte de ce stage : l'observation des professeurs titulaires, la prise en charge de la classe GC3, la co-conception des fiches, l'analyse notionnelle des résultats, le suivi de douze élèves-professeurs à l'EPP Zongo et à l'EPP Kpota Groupe E et la participation aux jurys ont constitué autant d'occasions de professionnalisation, dont nous avons dégagé les acquis pédagogiques, didactiques, évaluatifs et réflexifs. Parmi les difficultés rencontrées, l'une a retenu notre attention : à l'exercice consacré aux fractions, 35,85 % des 385 EPE de la Promotion 3 n'avaient pas validé la notion.</w:t>
      </w:r>
    </w:p>
    <w:p>
      <w:pPr>
        <w:spacing w:after="120" w:before="0" w:line="360"/>
        <w:ind w:firstLine="709"/>
        <w:jc w:val="both"/>
      </w:pPr>
      <w:r>
        <w:rPr>
          <w:rFonts w:ascii="Times New Roman" w:cs="Times New Roman" w:eastAsia="Times New Roman" w:hAnsi="Times New Roman"/>
        </w:rPr>
        <w:t xml:space="preserve">Le deuxième chapitre a problématisé ce constat et posé la question centrale : quels facteurs expliquent les difficultés des EPE de l'ENFPE de Notsè dans l'enseignement des fractions au primaire ? Nous avons fait l'hypothèse que ces difficultés résultent de la conjonction d'une maîtrise conceptuelle fragile, de pratiques de préparation peu fondées sur la manipulation et les situations-problèmes, et d'insuffisances du dispositif de formation et d'encadrement. Le troisième chapitre a inscrit cette problématique dans la littérature et dans un cadre théorique articulant l'obstacle épistémologique, la Théorie des Situations Didactiques, la dialectique outil-objet, les registres de représentation sémiotique et la double transposition didactique. Il a présenté une démarche méthodologique mixte, conduite auprès de 100 EPE tirés au hasard et de 4 formateurs, à l'aide de trois outils : une grille d'analyse des copies, une grille d'analyse des fiches pédagogiques et un guide d'entretien.</w:t>
      </w:r>
    </w:p>
    <w:p>
      <w:pPr>
        <w:spacing w:after="120" w:before="0" w:line="360"/>
        <w:ind w:firstLine="709"/>
        <w:jc w:val="both"/>
      </w:pPr>
      <w:r>
        <w:rPr>
          <w:rFonts w:ascii="Times New Roman" w:cs="Times New Roman" w:eastAsia="Times New Roman" w:hAnsi="Times New Roman"/>
        </w:rPr>
        <w:t xml:space="preserve">Les résultats, présentés au quatrième chapitre, sont nets. Sur le plan conceptuel, 71 % des copies présentent au moins une erreur liée à un obstacle épistémologique ou sémiotique ; l'addition terme à terme des numérateurs et des dénominateurs (47 %) et l'interférence du modèle des entiers (42 %) dominent, et seuls 18 % des EPE réussissent complètement l'addition de fractions de dénominateurs différents. Le niveau de maîtrise est significativement lié à la série du baccalauréat, mais non au sexe. Sur le plan des pratiques, 69 % des fiches introduisent la fraction par une définition, 74 % ne prévoient aucune manipulation et 57 % sont de qualité insuffisante ; surtout, l'absence de situation-problème s'observe quel que soit le niveau de maîtrise des EPE. Sur le plan institutionnel, les formateurs et les EPE mettent en cause le volume horaire et une formation qui montre la manipulation plus qu'elle ne la fait vivre. Les hypothèses HS1 et HS2 sont confirmées, l'hypothèse HS3 est partiellement confirmée et l'hypothèse principale l'est à un degré élevé.</w:t>
      </w:r>
    </w:p>
    <w:p>
      <w:pPr>
        <w:spacing w:after="120" w:before="0" w:line="360"/>
        <w:ind w:firstLine="709"/>
        <w:jc w:val="both"/>
      </w:pPr>
      <w:r>
        <w:rPr>
          <w:rFonts w:ascii="Times New Roman" w:cs="Times New Roman" w:eastAsia="Times New Roman" w:hAnsi="Times New Roman"/>
        </w:rPr>
        <w:t xml:space="preserve">En réponse à ces résultats, le cinquième chapitre a présenté notre contribution professionnelle : la démarche P-M-R-S-R (Problématiser, Manipuler, Représenter, Symboliser, Réinvestir), accompagnée d'un kit de matériel local, d'une progression du CE1 au CM2, de fiches pédagogiques modèles, d'un dispositif de remédiation des erreurs typiques, d'un atelier de formation des EPE à la double transposition et d'une grille d'auto-analyse des fiches. L'apport principal de ce travail réside dans la mise en évidence d'un cercle de reproduction des obstacles, et dans la proposition d'outils conçus pour le rompre, en faisant vivre aux futurs enseignants les situations qu'ils devront faire vivre à leurs élèves.</w:t>
      </w:r>
    </w:p>
    <w:p>
      <w:pPr>
        <w:spacing w:after="120" w:before="0" w:line="360"/>
        <w:ind w:firstLine="709"/>
        <w:jc w:val="both"/>
      </w:pPr>
      <w:r>
        <w:rPr>
          <w:rFonts w:ascii="Times New Roman" w:cs="Times New Roman" w:eastAsia="Times New Roman" w:hAnsi="Times New Roman"/>
        </w:rPr>
        <w:t xml:space="preserve">Ce travail comporte néanmoins des limites. L'analyse des pratiques repose sur les fiches de préparation et sur le discours des acteurs, et non sur l'observation systématique des séances en classe, que le calendrier de fin de formation n'a pas permis. L'étude porte sur une seule promotion d'une seule ENFPE et sur un exercice qui ne couvre pas l'ensemble des facettes de la fraction. Enfin, la démarche proposée n'a pas encore fait l'objet d'une expérimentation contrôlée.</w:t>
      </w:r>
    </w:p>
    <w:p>
      <w:pPr>
        <w:spacing w:after="120" w:before="0" w:line="360"/>
        <w:ind w:firstLine="709"/>
        <w:jc w:val="both"/>
      </w:pPr>
      <w:r>
        <w:rPr>
          <w:rFonts w:ascii="Times New Roman" w:cs="Times New Roman" w:eastAsia="Times New Roman" w:hAnsi="Times New Roman"/>
        </w:rPr>
        <w:t xml:space="preserve">Ces limites ouvrent des perspectives. Il serait utile d'expérimenter la démarche P-M-R-S-R et l'atelier de formation auprès de la Promotion 4, en mesurant leurs effets à l'aide des indicateurs proposés, puis de suivre les EPE diplômés dans leurs premières années d'exercice afin d'observer leurs pratiques effectives et les acquis de leurs élèves. Il serait également pertinent d'étendre l'étude à d'autres ENFPE du Togo et à d'autres notions mathématiques résistantes, comme les nombres décimaux et la proportionnalité. En définitive, ce mémoire rappelle que la qualité de l'enseignement des mathématiques à l'école primaire se prépare dans les écoles normales : c'est en permettant aux futurs maîtres de comprendre eux-mêmes les fractions, et d'apprendre à les faire comprendre, que l'on pourra durablement réconcilier les élèves avec le sens des nombres.</w:t>
      </w:r>
    </w:p>
    <w:p>
      <w:pPr>
        <w:pStyle w:val="Heading1"/>
        <w:keepNext/>
        <w:keepLines/>
        <w:pageBreakBefore/>
      </w:pPr>
      <w:r>
        <w:rPr>
          <w:rFonts w:ascii="Times New Roman" w:cs="Times New Roman" w:eastAsia="Times New Roman" w:hAnsi="Times New Roman"/>
        </w:rPr>
        <w:t xml:space="preserve">RÉFÉRENCES BIBLIOGRAPHIQUES</w:t>
      </w:r>
    </w:p>
    <w:p>
      <w:pPr>
        <w:pStyle w:val="Heading2"/>
        <w:keepNext/>
        <w:keepLines/>
      </w:pPr>
      <w:r>
        <w:rPr>
          <w:rFonts w:ascii="Times New Roman" w:cs="Times New Roman" w:eastAsia="Times New Roman" w:hAnsi="Times New Roman"/>
        </w:rPr>
        <w:t xml:space="preserve">Ouvrages, articles et rapports</w:t>
      </w:r>
    </w:p>
    <w:p>
      <w:pPr>
        <w:spacing w:after="140" w:before="0" w:line="276"/>
        <w:ind w:left="709" w:hanging="709"/>
        <w:jc w:val="left"/>
      </w:pPr>
      <w:r>
        <w:rPr>
          <w:rFonts w:ascii="Times New Roman" w:cs="Times New Roman" w:eastAsia="Times New Roman" w:hAnsi="Times New Roman"/>
        </w:rPr>
        <w:t xml:space="preserve">Altet, M. (1994). </w:t>
      </w:r>
      <w:r>
        <w:rPr>
          <w:rFonts w:ascii="Times New Roman" w:cs="Times New Roman" w:eastAsia="Times New Roman" w:hAnsi="Times New Roman"/>
          <w:i/>
          <w:iCs/>
        </w:rPr>
        <w:t xml:space="preserve">La formation professionnelle des enseignants : analyse des pratiques et situations pédagogiques</w:t>
      </w:r>
      <w:r>
        <w:rPr>
          <w:rFonts w:ascii="Times New Roman" w:cs="Times New Roman" w:eastAsia="Times New Roman" w:hAnsi="Times New Roman"/>
        </w:rPr>
        <w:t xml:space="preserve">. Presses Universitaires de France.</w:t>
      </w:r>
    </w:p>
    <w:p>
      <w:pPr>
        <w:spacing w:after="140" w:before="0" w:line="276"/>
        <w:ind w:left="709" w:hanging="709"/>
        <w:jc w:val="left"/>
      </w:pPr>
      <w:r>
        <w:rPr>
          <w:rFonts w:ascii="Times New Roman" w:cs="Times New Roman" w:eastAsia="Times New Roman" w:hAnsi="Times New Roman"/>
        </w:rPr>
        <w:t xml:space="preserve">Astolfi, J.-P. (1997). </w:t>
      </w:r>
      <w:r>
        <w:rPr>
          <w:rFonts w:ascii="Times New Roman" w:cs="Times New Roman" w:eastAsia="Times New Roman" w:hAnsi="Times New Roman"/>
          <w:i/>
          <w:iCs/>
        </w:rPr>
        <w:t xml:space="preserve">L'erreur, un outil pour enseigner</w:t>
      </w:r>
      <w:r>
        <w:rPr>
          <w:rFonts w:ascii="Times New Roman" w:cs="Times New Roman" w:eastAsia="Times New Roman" w:hAnsi="Times New Roman"/>
        </w:rPr>
        <w:t xml:space="preserve">. ESF.</w:t>
      </w:r>
    </w:p>
    <w:p>
      <w:pPr>
        <w:spacing w:after="140" w:before="0" w:line="276"/>
        <w:ind w:left="709" w:hanging="709"/>
        <w:jc w:val="left"/>
      </w:pPr>
      <w:r>
        <w:rPr>
          <w:rFonts w:ascii="Times New Roman" w:cs="Times New Roman" w:eastAsia="Times New Roman" w:hAnsi="Times New Roman"/>
        </w:rPr>
        <w:t xml:space="preserve">Bachelard, G. (1938). </w:t>
      </w:r>
      <w:r>
        <w:rPr>
          <w:rFonts w:ascii="Times New Roman" w:cs="Times New Roman" w:eastAsia="Times New Roman" w:hAnsi="Times New Roman"/>
          <w:i/>
          <w:iCs/>
        </w:rPr>
        <w:t xml:space="preserve">La formation de l'esprit scientifique : contribution à une psychanalyse de la connaissance objective</w:t>
      </w:r>
      <w:r>
        <w:rPr>
          <w:rFonts w:ascii="Times New Roman" w:cs="Times New Roman" w:eastAsia="Times New Roman" w:hAnsi="Times New Roman"/>
        </w:rPr>
        <w:t xml:space="preserve">. Vrin.</w:t>
      </w:r>
    </w:p>
    <w:p>
      <w:pPr>
        <w:spacing w:after="140" w:before="0" w:line="276"/>
        <w:ind w:left="709" w:hanging="709"/>
        <w:jc w:val="left"/>
      </w:pPr>
      <w:r>
        <w:rPr>
          <w:rFonts w:ascii="Times New Roman" w:cs="Times New Roman" w:eastAsia="Times New Roman" w:hAnsi="Times New Roman"/>
        </w:rPr>
        <w:t xml:space="preserve">Ball, D. L., Thames, M. H., &amp; Phelps, G. (2008). Content knowledge for teaching: What makes it special? </w:t>
      </w:r>
      <w:r>
        <w:rPr>
          <w:rFonts w:ascii="Times New Roman" w:cs="Times New Roman" w:eastAsia="Times New Roman" w:hAnsi="Times New Roman"/>
          <w:i/>
          <w:iCs/>
        </w:rPr>
        <w:t xml:space="preserve">Journal of Teacher Education, 59</w:t>
      </w:r>
      <w:r>
        <w:rPr>
          <w:rFonts w:ascii="Times New Roman" w:cs="Times New Roman" w:eastAsia="Times New Roman" w:hAnsi="Times New Roman"/>
        </w:rPr>
        <w:t xml:space="preserve">(5), 389–407.</w:t>
      </w:r>
    </w:p>
    <w:p>
      <w:pPr>
        <w:spacing w:after="140" w:before="0" w:line="276"/>
        <w:ind w:left="709" w:hanging="709"/>
        <w:jc w:val="left"/>
      </w:pPr>
      <w:r>
        <w:rPr>
          <w:rFonts w:ascii="Times New Roman" w:cs="Times New Roman" w:eastAsia="Times New Roman" w:hAnsi="Times New Roman"/>
        </w:rPr>
        <w:t xml:space="preserve">Bardin, L. (1977). </w:t>
      </w:r>
      <w:r>
        <w:rPr>
          <w:rFonts w:ascii="Times New Roman" w:cs="Times New Roman" w:eastAsia="Times New Roman" w:hAnsi="Times New Roman"/>
          <w:i/>
          <w:iCs/>
        </w:rPr>
        <w:t xml:space="preserve">L'analyse de contenu</w:t>
      </w:r>
      <w:r>
        <w:rPr>
          <w:rFonts w:ascii="Times New Roman" w:cs="Times New Roman" w:eastAsia="Times New Roman" w:hAnsi="Times New Roman"/>
        </w:rPr>
        <w:t xml:space="preserve">. Presses Universitaires de France.</w:t>
      </w:r>
    </w:p>
    <w:p>
      <w:pPr>
        <w:spacing w:after="140" w:before="0" w:line="276"/>
        <w:ind w:left="709" w:hanging="709"/>
        <w:jc w:val="left"/>
      </w:pPr>
      <w:r>
        <w:rPr>
          <w:rFonts w:ascii="Times New Roman" w:cs="Times New Roman" w:eastAsia="Times New Roman" w:hAnsi="Times New Roman"/>
        </w:rPr>
        <w:t xml:space="preserve">Behr, M. J., Lesh, R., Post, T. R., &amp; Silver, E. A. (1983). Rational-number concepts. In R. Lesh &amp; M. Landau (Eds.), </w:t>
      </w:r>
      <w:r>
        <w:rPr>
          <w:rFonts w:ascii="Times New Roman" w:cs="Times New Roman" w:eastAsia="Times New Roman" w:hAnsi="Times New Roman"/>
          <w:i/>
          <w:iCs/>
        </w:rPr>
        <w:t xml:space="preserve">Acquisition of mathematics concepts and processes</w:t>
      </w:r>
      <w:r>
        <w:rPr>
          <w:rFonts w:ascii="Times New Roman" w:cs="Times New Roman" w:eastAsia="Times New Roman" w:hAnsi="Times New Roman"/>
        </w:rPr>
        <w:t xml:space="preserve"> (pp. 91–126). Academic Press.</w:t>
      </w:r>
    </w:p>
    <w:p>
      <w:pPr>
        <w:spacing w:after="140" w:before="0" w:line="276"/>
        <w:ind w:left="709" w:hanging="709"/>
        <w:jc w:val="left"/>
      </w:pPr>
      <w:r>
        <w:rPr>
          <w:rFonts w:ascii="Times New Roman" w:cs="Times New Roman" w:eastAsia="Times New Roman" w:hAnsi="Times New Roman"/>
        </w:rPr>
        <w:t xml:space="preserve">Brousseau, G. (1983). Les obstacles épistémologiques et les problèmes en mathématiques. </w:t>
      </w:r>
      <w:r>
        <w:rPr>
          <w:rFonts w:ascii="Times New Roman" w:cs="Times New Roman" w:eastAsia="Times New Roman" w:hAnsi="Times New Roman"/>
          <w:i/>
          <w:iCs/>
        </w:rPr>
        <w:t xml:space="preserve">Recherches en didactique des mathématiques, 4</w:t>
      </w:r>
      <w:r>
        <w:rPr>
          <w:rFonts w:ascii="Times New Roman" w:cs="Times New Roman" w:eastAsia="Times New Roman" w:hAnsi="Times New Roman"/>
        </w:rPr>
        <w:t xml:space="preserve">(2), 165–198.</w:t>
      </w:r>
    </w:p>
    <w:p>
      <w:pPr>
        <w:spacing w:after="140" w:before="0" w:line="276"/>
        <w:ind w:left="709" w:hanging="709"/>
        <w:jc w:val="left"/>
      </w:pPr>
      <w:r>
        <w:rPr>
          <w:rFonts w:ascii="Times New Roman" w:cs="Times New Roman" w:eastAsia="Times New Roman" w:hAnsi="Times New Roman"/>
        </w:rPr>
        <w:t xml:space="preserve">Brousseau, G. (1998). </w:t>
      </w:r>
      <w:r>
        <w:rPr>
          <w:rFonts w:ascii="Times New Roman" w:cs="Times New Roman" w:eastAsia="Times New Roman" w:hAnsi="Times New Roman"/>
          <w:i/>
          <w:iCs/>
        </w:rPr>
        <w:t xml:space="preserve">Théorie des situations didactiques</w:t>
      </w:r>
      <w:r>
        <w:rPr>
          <w:rFonts w:ascii="Times New Roman" w:cs="Times New Roman" w:eastAsia="Times New Roman" w:hAnsi="Times New Roman"/>
        </w:rPr>
        <w:t xml:space="preserve">. La Pensée Sauvage.</w:t>
      </w:r>
    </w:p>
    <w:p>
      <w:pPr>
        <w:spacing w:after="140" w:before="0" w:line="276"/>
        <w:ind w:left="709" w:hanging="709"/>
        <w:jc w:val="left"/>
      </w:pPr>
      <w:r>
        <w:rPr>
          <w:rFonts w:ascii="Times New Roman" w:cs="Times New Roman" w:eastAsia="Times New Roman" w:hAnsi="Times New Roman"/>
        </w:rPr>
        <w:t xml:space="preserve">Brousseau, N., &amp; Brousseau, G. (1987). </w:t>
      </w:r>
      <w:r>
        <w:rPr>
          <w:rFonts w:ascii="Times New Roman" w:cs="Times New Roman" w:eastAsia="Times New Roman" w:hAnsi="Times New Roman"/>
          <w:i/>
          <w:iCs/>
        </w:rPr>
        <w:t xml:space="preserve">Rationnels et décimaux dans la scolarité obligatoire</w:t>
      </w:r>
      <w:r>
        <w:rPr>
          <w:rFonts w:ascii="Times New Roman" w:cs="Times New Roman" w:eastAsia="Times New Roman" w:hAnsi="Times New Roman"/>
        </w:rPr>
        <w:t xml:space="preserve">. IREM de Bordeaux.</w:t>
      </w:r>
    </w:p>
    <w:p>
      <w:pPr>
        <w:spacing w:after="140" w:before="0" w:line="276"/>
        <w:ind w:left="709" w:hanging="709"/>
        <w:jc w:val="left"/>
      </w:pPr>
      <w:r>
        <w:rPr>
          <w:rFonts w:ascii="Times New Roman" w:cs="Times New Roman" w:eastAsia="Times New Roman" w:hAnsi="Times New Roman"/>
        </w:rPr>
        <w:t xml:space="preserve">Bruner, J. S. (1966). </w:t>
      </w:r>
      <w:r>
        <w:rPr>
          <w:rFonts w:ascii="Times New Roman" w:cs="Times New Roman" w:eastAsia="Times New Roman" w:hAnsi="Times New Roman"/>
          <w:i/>
          <w:iCs/>
        </w:rPr>
        <w:t xml:space="preserve">Toward a theory of instruction</w:t>
      </w:r>
      <w:r>
        <w:rPr>
          <w:rFonts w:ascii="Times New Roman" w:cs="Times New Roman" w:eastAsia="Times New Roman" w:hAnsi="Times New Roman"/>
        </w:rPr>
        <w:t xml:space="preserve">. Harvard University Press.</w:t>
      </w:r>
    </w:p>
    <w:p>
      <w:pPr>
        <w:spacing w:after="140" w:before="0" w:line="276"/>
        <w:ind w:left="709" w:hanging="709"/>
        <w:jc w:val="left"/>
      </w:pPr>
      <w:r>
        <w:rPr>
          <w:rFonts w:ascii="Times New Roman" w:cs="Times New Roman" w:eastAsia="Times New Roman" w:hAnsi="Times New Roman"/>
        </w:rPr>
        <w:t xml:space="preserve">Charalambous, C. Y., &amp; Pitta-Pantazi, D. (2007). Drawing on a theoretical model to study students' understandings of fractions. </w:t>
      </w:r>
      <w:r>
        <w:rPr>
          <w:rFonts w:ascii="Times New Roman" w:cs="Times New Roman" w:eastAsia="Times New Roman" w:hAnsi="Times New Roman"/>
          <w:i/>
          <w:iCs/>
        </w:rPr>
        <w:t xml:space="preserve">Educational Studies in Mathematics, 64</w:t>
      </w:r>
      <w:r>
        <w:rPr>
          <w:rFonts w:ascii="Times New Roman" w:cs="Times New Roman" w:eastAsia="Times New Roman" w:hAnsi="Times New Roman"/>
        </w:rPr>
        <w:t xml:space="preserve">(3), 293–316.</w:t>
      </w:r>
    </w:p>
    <w:p>
      <w:pPr>
        <w:spacing w:after="140" w:before="0" w:line="276"/>
        <w:ind w:left="709" w:hanging="709"/>
        <w:jc w:val="left"/>
      </w:pPr>
      <w:r>
        <w:rPr>
          <w:rFonts w:ascii="Times New Roman" w:cs="Times New Roman" w:eastAsia="Times New Roman" w:hAnsi="Times New Roman"/>
        </w:rPr>
        <w:t xml:space="preserve">Chevallard, Y. (1991). </w:t>
      </w:r>
      <w:r>
        <w:rPr>
          <w:rFonts w:ascii="Times New Roman" w:cs="Times New Roman" w:eastAsia="Times New Roman" w:hAnsi="Times New Roman"/>
          <w:i/>
          <w:iCs/>
        </w:rPr>
        <w:t xml:space="preserve">La transposition didactique : du savoir savant au savoir enseigné</w:t>
      </w:r>
      <w:r>
        <w:rPr>
          <w:rFonts w:ascii="Times New Roman" w:cs="Times New Roman" w:eastAsia="Times New Roman" w:hAnsi="Times New Roman"/>
        </w:rPr>
        <w:t xml:space="preserve"> (2e éd.). La Pensée Sauvage.</w:t>
      </w:r>
    </w:p>
    <w:p>
      <w:pPr>
        <w:spacing w:after="140" w:before="0" w:line="276"/>
        <w:ind w:left="709" w:hanging="709"/>
        <w:jc w:val="left"/>
      </w:pPr>
      <w:r>
        <w:rPr>
          <w:rFonts w:ascii="Times New Roman" w:cs="Times New Roman" w:eastAsia="Times New Roman" w:hAnsi="Times New Roman"/>
        </w:rPr>
        <w:t xml:space="preserve">Cramer, K. A., Post, T. R., &amp; delMas, R. C. (2002). Initial fraction learning by fourth- and fifth-grade students: A comparison of the effects of using commercial curricula with the effects of using the Rational Number Project curriculum. </w:t>
      </w:r>
      <w:r>
        <w:rPr>
          <w:rFonts w:ascii="Times New Roman" w:cs="Times New Roman" w:eastAsia="Times New Roman" w:hAnsi="Times New Roman"/>
          <w:i/>
          <w:iCs/>
        </w:rPr>
        <w:t xml:space="preserve">Journal for Research in Mathematics Education, 33</w:t>
      </w:r>
      <w:r>
        <w:rPr>
          <w:rFonts w:ascii="Times New Roman" w:cs="Times New Roman" w:eastAsia="Times New Roman" w:hAnsi="Times New Roman"/>
        </w:rPr>
        <w:t xml:space="preserve">(2), 111–144.</w:t>
      </w:r>
    </w:p>
    <w:p>
      <w:pPr>
        <w:spacing w:after="140" w:before="0" w:line="276"/>
        <w:ind w:left="709" w:hanging="709"/>
        <w:jc w:val="left"/>
      </w:pPr>
      <w:r>
        <w:rPr>
          <w:rFonts w:ascii="Times New Roman" w:cs="Times New Roman" w:eastAsia="Times New Roman" w:hAnsi="Times New Roman"/>
        </w:rPr>
        <w:t xml:space="preserve">Creswell, J. W., &amp; Plano Clark, V. L. (2018). </w:t>
      </w:r>
      <w:r>
        <w:rPr>
          <w:rFonts w:ascii="Times New Roman" w:cs="Times New Roman" w:eastAsia="Times New Roman" w:hAnsi="Times New Roman"/>
          <w:i/>
          <w:iCs/>
        </w:rPr>
        <w:t xml:space="preserve">Designing and conducting mixed methods research</w:t>
      </w:r>
      <w:r>
        <w:rPr>
          <w:rFonts w:ascii="Times New Roman" w:cs="Times New Roman" w:eastAsia="Times New Roman" w:hAnsi="Times New Roman"/>
        </w:rPr>
        <w:t xml:space="preserve"> (3rd ed.). SAGE.</w:t>
      </w:r>
    </w:p>
    <w:p>
      <w:pPr>
        <w:spacing w:after="140" w:before="0" w:line="276"/>
        <w:ind w:left="709" w:hanging="709"/>
        <w:jc w:val="left"/>
      </w:pPr>
      <w:r>
        <w:rPr>
          <w:rFonts w:ascii="Times New Roman" w:cs="Times New Roman" w:eastAsia="Times New Roman" w:hAnsi="Times New Roman"/>
        </w:rPr>
        <w:t xml:space="preserve">De Ketele, J.-M., &amp; Roegiers, X. (2009). </w:t>
      </w:r>
      <w:r>
        <w:rPr>
          <w:rFonts w:ascii="Times New Roman" w:cs="Times New Roman" w:eastAsia="Times New Roman" w:hAnsi="Times New Roman"/>
          <w:i/>
          <w:iCs/>
        </w:rPr>
        <w:t xml:space="preserve">Méthodologie du recueil d'informations : fondements des méthodes d'observation, de questionnaire, d'interview et d'étude de documents</w:t>
      </w:r>
      <w:r>
        <w:rPr>
          <w:rFonts w:ascii="Times New Roman" w:cs="Times New Roman" w:eastAsia="Times New Roman" w:hAnsi="Times New Roman"/>
        </w:rPr>
        <w:t xml:space="preserve"> (4e éd.). De Boeck.</w:t>
      </w:r>
    </w:p>
    <w:p>
      <w:pPr>
        <w:spacing w:after="140" w:before="0" w:line="276"/>
        <w:ind w:left="709" w:hanging="709"/>
        <w:jc w:val="left"/>
      </w:pPr>
      <w:r>
        <w:rPr>
          <w:rFonts w:ascii="Times New Roman" w:cs="Times New Roman" w:eastAsia="Times New Roman" w:hAnsi="Times New Roman"/>
        </w:rPr>
        <w:t xml:space="preserve">Depaepe, F., Torbeyns, J., Vermeersch, N., Janssens, D., Janssen, R., Kelchtermans, G., Verschaffel, L., &amp; Van Dooren, W. (2015). Teachers' content and pedagogical content knowledge on rational numbers: A comparison of prospective elementary and lower secondary school teachers. </w:t>
      </w:r>
      <w:r>
        <w:rPr>
          <w:rFonts w:ascii="Times New Roman" w:cs="Times New Roman" w:eastAsia="Times New Roman" w:hAnsi="Times New Roman"/>
          <w:i/>
          <w:iCs/>
        </w:rPr>
        <w:t xml:space="preserve">Teaching and Teacher Education, 47</w:t>
      </w:r>
      <w:r>
        <w:rPr>
          <w:rFonts w:ascii="Times New Roman" w:cs="Times New Roman" w:eastAsia="Times New Roman" w:hAnsi="Times New Roman"/>
        </w:rPr>
        <w:t xml:space="preserve">, 82–92.</w:t>
      </w:r>
    </w:p>
    <w:p>
      <w:pPr>
        <w:spacing w:after="140" w:before="0" w:line="276"/>
        <w:ind w:left="709" w:hanging="709"/>
        <w:jc w:val="left"/>
      </w:pPr>
      <w:r>
        <w:rPr>
          <w:rFonts w:ascii="Times New Roman" w:cs="Times New Roman" w:eastAsia="Times New Roman" w:hAnsi="Times New Roman"/>
        </w:rPr>
        <w:t xml:space="preserve">Douady, R. (1986). Jeux de cadres et dialectique outil-objet. </w:t>
      </w:r>
      <w:r>
        <w:rPr>
          <w:rFonts w:ascii="Times New Roman" w:cs="Times New Roman" w:eastAsia="Times New Roman" w:hAnsi="Times New Roman"/>
          <w:i/>
          <w:iCs/>
        </w:rPr>
        <w:t xml:space="preserve">Recherches en didactique des mathématiques, 7</w:t>
      </w:r>
      <w:r>
        <w:rPr>
          <w:rFonts w:ascii="Times New Roman" w:cs="Times New Roman" w:eastAsia="Times New Roman" w:hAnsi="Times New Roman"/>
        </w:rPr>
        <w:t xml:space="preserve">(2), 5–31.</w:t>
      </w:r>
    </w:p>
    <w:p>
      <w:pPr>
        <w:spacing w:after="140" w:before="0" w:line="276"/>
        <w:ind w:left="709" w:hanging="709"/>
        <w:jc w:val="left"/>
      </w:pPr>
      <w:r>
        <w:rPr>
          <w:rFonts w:ascii="Times New Roman" w:cs="Times New Roman" w:eastAsia="Times New Roman" w:hAnsi="Times New Roman"/>
        </w:rPr>
        <w:t xml:space="preserve">Duval, R. (1993). Registres de représentation sémiotique et fonctionnement cognitif de la pensée. </w:t>
      </w:r>
      <w:r>
        <w:rPr>
          <w:rFonts w:ascii="Times New Roman" w:cs="Times New Roman" w:eastAsia="Times New Roman" w:hAnsi="Times New Roman"/>
          <w:i/>
          <w:iCs/>
        </w:rPr>
        <w:t xml:space="preserve">Annales de didactique et de sciences cognitives, 5</w:t>
      </w:r>
      <w:r>
        <w:rPr>
          <w:rFonts w:ascii="Times New Roman" w:cs="Times New Roman" w:eastAsia="Times New Roman" w:hAnsi="Times New Roman"/>
        </w:rPr>
        <w:t xml:space="preserve">, 37–65.</w:t>
      </w:r>
    </w:p>
    <w:p>
      <w:pPr>
        <w:spacing w:after="140" w:before="0" w:line="276"/>
        <w:ind w:left="709" w:hanging="709"/>
        <w:jc w:val="left"/>
      </w:pPr>
      <w:r>
        <w:rPr>
          <w:rFonts w:ascii="Times New Roman" w:cs="Times New Roman" w:eastAsia="Times New Roman" w:hAnsi="Times New Roman"/>
        </w:rPr>
        <w:t xml:space="preserve">Duval, R. (1995). </w:t>
      </w:r>
      <w:r>
        <w:rPr>
          <w:rFonts w:ascii="Times New Roman" w:cs="Times New Roman" w:eastAsia="Times New Roman" w:hAnsi="Times New Roman"/>
          <w:i/>
          <w:iCs/>
        </w:rPr>
        <w:t xml:space="preserve">Sémiosis et pensée humaine : registres sémiotiques et apprentissages intellectuels</w:t>
      </w:r>
      <w:r>
        <w:rPr>
          <w:rFonts w:ascii="Times New Roman" w:cs="Times New Roman" w:eastAsia="Times New Roman" w:hAnsi="Times New Roman"/>
        </w:rPr>
        <w:t xml:space="preserve">. Peter Lang.</w:t>
      </w:r>
    </w:p>
    <w:p>
      <w:pPr>
        <w:spacing w:after="140" w:before="0" w:line="276"/>
        <w:ind w:left="709" w:hanging="709"/>
        <w:jc w:val="left"/>
      </w:pPr>
      <w:r>
        <w:rPr>
          <w:rFonts w:ascii="Times New Roman" w:cs="Times New Roman" w:eastAsia="Times New Roman" w:hAnsi="Times New Roman"/>
        </w:rPr>
        <w:t xml:space="preserve">Hart, K. M. (Ed.). (1981). </w:t>
      </w:r>
      <w:r>
        <w:rPr>
          <w:rFonts w:ascii="Times New Roman" w:cs="Times New Roman" w:eastAsia="Times New Roman" w:hAnsi="Times New Roman"/>
          <w:i/>
          <w:iCs/>
        </w:rPr>
        <w:t xml:space="preserve">Children's understanding of mathematics: 11–16</w:t>
      </w:r>
      <w:r>
        <w:rPr>
          <w:rFonts w:ascii="Times New Roman" w:cs="Times New Roman" w:eastAsia="Times New Roman" w:hAnsi="Times New Roman"/>
        </w:rPr>
        <w:t xml:space="preserve">. John Murray.</w:t>
      </w:r>
    </w:p>
    <w:p>
      <w:pPr>
        <w:spacing w:after="140" w:before="0" w:line="276"/>
        <w:ind w:left="709" w:hanging="709"/>
        <w:jc w:val="left"/>
      </w:pPr>
      <w:r>
        <w:rPr>
          <w:rFonts w:ascii="Times New Roman" w:cs="Times New Roman" w:eastAsia="Times New Roman" w:hAnsi="Times New Roman"/>
        </w:rPr>
        <w:t xml:space="preserve">Hiebert, J., &amp; Lefevre, P. (1986). Conceptual and procedural knowledge in mathematics: An introductory analysis. In J. Hiebert (Ed.), </w:t>
      </w:r>
      <w:r>
        <w:rPr>
          <w:rFonts w:ascii="Times New Roman" w:cs="Times New Roman" w:eastAsia="Times New Roman" w:hAnsi="Times New Roman"/>
          <w:i/>
          <w:iCs/>
        </w:rPr>
        <w:t xml:space="preserve">Conceptual and procedural knowledge: The case of mathematics</w:t>
      </w:r>
      <w:r>
        <w:rPr>
          <w:rFonts w:ascii="Times New Roman" w:cs="Times New Roman" w:eastAsia="Times New Roman" w:hAnsi="Times New Roman"/>
        </w:rPr>
        <w:t xml:space="preserve"> (pp. 1–27). Lawrence Erlbaum.</w:t>
      </w:r>
    </w:p>
    <w:p>
      <w:pPr>
        <w:spacing w:after="140" w:before="0" w:line="276"/>
        <w:ind w:left="709" w:hanging="709"/>
        <w:jc w:val="left"/>
      </w:pPr>
      <w:r>
        <w:rPr>
          <w:rFonts w:ascii="Times New Roman" w:cs="Times New Roman" w:eastAsia="Times New Roman" w:hAnsi="Times New Roman"/>
        </w:rPr>
        <w:t xml:space="preserve">Houdement, C., &amp; Kuzniak, A. (1996). Autour des stratégies utilisées pour former les maîtres du premier degré en mathématiques. </w:t>
      </w:r>
      <w:r>
        <w:rPr>
          <w:rFonts w:ascii="Times New Roman" w:cs="Times New Roman" w:eastAsia="Times New Roman" w:hAnsi="Times New Roman"/>
          <w:i/>
          <w:iCs/>
        </w:rPr>
        <w:t xml:space="preserve">Recherches en didactique des mathématiques, 16</w:t>
      </w:r>
      <w:r>
        <w:rPr>
          <w:rFonts w:ascii="Times New Roman" w:cs="Times New Roman" w:eastAsia="Times New Roman" w:hAnsi="Times New Roman"/>
        </w:rPr>
        <w:t xml:space="preserve">(3), 289–322.</w:t>
      </w:r>
    </w:p>
    <w:p>
      <w:pPr>
        <w:spacing w:after="140" w:before="0" w:line="276"/>
        <w:ind w:left="709" w:hanging="709"/>
        <w:jc w:val="left"/>
      </w:pPr>
      <w:r>
        <w:rPr>
          <w:rFonts w:ascii="Times New Roman" w:cs="Times New Roman" w:eastAsia="Times New Roman" w:hAnsi="Times New Roman"/>
        </w:rPr>
        <w:t xml:space="preserve">Johsua, S., &amp; Dupin, J.-J. (1993). </w:t>
      </w:r>
      <w:r>
        <w:rPr>
          <w:rFonts w:ascii="Times New Roman" w:cs="Times New Roman" w:eastAsia="Times New Roman" w:hAnsi="Times New Roman"/>
          <w:i/>
          <w:iCs/>
        </w:rPr>
        <w:t xml:space="preserve">Introduction à la didactique des sciences et des mathématiques</w:t>
      </w:r>
      <w:r>
        <w:rPr>
          <w:rFonts w:ascii="Times New Roman" w:cs="Times New Roman" w:eastAsia="Times New Roman" w:hAnsi="Times New Roman"/>
        </w:rPr>
        <w:t xml:space="preserve">. Presses Universitaires de France.</w:t>
      </w:r>
    </w:p>
    <w:p>
      <w:pPr>
        <w:spacing w:after="140" w:before="0" w:line="276"/>
        <w:ind w:left="709" w:hanging="709"/>
        <w:jc w:val="left"/>
      </w:pPr>
      <w:r>
        <w:rPr>
          <w:rFonts w:ascii="Times New Roman" w:cs="Times New Roman" w:eastAsia="Times New Roman" w:hAnsi="Times New Roman"/>
        </w:rPr>
        <w:t xml:space="preserve">Kieren, T. E. (1976). On the mathematical, cognitive, and instructional foundations of rational numbers. In R. A. Lesh (Ed.), </w:t>
      </w:r>
      <w:r>
        <w:rPr>
          <w:rFonts w:ascii="Times New Roman" w:cs="Times New Roman" w:eastAsia="Times New Roman" w:hAnsi="Times New Roman"/>
          <w:i/>
          <w:iCs/>
        </w:rPr>
        <w:t xml:space="preserve">Number and measurement: Papers from a research workshop</w:t>
      </w:r>
      <w:r>
        <w:rPr>
          <w:rFonts w:ascii="Times New Roman" w:cs="Times New Roman" w:eastAsia="Times New Roman" w:hAnsi="Times New Roman"/>
        </w:rPr>
        <w:t xml:space="preserve"> (pp. 101–144). ERIC/SMEAC.</w:t>
      </w:r>
    </w:p>
    <w:p>
      <w:pPr>
        <w:spacing w:after="140" w:before="0" w:line="276"/>
        <w:ind w:left="709" w:hanging="709"/>
        <w:jc w:val="left"/>
      </w:pPr>
      <w:r>
        <w:rPr>
          <w:rFonts w:ascii="Times New Roman" w:cs="Times New Roman" w:eastAsia="Times New Roman" w:hAnsi="Times New Roman"/>
        </w:rPr>
        <w:t xml:space="preserve">Komba, S. C., &amp; Kira, E. S. (2013). The effectiveness of teaching practice in improving student teachers' teaching skills in Tanzania. </w:t>
      </w:r>
      <w:r>
        <w:rPr>
          <w:rFonts w:ascii="Times New Roman" w:cs="Times New Roman" w:eastAsia="Times New Roman" w:hAnsi="Times New Roman"/>
          <w:i/>
          <w:iCs/>
        </w:rPr>
        <w:t xml:space="preserve">Journal of Education and Practice, 4</w:t>
      </w:r>
      <w:r>
        <w:rPr>
          <w:rFonts w:ascii="Times New Roman" w:cs="Times New Roman" w:eastAsia="Times New Roman" w:hAnsi="Times New Roman"/>
        </w:rPr>
        <w:t xml:space="preserve">(1), 157–163.</w:t>
      </w:r>
    </w:p>
    <w:p>
      <w:pPr>
        <w:spacing w:after="140" w:before="0" w:line="276"/>
        <w:ind w:left="709" w:hanging="709"/>
        <w:jc w:val="left"/>
      </w:pPr>
      <w:r>
        <w:rPr>
          <w:rFonts w:ascii="Times New Roman" w:cs="Times New Roman" w:eastAsia="Times New Roman" w:hAnsi="Times New Roman"/>
        </w:rPr>
        <w:t xml:space="preserve">Lamon, S. J. (2007). Rational numbers and proportional reasoning: Toward a theoretical framework for research. In F. K. Lester (Ed.), </w:t>
      </w:r>
      <w:r>
        <w:rPr>
          <w:rFonts w:ascii="Times New Roman" w:cs="Times New Roman" w:eastAsia="Times New Roman" w:hAnsi="Times New Roman"/>
          <w:i/>
          <w:iCs/>
        </w:rPr>
        <w:t xml:space="preserve">Second handbook of research on mathematics teaching and learning</w:t>
      </w:r>
      <w:r>
        <w:rPr>
          <w:rFonts w:ascii="Times New Roman" w:cs="Times New Roman" w:eastAsia="Times New Roman" w:hAnsi="Times New Roman"/>
        </w:rPr>
        <w:t xml:space="preserve"> (pp. 629–667). Information Age Publishing.</w:t>
      </w:r>
    </w:p>
    <w:p>
      <w:pPr>
        <w:spacing w:after="140" w:before="0" w:line="276"/>
        <w:ind w:left="709" w:hanging="709"/>
        <w:jc w:val="left"/>
      </w:pPr>
      <w:r>
        <w:rPr>
          <w:rFonts w:ascii="Times New Roman" w:cs="Times New Roman" w:eastAsia="Times New Roman" w:hAnsi="Times New Roman"/>
        </w:rPr>
        <w:t xml:space="preserve">Lortie-Forgues, H., Tian, J., &amp; Siegler, R. S. (2015). Why is learning fraction and decimal arithmetic so difficult? </w:t>
      </w:r>
      <w:r>
        <w:rPr>
          <w:rFonts w:ascii="Times New Roman" w:cs="Times New Roman" w:eastAsia="Times New Roman" w:hAnsi="Times New Roman"/>
          <w:i/>
          <w:iCs/>
        </w:rPr>
        <w:t xml:space="preserve">Developmental Review, 38</w:t>
      </w:r>
      <w:r>
        <w:rPr>
          <w:rFonts w:ascii="Times New Roman" w:cs="Times New Roman" w:eastAsia="Times New Roman" w:hAnsi="Times New Roman"/>
        </w:rPr>
        <w:t xml:space="preserve">, 201–221.</w:t>
      </w:r>
    </w:p>
    <w:p>
      <w:pPr>
        <w:spacing w:after="140" w:before="0" w:line="276"/>
        <w:ind w:left="709" w:hanging="709"/>
        <w:jc w:val="left"/>
      </w:pPr>
      <w:r>
        <w:rPr>
          <w:rFonts w:ascii="Times New Roman" w:cs="Times New Roman" w:eastAsia="Times New Roman" w:hAnsi="Times New Roman"/>
        </w:rPr>
        <w:t xml:space="preserve">Ma, L. (1999). </w:t>
      </w:r>
      <w:r>
        <w:rPr>
          <w:rFonts w:ascii="Times New Roman" w:cs="Times New Roman" w:eastAsia="Times New Roman" w:hAnsi="Times New Roman"/>
          <w:i/>
          <w:iCs/>
        </w:rPr>
        <w:t xml:space="preserve">Knowing and teaching elementary mathematics: Teachers' understanding of fundamental mathematics in China and the United States</w:t>
      </w:r>
      <w:r>
        <w:rPr>
          <w:rFonts w:ascii="Times New Roman" w:cs="Times New Roman" w:eastAsia="Times New Roman" w:hAnsi="Times New Roman"/>
        </w:rPr>
        <w:t xml:space="preserve">. Lawrence Erlbaum.</w:t>
      </w:r>
    </w:p>
    <w:p>
      <w:pPr>
        <w:spacing w:after="140" w:before="0" w:line="276"/>
        <w:ind w:left="709" w:hanging="709"/>
        <w:jc w:val="left"/>
      </w:pPr>
      <w:r>
        <w:rPr>
          <w:rFonts w:ascii="Times New Roman" w:cs="Times New Roman" w:eastAsia="Times New Roman" w:hAnsi="Times New Roman"/>
        </w:rPr>
        <w:t xml:space="preserve">Miles, M. B., &amp; Huberman, A. M. (2003). </w:t>
      </w:r>
      <w:r>
        <w:rPr>
          <w:rFonts w:ascii="Times New Roman" w:cs="Times New Roman" w:eastAsia="Times New Roman" w:hAnsi="Times New Roman"/>
          <w:i/>
          <w:iCs/>
        </w:rPr>
        <w:t xml:space="preserve">Analyse des données qualitatives</w:t>
      </w:r>
      <w:r>
        <w:rPr>
          <w:rFonts w:ascii="Times New Roman" w:cs="Times New Roman" w:eastAsia="Times New Roman" w:hAnsi="Times New Roman"/>
        </w:rPr>
        <w:t xml:space="preserve"> (2e éd.). De Boeck.</w:t>
      </w:r>
    </w:p>
    <w:p>
      <w:pPr>
        <w:spacing w:after="140" w:before="0" w:line="276"/>
        <w:ind w:left="709" w:hanging="709"/>
        <w:jc w:val="left"/>
      </w:pPr>
      <w:r>
        <w:rPr>
          <w:rFonts w:ascii="Times New Roman" w:cs="Times New Roman" w:eastAsia="Times New Roman" w:hAnsi="Times New Roman"/>
        </w:rPr>
        <w:t xml:space="preserve">Moss, J., &amp; Case, R. (1999). Developing children's understanding of the rational numbers: A new model and an experimental curriculum. </w:t>
      </w:r>
      <w:r>
        <w:rPr>
          <w:rFonts w:ascii="Times New Roman" w:cs="Times New Roman" w:eastAsia="Times New Roman" w:hAnsi="Times New Roman"/>
          <w:i/>
          <w:iCs/>
        </w:rPr>
        <w:t xml:space="preserve">Journal for Research in Mathematics Education, 30</w:t>
      </w:r>
      <w:r>
        <w:rPr>
          <w:rFonts w:ascii="Times New Roman" w:cs="Times New Roman" w:eastAsia="Times New Roman" w:hAnsi="Times New Roman"/>
        </w:rPr>
        <w:t xml:space="preserve">(2), 122–147.</w:t>
      </w:r>
    </w:p>
    <w:p>
      <w:pPr>
        <w:spacing w:after="140" w:before="0" w:line="276"/>
        <w:ind w:left="709" w:hanging="709"/>
        <w:jc w:val="left"/>
      </w:pPr>
      <w:r>
        <w:rPr>
          <w:rFonts w:ascii="Times New Roman" w:cs="Times New Roman" w:eastAsia="Times New Roman" w:hAnsi="Times New Roman"/>
        </w:rPr>
        <w:t xml:space="preserve">Newton, K. J. (2008). An extensive analysis of preservice elementary teachers' knowledge of fractions. </w:t>
      </w:r>
      <w:r>
        <w:rPr>
          <w:rFonts w:ascii="Times New Roman" w:cs="Times New Roman" w:eastAsia="Times New Roman" w:hAnsi="Times New Roman"/>
          <w:i/>
          <w:iCs/>
        </w:rPr>
        <w:t xml:space="preserve">American Educational Research Journal, 45</w:t>
      </w:r>
      <w:r>
        <w:rPr>
          <w:rFonts w:ascii="Times New Roman" w:cs="Times New Roman" w:eastAsia="Times New Roman" w:hAnsi="Times New Roman"/>
        </w:rPr>
        <w:t xml:space="preserve">(4), 1080–1110.</w:t>
      </w:r>
    </w:p>
    <w:p>
      <w:pPr>
        <w:spacing w:after="140" w:before="0" w:line="276"/>
        <w:ind w:left="709" w:hanging="709"/>
        <w:jc w:val="left"/>
      </w:pPr>
      <w:r>
        <w:rPr>
          <w:rFonts w:ascii="Times New Roman" w:cs="Times New Roman" w:eastAsia="Times New Roman" w:hAnsi="Times New Roman"/>
        </w:rPr>
        <w:t xml:space="preserve">Ni, Y., &amp; Zhou, Y.-D. (2005). Teaching and learning fraction and rational numbers: The origins and implications of whole number bias. </w:t>
      </w:r>
      <w:r>
        <w:rPr>
          <w:rFonts w:ascii="Times New Roman" w:cs="Times New Roman" w:eastAsia="Times New Roman" w:hAnsi="Times New Roman"/>
          <w:i/>
          <w:iCs/>
        </w:rPr>
        <w:t xml:space="preserve">Educational Psychologist, 40</w:t>
      </w:r>
      <w:r>
        <w:rPr>
          <w:rFonts w:ascii="Times New Roman" w:cs="Times New Roman" w:eastAsia="Times New Roman" w:hAnsi="Times New Roman"/>
        </w:rPr>
        <w:t xml:space="preserve">(1), 27–52.</w:t>
      </w:r>
    </w:p>
    <w:p>
      <w:pPr>
        <w:spacing w:after="140" w:before="0" w:line="276"/>
        <w:ind w:left="709" w:hanging="709"/>
        <w:jc w:val="left"/>
      </w:pPr>
      <w:r>
        <w:rPr>
          <w:rFonts w:ascii="Times New Roman" w:cs="Times New Roman" w:eastAsia="Times New Roman" w:hAnsi="Times New Roman"/>
        </w:rPr>
        <w:t xml:space="preserve">Paquay, L., Altet, M., Charlier, É., &amp; Perrenoud, P. (Éds.). (2001). </w:t>
      </w:r>
      <w:r>
        <w:rPr>
          <w:rFonts w:ascii="Times New Roman" w:cs="Times New Roman" w:eastAsia="Times New Roman" w:hAnsi="Times New Roman"/>
          <w:i/>
          <w:iCs/>
        </w:rPr>
        <w:t xml:space="preserve">Former des enseignants professionnels : quelles stratégies ? quelles compétences ?</w:t>
      </w:r>
      <w:r>
        <w:rPr>
          <w:rFonts w:ascii="Times New Roman" w:cs="Times New Roman" w:eastAsia="Times New Roman" w:hAnsi="Times New Roman"/>
        </w:rPr>
        <w:t xml:space="preserve"> (3e éd.). De Boeck.</w:t>
      </w:r>
    </w:p>
    <w:p>
      <w:pPr>
        <w:spacing w:after="140" w:before="0" w:line="276"/>
        <w:ind w:left="709" w:hanging="709"/>
        <w:jc w:val="left"/>
      </w:pPr>
      <w:r>
        <w:rPr>
          <w:rFonts w:ascii="Times New Roman" w:cs="Times New Roman" w:eastAsia="Times New Roman" w:hAnsi="Times New Roman"/>
        </w:rPr>
        <w:t xml:space="preserve">PASEC. (2020). </w:t>
      </w:r>
      <w:r>
        <w:rPr>
          <w:rFonts w:ascii="Times New Roman" w:cs="Times New Roman" w:eastAsia="Times New Roman" w:hAnsi="Times New Roman"/>
          <w:i/>
          <w:iCs/>
        </w:rPr>
        <w:t xml:space="preserve">PASEC2019 : Qualité des systèmes éducatifs en Afrique subsaharienne francophone. Performances et environnement de l'enseignement-apprentissage au primaire</w:t>
      </w:r>
      <w:r>
        <w:rPr>
          <w:rFonts w:ascii="Times New Roman" w:cs="Times New Roman" w:eastAsia="Times New Roman" w:hAnsi="Times New Roman"/>
        </w:rPr>
        <w:t xml:space="preserve">. CONFEMEN.</w:t>
      </w:r>
    </w:p>
    <w:p>
      <w:pPr>
        <w:spacing w:after="140" w:before="0" w:line="276"/>
        <w:ind w:left="709" w:hanging="709"/>
        <w:jc w:val="left"/>
      </w:pPr>
      <w:r>
        <w:rPr>
          <w:rFonts w:ascii="Times New Roman" w:cs="Times New Roman" w:eastAsia="Times New Roman" w:hAnsi="Times New Roman"/>
        </w:rPr>
        <w:t xml:space="preserve">Perrenoud, P. (2001). </w:t>
      </w:r>
      <w:r>
        <w:rPr>
          <w:rFonts w:ascii="Times New Roman" w:cs="Times New Roman" w:eastAsia="Times New Roman" w:hAnsi="Times New Roman"/>
          <w:i/>
          <w:iCs/>
        </w:rPr>
        <w:t xml:space="preserve">Développer la pratique réflexive dans le métier d'enseignant : professionnalisation et raison pédagogique</w:t>
      </w:r>
      <w:r>
        <w:rPr>
          <w:rFonts w:ascii="Times New Roman" w:cs="Times New Roman" w:eastAsia="Times New Roman" w:hAnsi="Times New Roman"/>
        </w:rPr>
        <w:t xml:space="preserve">. ESF.</w:t>
      </w:r>
    </w:p>
    <w:p>
      <w:pPr>
        <w:spacing w:after="140" w:before="0" w:line="276"/>
        <w:ind w:left="709" w:hanging="709"/>
        <w:jc w:val="left"/>
      </w:pPr>
      <w:r>
        <w:rPr>
          <w:rFonts w:ascii="Times New Roman" w:cs="Times New Roman" w:eastAsia="Times New Roman" w:hAnsi="Times New Roman"/>
        </w:rPr>
        <w:t xml:space="preserve">Post, T. R., Harel, G., Behr, M. J., &amp; Lesh, R. (1991). Intermediate teachers' knowledge of rational number concepts. In E. Fennema, T. P. Carpenter, &amp; S. J. Lamon (Eds.), </w:t>
      </w:r>
      <w:r>
        <w:rPr>
          <w:rFonts w:ascii="Times New Roman" w:cs="Times New Roman" w:eastAsia="Times New Roman" w:hAnsi="Times New Roman"/>
          <w:i/>
          <w:iCs/>
        </w:rPr>
        <w:t xml:space="preserve">Integrating research on teaching and learning mathematics</w:t>
      </w:r>
      <w:r>
        <w:rPr>
          <w:rFonts w:ascii="Times New Roman" w:cs="Times New Roman" w:eastAsia="Times New Roman" w:hAnsi="Times New Roman"/>
        </w:rPr>
        <w:t xml:space="preserve"> (pp. 177–198). State University of New York Press.</w:t>
      </w:r>
    </w:p>
    <w:p>
      <w:pPr>
        <w:spacing w:after="140" w:before="0" w:line="276"/>
        <w:ind w:left="709" w:hanging="709"/>
        <w:jc w:val="left"/>
      </w:pPr>
      <w:r>
        <w:rPr>
          <w:rFonts w:ascii="Times New Roman" w:cs="Times New Roman" w:eastAsia="Times New Roman" w:hAnsi="Times New Roman"/>
        </w:rPr>
        <w:t xml:space="preserve">Robert, A. (2001). Les recherches sur les pratiques des enseignants et les contraintes de l'exercice du métier d'enseignant. </w:t>
      </w:r>
      <w:r>
        <w:rPr>
          <w:rFonts w:ascii="Times New Roman" w:cs="Times New Roman" w:eastAsia="Times New Roman" w:hAnsi="Times New Roman"/>
          <w:i/>
          <w:iCs/>
        </w:rPr>
        <w:t xml:space="preserve">Recherches en didactique des mathématiques, 21</w:t>
      </w:r>
      <w:r>
        <w:rPr>
          <w:rFonts w:ascii="Times New Roman" w:cs="Times New Roman" w:eastAsia="Times New Roman" w:hAnsi="Times New Roman"/>
        </w:rPr>
        <w:t xml:space="preserve">(1-2), 57–80.</w:t>
      </w:r>
    </w:p>
    <w:p>
      <w:pPr>
        <w:spacing w:after="140" w:before="0" w:line="276"/>
        <w:ind w:left="709" w:hanging="709"/>
        <w:jc w:val="left"/>
      </w:pPr>
      <w:r>
        <w:rPr>
          <w:rFonts w:ascii="Times New Roman" w:cs="Times New Roman" w:eastAsia="Times New Roman" w:hAnsi="Times New Roman"/>
        </w:rPr>
        <w:t xml:space="preserve">Robert, A., &amp; Rogalski, J. (2002). Le système complexe et cohérent des pratiques des enseignants de mathématiques : une double approche. </w:t>
      </w:r>
      <w:r>
        <w:rPr>
          <w:rFonts w:ascii="Times New Roman" w:cs="Times New Roman" w:eastAsia="Times New Roman" w:hAnsi="Times New Roman"/>
          <w:i/>
          <w:iCs/>
        </w:rPr>
        <w:t xml:space="preserve">Revue canadienne de l'enseignement des sciences, des mathématiques et des technologies, 2</w:t>
      </w:r>
      <w:r>
        <w:rPr>
          <w:rFonts w:ascii="Times New Roman" w:cs="Times New Roman" w:eastAsia="Times New Roman" w:hAnsi="Times New Roman"/>
        </w:rPr>
        <w:t xml:space="preserve">(4), 505–528.</w:t>
      </w:r>
    </w:p>
    <w:p>
      <w:pPr>
        <w:spacing w:after="140" w:before="0" w:line="276"/>
        <w:ind w:left="709" w:hanging="709"/>
        <w:jc w:val="left"/>
      </w:pPr>
      <w:r>
        <w:rPr>
          <w:rFonts w:ascii="Times New Roman" w:cs="Times New Roman" w:eastAsia="Times New Roman" w:hAnsi="Times New Roman"/>
        </w:rPr>
        <w:t xml:space="preserve">Rouche, N. (1998). </w:t>
      </w:r>
      <w:r>
        <w:rPr>
          <w:rFonts w:ascii="Times New Roman" w:cs="Times New Roman" w:eastAsia="Times New Roman" w:hAnsi="Times New Roman"/>
          <w:i/>
          <w:iCs/>
        </w:rPr>
        <w:t xml:space="preserve">Pourquoi ont-ils inventé les fractions ?</w:t>
      </w:r>
      <w:r>
        <w:rPr>
          <w:rFonts w:ascii="Times New Roman" w:cs="Times New Roman" w:eastAsia="Times New Roman" w:hAnsi="Times New Roman"/>
        </w:rPr>
        <w:t xml:space="preserve"> Ellipses.</w:t>
      </w:r>
    </w:p>
    <w:p>
      <w:pPr>
        <w:spacing w:after="140" w:before="0" w:line="276"/>
        <w:ind w:left="709" w:hanging="709"/>
        <w:jc w:val="left"/>
      </w:pPr>
      <w:r>
        <w:rPr>
          <w:rFonts w:ascii="Times New Roman" w:cs="Times New Roman" w:eastAsia="Times New Roman" w:hAnsi="Times New Roman"/>
        </w:rPr>
        <w:t xml:space="preserve">Schön, D. A. (1983). </w:t>
      </w:r>
      <w:r>
        <w:rPr>
          <w:rFonts w:ascii="Times New Roman" w:cs="Times New Roman" w:eastAsia="Times New Roman" w:hAnsi="Times New Roman"/>
          <w:i/>
          <w:iCs/>
        </w:rPr>
        <w:t xml:space="preserve">The reflective practitioner: How professionals think in action</w:t>
      </w:r>
      <w:r>
        <w:rPr>
          <w:rFonts w:ascii="Times New Roman" w:cs="Times New Roman" w:eastAsia="Times New Roman" w:hAnsi="Times New Roman"/>
        </w:rPr>
        <w:t xml:space="preserve">. Basic Books.</w:t>
      </w:r>
    </w:p>
    <w:p>
      <w:pPr>
        <w:spacing w:after="140" w:before="0" w:line="276"/>
        <w:ind w:left="709" w:hanging="709"/>
        <w:jc w:val="left"/>
      </w:pPr>
      <w:r>
        <w:rPr>
          <w:rFonts w:ascii="Times New Roman" w:cs="Times New Roman" w:eastAsia="Times New Roman" w:hAnsi="Times New Roman"/>
        </w:rPr>
        <w:t xml:space="preserve">Shulman, L. S. (1986). Those who understand: Knowledge growth in teaching. </w:t>
      </w:r>
      <w:r>
        <w:rPr>
          <w:rFonts w:ascii="Times New Roman" w:cs="Times New Roman" w:eastAsia="Times New Roman" w:hAnsi="Times New Roman"/>
          <w:i/>
          <w:iCs/>
        </w:rPr>
        <w:t xml:space="preserve">Educational Researcher, 15</w:t>
      </w:r>
      <w:r>
        <w:rPr>
          <w:rFonts w:ascii="Times New Roman" w:cs="Times New Roman" w:eastAsia="Times New Roman" w:hAnsi="Times New Roman"/>
        </w:rPr>
        <w:t xml:space="preserve">(2), 4–14.</w:t>
      </w:r>
    </w:p>
    <w:p>
      <w:pPr>
        <w:spacing w:after="140" w:before="0" w:line="276"/>
        <w:ind w:left="709" w:hanging="709"/>
        <w:jc w:val="left"/>
      </w:pPr>
      <w:r>
        <w:rPr>
          <w:rFonts w:ascii="Times New Roman" w:cs="Times New Roman" w:eastAsia="Times New Roman" w:hAnsi="Times New Roman"/>
        </w:rPr>
        <w:t xml:space="preserve">Siegler, R. S., Duncan, G. J., Davis-Kean, P. E., Duckworth, K., Claessens, A., Engel, M., Susperreguy, M. I., &amp; Chen, M. (2012). Early predictors of high school mathematics achievement. </w:t>
      </w:r>
      <w:r>
        <w:rPr>
          <w:rFonts w:ascii="Times New Roman" w:cs="Times New Roman" w:eastAsia="Times New Roman" w:hAnsi="Times New Roman"/>
          <w:i/>
          <w:iCs/>
        </w:rPr>
        <w:t xml:space="preserve">Psychological Science, 23</w:t>
      </w:r>
      <w:r>
        <w:rPr>
          <w:rFonts w:ascii="Times New Roman" w:cs="Times New Roman" w:eastAsia="Times New Roman" w:hAnsi="Times New Roman"/>
        </w:rPr>
        <w:t xml:space="preserve">(7), 691–697.</w:t>
      </w:r>
    </w:p>
    <w:p>
      <w:pPr>
        <w:spacing w:after="140" w:before="0" w:line="276"/>
        <w:ind w:left="709" w:hanging="709"/>
        <w:jc w:val="left"/>
      </w:pPr>
      <w:r>
        <w:rPr>
          <w:rFonts w:ascii="Times New Roman" w:cs="Times New Roman" w:eastAsia="Times New Roman" w:hAnsi="Times New Roman"/>
        </w:rPr>
        <w:t xml:space="preserve">Siegler, R. S., Thompson, C. A., &amp; Schneider, M. (2011). An integrated theory of whole number and fractions development. </w:t>
      </w:r>
      <w:r>
        <w:rPr>
          <w:rFonts w:ascii="Times New Roman" w:cs="Times New Roman" w:eastAsia="Times New Roman" w:hAnsi="Times New Roman"/>
          <w:i/>
          <w:iCs/>
        </w:rPr>
        <w:t xml:space="preserve">Cognitive Psychology, 62</w:t>
      </w:r>
      <w:r>
        <w:rPr>
          <w:rFonts w:ascii="Times New Roman" w:cs="Times New Roman" w:eastAsia="Times New Roman" w:hAnsi="Times New Roman"/>
        </w:rPr>
        <w:t xml:space="preserve">(4), 273–296.</w:t>
      </w:r>
    </w:p>
    <w:p>
      <w:pPr>
        <w:spacing w:after="140" w:before="0" w:line="276"/>
        <w:ind w:left="709" w:hanging="709"/>
        <w:jc w:val="left"/>
      </w:pPr>
      <w:r>
        <w:rPr>
          <w:rFonts w:ascii="Times New Roman" w:cs="Times New Roman" w:eastAsia="Times New Roman" w:hAnsi="Times New Roman"/>
        </w:rPr>
        <w:t xml:space="preserve">Skemp, R. R. (1976). Relational understanding and instrumental understanding. </w:t>
      </w:r>
      <w:r>
        <w:rPr>
          <w:rFonts w:ascii="Times New Roman" w:cs="Times New Roman" w:eastAsia="Times New Roman" w:hAnsi="Times New Roman"/>
          <w:i/>
          <w:iCs/>
        </w:rPr>
        <w:t xml:space="preserve">Mathematics Teaching, 77</w:t>
      </w:r>
      <w:r>
        <w:rPr>
          <w:rFonts w:ascii="Times New Roman" w:cs="Times New Roman" w:eastAsia="Times New Roman" w:hAnsi="Times New Roman"/>
        </w:rPr>
        <w:t xml:space="preserve">, 20–26.</w:t>
      </w:r>
    </w:p>
    <w:p>
      <w:pPr>
        <w:spacing w:after="140" w:before="0" w:line="276"/>
        <w:ind w:left="709" w:hanging="709"/>
        <w:jc w:val="left"/>
      </w:pPr>
      <w:r>
        <w:rPr>
          <w:rFonts w:ascii="Times New Roman" w:cs="Times New Roman" w:eastAsia="Times New Roman" w:hAnsi="Times New Roman"/>
        </w:rPr>
        <w:t xml:space="preserve">Stafylidou, S., &amp; Vosniadou, S. (2004). The development of students' understanding of the numerical value of fractions. </w:t>
      </w:r>
      <w:r>
        <w:rPr>
          <w:rFonts w:ascii="Times New Roman" w:cs="Times New Roman" w:eastAsia="Times New Roman" w:hAnsi="Times New Roman"/>
          <w:i/>
          <w:iCs/>
        </w:rPr>
        <w:t xml:space="preserve">Learning and Instruction, 14</w:t>
      </w:r>
      <w:r>
        <w:rPr>
          <w:rFonts w:ascii="Times New Roman" w:cs="Times New Roman" w:eastAsia="Times New Roman" w:hAnsi="Times New Roman"/>
        </w:rPr>
        <w:t xml:space="preserve">(5), 503–518.</w:t>
      </w:r>
    </w:p>
    <w:p>
      <w:pPr>
        <w:spacing w:after="140" w:before="0" w:line="276"/>
        <w:ind w:left="709" w:hanging="709"/>
        <w:jc w:val="left"/>
      </w:pPr>
      <w:r>
        <w:rPr>
          <w:rFonts w:ascii="Times New Roman" w:cs="Times New Roman" w:eastAsia="Times New Roman" w:hAnsi="Times New Roman"/>
        </w:rPr>
        <w:t xml:space="preserve">Tardif, M., &amp; Lessard, C. (1999). </w:t>
      </w:r>
      <w:r>
        <w:rPr>
          <w:rFonts w:ascii="Times New Roman" w:cs="Times New Roman" w:eastAsia="Times New Roman" w:hAnsi="Times New Roman"/>
          <w:i/>
          <w:iCs/>
        </w:rPr>
        <w:t xml:space="preserve">Le travail enseignant au quotidien : contribution à l'étude du travail dans les métiers et les professions d'interactions humaines</w:t>
      </w:r>
      <w:r>
        <w:rPr>
          <w:rFonts w:ascii="Times New Roman" w:cs="Times New Roman" w:eastAsia="Times New Roman" w:hAnsi="Times New Roman"/>
        </w:rPr>
        <w:t xml:space="preserve">. De Boeck.</w:t>
      </w:r>
    </w:p>
    <w:p>
      <w:pPr>
        <w:spacing w:after="140" w:before="0" w:line="276"/>
        <w:ind w:left="709" w:hanging="709"/>
        <w:jc w:val="left"/>
      </w:pPr>
      <w:r>
        <w:rPr>
          <w:rFonts w:ascii="Times New Roman" w:cs="Times New Roman" w:eastAsia="Times New Roman" w:hAnsi="Times New Roman"/>
        </w:rPr>
        <w:t xml:space="preserve">Tirosh, D. (2000). Enhancing prospective teachers' knowledge of children's conceptions: The case of division of fractions. </w:t>
      </w:r>
      <w:r>
        <w:rPr>
          <w:rFonts w:ascii="Times New Roman" w:cs="Times New Roman" w:eastAsia="Times New Roman" w:hAnsi="Times New Roman"/>
          <w:i/>
          <w:iCs/>
        </w:rPr>
        <w:t xml:space="preserve">Journal for Research in Mathematics Education, 31</w:t>
      </w:r>
      <w:r>
        <w:rPr>
          <w:rFonts w:ascii="Times New Roman" w:cs="Times New Roman" w:eastAsia="Times New Roman" w:hAnsi="Times New Roman"/>
        </w:rPr>
        <w:t xml:space="preserve">(1), 5–25.</w:t>
      </w:r>
    </w:p>
    <w:p>
      <w:pPr>
        <w:spacing w:after="140" w:before="0" w:line="276"/>
        <w:ind w:left="709" w:hanging="709"/>
        <w:jc w:val="left"/>
      </w:pPr>
      <w:r>
        <w:rPr>
          <w:rFonts w:ascii="Times New Roman" w:cs="Times New Roman" w:eastAsia="Times New Roman" w:hAnsi="Times New Roman"/>
        </w:rPr>
        <w:t xml:space="preserve">UNESCO. (2014). </w:t>
      </w:r>
      <w:r>
        <w:rPr>
          <w:rFonts w:ascii="Times New Roman" w:cs="Times New Roman" w:eastAsia="Times New Roman" w:hAnsi="Times New Roman"/>
          <w:i/>
          <w:iCs/>
        </w:rPr>
        <w:t xml:space="preserve">Rapport mondial de suivi sur l'EPT 2013/4. Enseigner et apprendre : atteindre la qualité pour tous</w:t>
      </w:r>
      <w:r>
        <w:rPr>
          <w:rFonts w:ascii="Times New Roman" w:cs="Times New Roman" w:eastAsia="Times New Roman" w:hAnsi="Times New Roman"/>
        </w:rPr>
        <w:t xml:space="preserve">. UNESCO.</w:t>
      </w:r>
    </w:p>
    <w:p>
      <w:pPr>
        <w:spacing w:after="140" w:before="0" w:line="276"/>
        <w:ind w:left="709" w:hanging="709"/>
        <w:jc w:val="left"/>
      </w:pPr>
      <w:r>
        <w:rPr>
          <w:rFonts w:ascii="Times New Roman" w:cs="Times New Roman" w:eastAsia="Times New Roman" w:hAnsi="Times New Roman"/>
        </w:rPr>
        <w:t xml:space="preserve">Vamvakoussi, X., &amp; Vosniadou, S. (2004). Understanding the structure of the set of rational numbers: A conceptual change approach. </w:t>
      </w:r>
      <w:r>
        <w:rPr>
          <w:rFonts w:ascii="Times New Roman" w:cs="Times New Roman" w:eastAsia="Times New Roman" w:hAnsi="Times New Roman"/>
          <w:i/>
          <w:iCs/>
        </w:rPr>
        <w:t xml:space="preserve">Learning and Instruction, 14</w:t>
      </w:r>
      <w:r>
        <w:rPr>
          <w:rFonts w:ascii="Times New Roman" w:cs="Times New Roman" w:eastAsia="Times New Roman" w:hAnsi="Times New Roman"/>
        </w:rPr>
        <w:t xml:space="preserve">(5), 453–467.</w:t>
      </w:r>
    </w:p>
    <w:p>
      <w:pPr>
        <w:spacing w:after="140" w:before="0" w:line="276"/>
        <w:ind w:left="709" w:hanging="709"/>
        <w:jc w:val="left"/>
      </w:pPr>
      <w:r>
        <w:rPr>
          <w:rFonts w:ascii="Times New Roman" w:cs="Times New Roman" w:eastAsia="Times New Roman" w:hAnsi="Times New Roman"/>
        </w:rPr>
        <w:t xml:space="preserve">Vergnaud, G. (1990). La théorie des champs conceptuels. </w:t>
      </w:r>
      <w:r>
        <w:rPr>
          <w:rFonts w:ascii="Times New Roman" w:cs="Times New Roman" w:eastAsia="Times New Roman" w:hAnsi="Times New Roman"/>
          <w:i/>
          <w:iCs/>
        </w:rPr>
        <w:t xml:space="preserve">Recherches en didactique des mathématiques, 10</w:t>
      </w:r>
      <w:r>
        <w:rPr>
          <w:rFonts w:ascii="Times New Roman" w:cs="Times New Roman" w:eastAsia="Times New Roman" w:hAnsi="Times New Roman"/>
        </w:rPr>
        <w:t xml:space="preserve">(2-3), 133–170.</w:t>
      </w:r>
    </w:p>
    <w:p>
      <w:pPr>
        <w:spacing w:after="140" w:before="0" w:line="276"/>
        <w:ind w:left="709" w:hanging="709"/>
        <w:jc w:val="left"/>
      </w:pPr>
      <w:r>
        <w:rPr>
          <w:rFonts w:ascii="Times New Roman" w:cs="Times New Roman" w:eastAsia="Times New Roman" w:hAnsi="Times New Roman"/>
        </w:rPr>
        <w:t xml:space="preserve">Van der Maren, J.-M. (1996). </w:t>
      </w:r>
      <w:r>
        <w:rPr>
          <w:rFonts w:ascii="Times New Roman" w:cs="Times New Roman" w:eastAsia="Times New Roman" w:hAnsi="Times New Roman"/>
          <w:i/>
          <w:iCs/>
        </w:rPr>
        <w:t xml:space="preserve">Méthodes de recherche pour l'éducation</w:t>
      </w:r>
      <w:r>
        <w:rPr>
          <w:rFonts w:ascii="Times New Roman" w:cs="Times New Roman" w:eastAsia="Times New Roman" w:hAnsi="Times New Roman"/>
        </w:rPr>
        <w:t xml:space="preserve"> (2e éd.). Presses de l'Université de Montréal ; De Boeck.</w:t>
      </w:r>
    </w:p>
    <w:p>
      <w:pPr>
        <w:spacing w:after="140" w:before="0" w:line="276"/>
        <w:ind w:left="709" w:hanging="709"/>
        <w:jc w:val="left"/>
      </w:pPr>
      <w:r>
        <w:rPr>
          <w:rFonts w:ascii="Times New Roman" w:cs="Times New Roman" w:eastAsia="Times New Roman" w:hAnsi="Times New Roman"/>
        </w:rPr>
        <w:t xml:space="preserve">Yamane, T. (1967). </w:t>
      </w:r>
      <w:r>
        <w:rPr>
          <w:rFonts w:ascii="Times New Roman" w:cs="Times New Roman" w:eastAsia="Times New Roman" w:hAnsi="Times New Roman"/>
          <w:i/>
          <w:iCs/>
        </w:rPr>
        <w:t xml:space="preserve">Statistics: An introductory analysis</w:t>
      </w:r>
      <w:r>
        <w:rPr>
          <w:rFonts w:ascii="Times New Roman" w:cs="Times New Roman" w:eastAsia="Times New Roman" w:hAnsi="Times New Roman"/>
        </w:rPr>
        <w:t xml:space="preserve"> (2nd ed.). Harper &amp; Row.</w:t>
      </w:r>
    </w:p>
    <w:p>
      <w:pPr>
        <w:pStyle w:val="Heading2"/>
        <w:keepNext/>
        <w:keepLines/>
      </w:pPr>
      <w:r>
        <w:rPr>
          <w:rFonts w:ascii="Times New Roman" w:cs="Times New Roman" w:eastAsia="Times New Roman" w:hAnsi="Times New Roman"/>
        </w:rPr>
        <w:t xml:space="preserve">Textes officiels et documents institutionnels</w:t>
      </w:r>
    </w:p>
    <w:p>
      <w:pPr>
        <w:spacing w:after="140" w:before="0" w:line="276"/>
        <w:ind w:left="709" w:hanging="709"/>
        <w:jc w:val="left"/>
      </w:pPr>
      <w:r>
        <w:rPr>
          <w:rFonts w:ascii="Times New Roman" w:cs="Times New Roman" w:eastAsia="Times New Roman" w:hAnsi="Times New Roman"/>
        </w:rPr>
        <w:t xml:space="preserve">Arrêté interministériel n°009/MEPSTA/MFPTDS/MEF du 04 novembre 2022 [texte portant transformation de l’ENI de Notsè en ENFPE]. République Togolaise.</w:t>
      </w:r>
    </w:p>
    <w:p>
      <w:pPr>
        <w:spacing w:after="140" w:before="0" w:line="276"/>
        <w:ind w:left="709" w:hanging="709"/>
        <w:jc w:val="left"/>
      </w:pPr>
      <w:r>
        <w:rPr>
          <w:rFonts w:ascii="Times New Roman" w:cs="Times New Roman" w:eastAsia="Times New Roman" w:hAnsi="Times New Roman"/>
        </w:rPr>
        <w:t xml:space="preserve">Arrêté n°615 du 08 novembre 2022 [missions des ENFPE, articles 2 et 3]. République Togolaise.</w:t>
      </w:r>
    </w:p>
    <w:p>
      <w:pPr>
        <w:spacing w:after="140" w:before="0" w:line="276"/>
        <w:ind w:left="709" w:hanging="709"/>
        <w:jc w:val="left"/>
      </w:pPr>
      <w:r>
        <w:rPr>
          <w:rFonts w:ascii="Times New Roman" w:cs="Times New Roman" w:eastAsia="Times New Roman" w:hAnsi="Times New Roman"/>
        </w:rPr>
        <w:t xml:space="preserve">ENFPE de Notsè. (2026). </w:t>
      </w:r>
      <w:r>
        <w:rPr>
          <w:rFonts w:ascii="Times New Roman" w:cs="Times New Roman" w:eastAsia="Times New Roman" w:hAnsi="Times New Roman"/>
          <w:i/>
          <w:iCs/>
        </w:rPr>
        <w:t xml:space="preserve">Tableau d'analyse notionnelle des résultats aux évaluations sommatives, champ mathématique</w:t>
      </w:r>
      <w:r>
        <w:rPr>
          <w:rFonts w:ascii="Times New Roman" w:cs="Times New Roman" w:eastAsia="Times New Roman" w:hAnsi="Times New Roman"/>
        </w:rPr>
        <w:t xml:space="preserve"> [Document interne].</w:t>
      </w:r>
    </w:p>
    <w:p>
      <w:pPr>
        <w:spacing w:after="140" w:before="0" w:line="276"/>
        <w:ind w:left="709" w:hanging="709"/>
        <w:jc w:val="left"/>
      </w:pPr>
      <w:r>
        <w:rPr>
          <w:rFonts w:ascii="Times New Roman" w:cs="Times New Roman" w:eastAsia="Times New Roman" w:hAnsi="Times New Roman"/>
        </w:rPr>
        <w:t xml:space="preserve">République Togolaise. (2020). </w:t>
      </w:r>
      <w:r>
        <w:rPr>
          <w:rFonts w:ascii="Times New Roman" w:cs="Times New Roman" w:eastAsia="Times New Roman" w:hAnsi="Times New Roman"/>
          <w:i/>
          <w:iCs/>
        </w:rPr>
        <w:t xml:space="preserve">Plan sectoriel de l'éducation 2020-2030</w:t>
      </w:r>
      <w:r>
        <w:rPr>
          <w:rFonts w:ascii="Times New Roman" w:cs="Times New Roman" w:eastAsia="Times New Roman" w:hAnsi="Times New Roman"/>
        </w:rPr>
        <w:t xml:space="preserve">. Ministères en charge de l'éducation.</w:t>
      </w:r>
    </w:p>
    <w:p>
      <w:pPr>
        <w:pStyle w:val="Heading1"/>
        <w:keepNext/>
        <w:keepLines/>
        <w:pageBreakBefore/>
      </w:pPr>
      <w:r>
        <w:rPr>
          <w:rFonts w:ascii="Times New Roman" w:cs="Times New Roman" w:eastAsia="Times New Roman" w:hAnsi="Times New Roman"/>
        </w:rPr>
        <w:t xml:space="preserve">TABLE DES MATIÈRES</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INTRODUCTION GÉNÉRALE</w:t>
      </w:r>
      <w:r>
        <w:rPr>
          <w:rFonts w:ascii="Times New Roman" w:cs="Times New Roman" w:eastAsia="Times New Roman" w:hAnsi="Times New Roman"/>
          <w:b/>
          <w:bCs/>
          <w:sz w:val="22"/>
          <w:szCs w:val="22"/>
        </w:rPr>
        <w:t xml:space="preserve">	1</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CHAPITRE 1 : CADRE DU STAGE, ACTIVITÉS RÉALISÉES, ACQUIS PROFESSIONNELS ET DIFFICULTÉS RENCONTRÉES</w:t>
      </w:r>
      <w:r>
        <w:rPr>
          <w:rFonts w:ascii="Times New Roman" w:cs="Times New Roman" w:eastAsia="Times New Roman" w:hAnsi="Times New Roman"/>
          <w:b/>
          <w:bCs/>
          <w:sz w:val="22"/>
          <w:szCs w:val="22"/>
        </w:rPr>
        <w:t xml:space="preserve">	3</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Introduction</w:t>
      </w:r>
      <w:r>
        <w:rPr>
          <w:rFonts w:ascii="Times New Roman" w:cs="Times New Roman" w:eastAsia="Times New Roman" w:hAnsi="Times New Roman"/>
          <w:b w:val="false"/>
          <w:bCs w:val="false"/>
          <w:sz w:val="22"/>
          <w:szCs w:val="22"/>
        </w:rPr>
        <w:t xml:space="preserve">	3</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1.1. Présentation du cadre du stage</w:t>
      </w:r>
      <w:r>
        <w:rPr>
          <w:rFonts w:ascii="Times New Roman" w:cs="Times New Roman" w:eastAsia="Times New Roman" w:hAnsi="Times New Roman"/>
          <w:b w:val="false"/>
          <w:bCs w:val="false"/>
          <w:sz w:val="22"/>
          <w:szCs w:val="22"/>
        </w:rPr>
        <w:t xml:space="preserve">	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1.1.1. Situation géographique et repères historiques</w:t>
      </w:r>
      <w:r>
        <w:rPr>
          <w:rFonts w:ascii="Times New Roman" w:cs="Times New Roman" w:eastAsia="Times New Roman" w:hAnsi="Times New Roman"/>
          <w:b w:val="false"/>
          <w:bCs w:val="false"/>
          <w:sz w:val="22"/>
          <w:szCs w:val="22"/>
        </w:rPr>
        <w:t xml:space="preserve">	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1.1.2. Gouvernance et ressources humaines</w:t>
      </w:r>
      <w:r>
        <w:rPr>
          <w:rFonts w:ascii="Times New Roman" w:cs="Times New Roman" w:eastAsia="Times New Roman" w:hAnsi="Times New Roman"/>
          <w:b w:val="false"/>
          <w:bCs w:val="false"/>
          <w:sz w:val="22"/>
          <w:szCs w:val="22"/>
        </w:rPr>
        <w:t xml:space="preserve">	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1.1.3. Infrastructures et organisation pédagogique</w:t>
      </w:r>
      <w:r>
        <w:rPr>
          <w:rFonts w:ascii="Times New Roman" w:cs="Times New Roman" w:eastAsia="Times New Roman" w:hAnsi="Times New Roman"/>
          <w:b w:val="false"/>
          <w:bCs w:val="false"/>
          <w:sz w:val="22"/>
          <w:szCs w:val="22"/>
        </w:rPr>
        <w:t xml:space="preserve">	4</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1.2. Activités réalisées au cours du stage</w:t>
      </w:r>
      <w:r>
        <w:rPr>
          <w:rFonts w:ascii="Times New Roman" w:cs="Times New Roman" w:eastAsia="Times New Roman" w:hAnsi="Times New Roman"/>
          <w:b w:val="false"/>
          <w:bCs w:val="false"/>
          <w:sz w:val="22"/>
          <w:szCs w:val="22"/>
        </w:rPr>
        <w:t xml:space="preserve">	5</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1.2.1. Accueil, prise de contact et appropriation du cadre de travail</w:t>
      </w:r>
      <w:r>
        <w:rPr>
          <w:rFonts w:ascii="Times New Roman" w:cs="Times New Roman" w:eastAsia="Times New Roman" w:hAnsi="Times New Roman"/>
          <w:b w:val="false"/>
          <w:bCs w:val="false"/>
          <w:sz w:val="22"/>
          <w:szCs w:val="22"/>
        </w:rPr>
        <w:t xml:space="preserve">	6</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1.2.2. Activités pédagogiques</w:t>
      </w:r>
      <w:r>
        <w:rPr>
          <w:rFonts w:ascii="Times New Roman" w:cs="Times New Roman" w:eastAsia="Times New Roman" w:hAnsi="Times New Roman"/>
          <w:b w:val="false"/>
          <w:bCs w:val="false"/>
          <w:sz w:val="22"/>
          <w:szCs w:val="22"/>
        </w:rPr>
        <w:t xml:space="preserve">	6</w:t>
      </w:r>
    </w:p>
    <w:p>
      <w:pPr>
        <w:tabs>
          <w:tab w:val="right" w:pos="9072" w:leader="dot"/>
        </w:tabs>
        <w:spacing w:after="20" w:before="0" w:line="264"/>
        <w:ind w:left="900" w:right="400"/>
      </w:pPr>
      <w:r>
        <w:rPr>
          <w:rFonts w:ascii="Times New Roman" w:cs="Times New Roman" w:eastAsia="Times New Roman" w:hAnsi="Times New Roman"/>
          <w:b w:val="false"/>
          <w:bCs w:val="false"/>
          <w:sz w:val="22"/>
          <w:szCs w:val="22"/>
        </w:rPr>
        <w:t xml:space="preserve">a) L'observation des séances des professeurs titulaires</w:t>
      </w:r>
      <w:r>
        <w:rPr>
          <w:rFonts w:ascii="Times New Roman" w:cs="Times New Roman" w:eastAsia="Times New Roman" w:hAnsi="Times New Roman"/>
          <w:b w:val="false"/>
          <w:bCs w:val="false"/>
          <w:sz w:val="22"/>
          <w:szCs w:val="22"/>
        </w:rPr>
        <w:t xml:space="preserve">	6</w:t>
      </w:r>
    </w:p>
    <w:p>
      <w:pPr>
        <w:tabs>
          <w:tab w:val="right" w:pos="9072" w:leader="dot"/>
        </w:tabs>
        <w:spacing w:after="20" w:before="0" w:line="264"/>
        <w:ind w:left="900" w:right="400"/>
      </w:pPr>
      <w:r>
        <w:rPr>
          <w:rFonts w:ascii="Times New Roman" w:cs="Times New Roman" w:eastAsia="Times New Roman" w:hAnsi="Times New Roman"/>
          <w:b w:val="false"/>
          <w:bCs w:val="false"/>
          <w:sz w:val="22"/>
          <w:szCs w:val="22"/>
        </w:rPr>
        <w:t xml:space="preserve">b) La prise en charge de classes</w:t>
      </w:r>
      <w:r>
        <w:rPr>
          <w:rFonts w:ascii="Times New Roman" w:cs="Times New Roman" w:eastAsia="Times New Roman" w:hAnsi="Times New Roman"/>
          <w:b w:val="false"/>
          <w:bCs w:val="false"/>
          <w:sz w:val="22"/>
          <w:szCs w:val="22"/>
        </w:rPr>
        <w:t xml:space="preserve">	7</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1.2.3. Activités didactiques</w:t>
      </w:r>
      <w:r>
        <w:rPr>
          <w:rFonts w:ascii="Times New Roman" w:cs="Times New Roman" w:eastAsia="Times New Roman" w:hAnsi="Times New Roman"/>
          <w:b w:val="false"/>
          <w:bCs w:val="false"/>
          <w:sz w:val="22"/>
          <w:szCs w:val="22"/>
        </w:rPr>
        <w:t xml:space="preserve">	8</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1.2.4. Activités d'évaluation</w:t>
      </w:r>
      <w:r>
        <w:rPr>
          <w:rFonts w:ascii="Times New Roman" w:cs="Times New Roman" w:eastAsia="Times New Roman" w:hAnsi="Times New Roman"/>
          <w:b w:val="false"/>
          <w:bCs w:val="false"/>
          <w:sz w:val="22"/>
          <w:szCs w:val="22"/>
        </w:rPr>
        <w:t xml:space="preserve">	9</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1.2.5. Activités administratives et institutionnelles</w:t>
      </w:r>
      <w:r>
        <w:rPr>
          <w:rFonts w:ascii="Times New Roman" w:cs="Times New Roman" w:eastAsia="Times New Roman" w:hAnsi="Times New Roman"/>
          <w:b w:val="false"/>
          <w:bCs w:val="false"/>
          <w:sz w:val="22"/>
          <w:szCs w:val="22"/>
        </w:rPr>
        <w:t xml:space="preserve">	10</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1.2.6. Activités périscolaires</w:t>
      </w:r>
      <w:r>
        <w:rPr>
          <w:rFonts w:ascii="Times New Roman" w:cs="Times New Roman" w:eastAsia="Times New Roman" w:hAnsi="Times New Roman"/>
          <w:b w:val="false"/>
          <w:bCs w:val="false"/>
          <w:sz w:val="22"/>
          <w:szCs w:val="22"/>
        </w:rPr>
        <w:t xml:space="preserve">	10</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1.2.7. Pertinence des activités pour notre professionnalisation</w:t>
      </w:r>
      <w:r>
        <w:rPr>
          <w:rFonts w:ascii="Times New Roman" w:cs="Times New Roman" w:eastAsia="Times New Roman" w:hAnsi="Times New Roman"/>
          <w:b w:val="false"/>
          <w:bCs w:val="false"/>
          <w:sz w:val="22"/>
          <w:szCs w:val="22"/>
        </w:rPr>
        <w:t xml:space="preserve">	11</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1.3. Acquis professionnels</w:t>
      </w:r>
      <w:r>
        <w:rPr>
          <w:rFonts w:ascii="Times New Roman" w:cs="Times New Roman" w:eastAsia="Times New Roman" w:hAnsi="Times New Roman"/>
          <w:b w:val="false"/>
          <w:bCs w:val="false"/>
          <w:sz w:val="22"/>
          <w:szCs w:val="22"/>
        </w:rPr>
        <w:t xml:space="preserve">	11</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1.3.1. Acquis pédagogiques</w:t>
      </w:r>
      <w:r>
        <w:rPr>
          <w:rFonts w:ascii="Times New Roman" w:cs="Times New Roman" w:eastAsia="Times New Roman" w:hAnsi="Times New Roman"/>
          <w:b w:val="false"/>
          <w:bCs w:val="false"/>
          <w:sz w:val="22"/>
          <w:szCs w:val="22"/>
        </w:rPr>
        <w:t xml:space="preserve">	11</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1.3.2. Acquis didactiques</w:t>
      </w:r>
      <w:r>
        <w:rPr>
          <w:rFonts w:ascii="Times New Roman" w:cs="Times New Roman" w:eastAsia="Times New Roman" w:hAnsi="Times New Roman"/>
          <w:b w:val="false"/>
          <w:bCs w:val="false"/>
          <w:sz w:val="22"/>
          <w:szCs w:val="22"/>
        </w:rPr>
        <w:t xml:space="preserve">	12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1.3.3. Acquis en matière d'évaluation et d'accompagnement</w:t>
      </w:r>
      <w:r>
        <w:rPr>
          <w:rFonts w:ascii="Times New Roman" w:cs="Times New Roman" w:eastAsia="Times New Roman" w:hAnsi="Times New Roman"/>
          <w:b w:val="false"/>
          <w:bCs w:val="false"/>
          <w:sz w:val="22"/>
          <w:szCs w:val="22"/>
        </w:rPr>
        <w:t xml:space="preserve">	12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1.3.4. Acquis sociaux, relationnels et réflexifs</w:t>
      </w:r>
      <w:r>
        <w:rPr>
          <w:rFonts w:ascii="Times New Roman" w:cs="Times New Roman" w:eastAsia="Times New Roman" w:hAnsi="Times New Roman"/>
          <w:b w:val="false"/>
          <w:bCs w:val="false"/>
          <w:sz w:val="22"/>
          <w:szCs w:val="22"/>
        </w:rPr>
        <w:t xml:space="preserve">	12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1.3.5. Synthèse des acquis professionnels</w:t>
      </w:r>
      <w:r>
        <w:rPr>
          <w:rFonts w:ascii="Times New Roman" w:cs="Times New Roman" w:eastAsia="Times New Roman" w:hAnsi="Times New Roman"/>
          <w:b w:val="false"/>
          <w:bCs w:val="false"/>
          <w:sz w:val="22"/>
          <w:szCs w:val="22"/>
        </w:rPr>
        <w:t xml:space="preserve">	13</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1.4. Difficultés rencontrées et stratégies développées</w:t>
      </w:r>
      <w:r>
        <w:rPr>
          <w:rFonts w:ascii="Times New Roman" w:cs="Times New Roman" w:eastAsia="Times New Roman" w:hAnsi="Times New Roman"/>
          <w:b w:val="false"/>
          <w:bCs w:val="false"/>
          <w:sz w:val="22"/>
          <w:szCs w:val="22"/>
        </w:rPr>
        <w:t xml:space="preserve">	13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1.4.1. Difficultés d'ordre didactique et épistémologique</w:t>
      </w:r>
      <w:r>
        <w:rPr>
          <w:rFonts w:ascii="Times New Roman" w:cs="Times New Roman" w:eastAsia="Times New Roman" w:hAnsi="Times New Roman"/>
          <w:b w:val="false"/>
          <w:bCs w:val="false"/>
          <w:sz w:val="22"/>
          <w:szCs w:val="22"/>
        </w:rPr>
        <w:t xml:space="preserve">	13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1.4.2. Difficultés liées à la préparation et à la gestion du temps didactique</w:t>
      </w:r>
      <w:r>
        <w:rPr>
          <w:rFonts w:ascii="Times New Roman" w:cs="Times New Roman" w:eastAsia="Times New Roman" w:hAnsi="Times New Roman"/>
          <w:b w:val="false"/>
          <w:bCs w:val="false"/>
          <w:sz w:val="22"/>
          <w:szCs w:val="22"/>
        </w:rPr>
        <w:t xml:space="preserve">	14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1.4.3. Difficultés liées à la tenue des classes à grands effectifs</w:t>
      </w:r>
      <w:r>
        <w:rPr>
          <w:rFonts w:ascii="Times New Roman" w:cs="Times New Roman" w:eastAsia="Times New Roman" w:hAnsi="Times New Roman"/>
          <w:b w:val="false"/>
          <w:bCs w:val="false"/>
          <w:sz w:val="22"/>
          <w:szCs w:val="22"/>
        </w:rPr>
        <w:t xml:space="preserve">	14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1.4.4. Difficultés liées au suivi des EPE sur le terrain</w:t>
      </w:r>
      <w:r>
        <w:rPr>
          <w:rFonts w:ascii="Times New Roman" w:cs="Times New Roman" w:eastAsia="Times New Roman" w:hAnsi="Times New Roman"/>
          <w:b w:val="false"/>
          <w:bCs w:val="false"/>
          <w:sz w:val="22"/>
          <w:szCs w:val="22"/>
        </w:rPr>
        <w:t xml:space="preserve">	14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1.4.5. Difficultés liées aux activités d'évaluation</w:t>
      </w:r>
      <w:r>
        <w:rPr>
          <w:rFonts w:ascii="Times New Roman" w:cs="Times New Roman" w:eastAsia="Times New Roman" w:hAnsi="Times New Roman"/>
          <w:b w:val="false"/>
          <w:bCs w:val="false"/>
          <w:sz w:val="22"/>
          <w:szCs w:val="22"/>
        </w:rPr>
        <w:t xml:space="preserve">	15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1.5. Difficulté retenue comme problème de recherche</w:t>
      </w:r>
      <w:r>
        <w:rPr>
          <w:rFonts w:ascii="Times New Roman" w:cs="Times New Roman" w:eastAsia="Times New Roman" w:hAnsi="Times New Roman"/>
          <w:b w:val="false"/>
          <w:bCs w:val="false"/>
          <w:sz w:val="22"/>
          <w:szCs w:val="22"/>
        </w:rPr>
        <w:t xml:space="preserve">	15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Conclusion</w:t>
      </w:r>
      <w:r>
        <w:rPr>
          <w:rFonts w:ascii="Times New Roman" w:cs="Times New Roman" w:eastAsia="Times New Roman" w:hAnsi="Times New Roman"/>
          <w:b w:val="false"/>
          <w:bCs w:val="false"/>
          <w:sz w:val="22"/>
          <w:szCs w:val="22"/>
        </w:rPr>
        <w:t xml:space="preserve">	16</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CHAPITRE 2 : PROBLÈME RELEVÉ AU COURS DU STAGE</w:t>
      </w:r>
      <w:r>
        <w:rPr>
          <w:rFonts w:ascii="Times New Roman" w:cs="Times New Roman" w:eastAsia="Times New Roman" w:hAnsi="Times New Roman"/>
          <w:b/>
          <w:bCs/>
          <w:sz w:val="22"/>
          <w:szCs w:val="22"/>
        </w:rPr>
        <w:t xml:space="preserve">	17</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Introduction</w:t>
      </w:r>
      <w:r>
        <w:rPr>
          <w:rFonts w:ascii="Times New Roman" w:cs="Times New Roman" w:eastAsia="Times New Roman" w:hAnsi="Times New Roman"/>
          <w:b w:val="false"/>
          <w:bCs w:val="false"/>
          <w:sz w:val="22"/>
          <w:szCs w:val="22"/>
        </w:rPr>
        <w:t xml:space="preserve">	17</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2.1. Contexte et justification du problème</w:t>
      </w:r>
      <w:r>
        <w:rPr>
          <w:rFonts w:ascii="Times New Roman" w:cs="Times New Roman" w:eastAsia="Times New Roman" w:hAnsi="Times New Roman"/>
          <w:b w:val="false"/>
          <w:bCs w:val="false"/>
          <w:sz w:val="22"/>
          <w:szCs w:val="22"/>
        </w:rPr>
        <w:t xml:space="preserve">	17</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2.1.1. Les apprentissages mathématiques au primaire : un enjeu international et national</w:t>
      </w:r>
      <w:r>
        <w:rPr>
          <w:rFonts w:ascii="Times New Roman" w:cs="Times New Roman" w:eastAsia="Times New Roman" w:hAnsi="Times New Roman"/>
          <w:b w:val="false"/>
          <w:bCs w:val="false"/>
          <w:sz w:val="22"/>
          <w:szCs w:val="22"/>
        </w:rPr>
        <w:t xml:space="preserve">	17</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2.1.2. La formation initiale en ENFPE et l'exigence de la double transposition didactique</w:t>
      </w:r>
      <w:r>
        <w:rPr>
          <w:rFonts w:ascii="Times New Roman" w:cs="Times New Roman" w:eastAsia="Times New Roman" w:hAnsi="Times New Roman"/>
          <w:b w:val="false"/>
          <w:bCs w:val="false"/>
          <w:sz w:val="22"/>
          <w:szCs w:val="22"/>
        </w:rPr>
        <w:t xml:space="preserve">	18</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2.1.3. Les fractions : un objet d'enseignement charnière au primaire</w:t>
      </w:r>
      <w:r>
        <w:rPr>
          <w:rFonts w:ascii="Times New Roman" w:cs="Times New Roman" w:eastAsia="Times New Roman" w:hAnsi="Times New Roman"/>
          <w:b w:val="false"/>
          <w:bCs w:val="false"/>
          <w:sz w:val="22"/>
          <w:szCs w:val="22"/>
        </w:rPr>
        <w:t xml:space="preserve">	18</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2.1.4. Les constats effectués au cours du stage à l'ENFPE de Notsè</w:t>
      </w:r>
      <w:r>
        <w:rPr>
          <w:rFonts w:ascii="Times New Roman" w:cs="Times New Roman" w:eastAsia="Times New Roman" w:hAnsi="Times New Roman"/>
          <w:b w:val="false"/>
          <w:bCs w:val="false"/>
          <w:sz w:val="22"/>
          <w:szCs w:val="22"/>
        </w:rPr>
        <w:t xml:space="preserve">	19</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2.1.5. Analyse des causes présumées et des conséquences du problème</w:t>
      </w:r>
      <w:r>
        <w:rPr>
          <w:rFonts w:ascii="Times New Roman" w:cs="Times New Roman" w:eastAsia="Times New Roman" w:hAnsi="Times New Roman"/>
          <w:b w:val="false"/>
          <w:bCs w:val="false"/>
          <w:sz w:val="22"/>
          <w:szCs w:val="22"/>
        </w:rPr>
        <w:t xml:space="preserve">	20</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2.1.6. Justification du choix du sujet</w:t>
      </w:r>
      <w:r>
        <w:rPr>
          <w:rFonts w:ascii="Times New Roman" w:cs="Times New Roman" w:eastAsia="Times New Roman" w:hAnsi="Times New Roman"/>
          <w:b w:val="false"/>
          <w:bCs w:val="false"/>
          <w:sz w:val="22"/>
          <w:szCs w:val="22"/>
        </w:rPr>
        <w:t xml:space="preserve">	20</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2.2. Énoncé du problème</w:t>
      </w:r>
      <w:r>
        <w:rPr>
          <w:rFonts w:ascii="Times New Roman" w:cs="Times New Roman" w:eastAsia="Times New Roman" w:hAnsi="Times New Roman"/>
          <w:b w:val="false"/>
          <w:bCs w:val="false"/>
          <w:sz w:val="22"/>
          <w:szCs w:val="22"/>
        </w:rPr>
        <w:t xml:space="preserve">	21</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2.3. Questions de recherche</w:t>
      </w:r>
      <w:r>
        <w:rPr>
          <w:rFonts w:ascii="Times New Roman" w:cs="Times New Roman" w:eastAsia="Times New Roman" w:hAnsi="Times New Roman"/>
          <w:b w:val="false"/>
          <w:bCs w:val="false"/>
          <w:sz w:val="22"/>
          <w:szCs w:val="22"/>
        </w:rPr>
        <w:t xml:space="preserve">	21</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2.3.1. Question principale</w:t>
      </w:r>
      <w:r>
        <w:rPr>
          <w:rFonts w:ascii="Times New Roman" w:cs="Times New Roman" w:eastAsia="Times New Roman" w:hAnsi="Times New Roman"/>
          <w:b w:val="false"/>
          <w:bCs w:val="false"/>
          <w:sz w:val="22"/>
          <w:szCs w:val="22"/>
        </w:rPr>
        <w:t xml:space="preserve">	21</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2.3.2. Questions secondaires</w:t>
      </w:r>
      <w:r>
        <w:rPr>
          <w:rFonts w:ascii="Times New Roman" w:cs="Times New Roman" w:eastAsia="Times New Roman" w:hAnsi="Times New Roman"/>
          <w:b w:val="false"/>
          <w:bCs w:val="false"/>
          <w:sz w:val="22"/>
          <w:szCs w:val="22"/>
        </w:rPr>
        <w:t xml:space="preserve">	21</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2.4. Hypothèses de recherche</w:t>
      </w:r>
      <w:r>
        <w:rPr>
          <w:rFonts w:ascii="Times New Roman" w:cs="Times New Roman" w:eastAsia="Times New Roman" w:hAnsi="Times New Roman"/>
          <w:b w:val="false"/>
          <w:bCs w:val="false"/>
          <w:sz w:val="22"/>
          <w:szCs w:val="22"/>
        </w:rPr>
        <w:t xml:space="preserve">	22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2.4.1. Hypothèse principale</w:t>
      </w:r>
      <w:r>
        <w:rPr>
          <w:rFonts w:ascii="Times New Roman" w:cs="Times New Roman" w:eastAsia="Times New Roman" w:hAnsi="Times New Roman"/>
          <w:b w:val="false"/>
          <w:bCs w:val="false"/>
          <w:sz w:val="22"/>
          <w:szCs w:val="22"/>
        </w:rPr>
        <w:t xml:space="preserve">	22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2.4.2. Hypothèses secondaires</w:t>
      </w:r>
      <w:r>
        <w:rPr>
          <w:rFonts w:ascii="Times New Roman" w:cs="Times New Roman" w:eastAsia="Times New Roman" w:hAnsi="Times New Roman"/>
          <w:b w:val="false"/>
          <w:bCs w:val="false"/>
          <w:sz w:val="22"/>
          <w:szCs w:val="22"/>
        </w:rPr>
        <w:t xml:space="preserve">	22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2.5. Objectifs de la recherche</w:t>
      </w:r>
      <w:r>
        <w:rPr>
          <w:rFonts w:ascii="Times New Roman" w:cs="Times New Roman" w:eastAsia="Times New Roman" w:hAnsi="Times New Roman"/>
          <w:b w:val="false"/>
          <w:bCs w:val="false"/>
          <w:sz w:val="22"/>
          <w:szCs w:val="22"/>
        </w:rPr>
        <w:t xml:space="preserve">	22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2.5.1. Objectif général</w:t>
      </w:r>
      <w:r>
        <w:rPr>
          <w:rFonts w:ascii="Times New Roman" w:cs="Times New Roman" w:eastAsia="Times New Roman" w:hAnsi="Times New Roman"/>
          <w:b w:val="false"/>
          <w:bCs w:val="false"/>
          <w:sz w:val="22"/>
          <w:szCs w:val="22"/>
        </w:rPr>
        <w:t xml:space="preserve">	22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2.5.2. Objectifs spécifiques</w:t>
      </w:r>
      <w:r>
        <w:rPr>
          <w:rFonts w:ascii="Times New Roman" w:cs="Times New Roman" w:eastAsia="Times New Roman" w:hAnsi="Times New Roman"/>
          <w:b w:val="false"/>
          <w:bCs w:val="false"/>
          <w:sz w:val="22"/>
          <w:szCs w:val="22"/>
        </w:rPr>
        <w:t xml:space="preserve">	22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2.6. Pertinence de l'étude</w:t>
      </w:r>
      <w:r>
        <w:rPr>
          <w:rFonts w:ascii="Times New Roman" w:cs="Times New Roman" w:eastAsia="Times New Roman" w:hAnsi="Times New Roman"/>
          <w:b w:val="false"/>
          <w:bCs w:val="false"/>
          <w:sz w:val="22"/>
          <w:szCs w:val="22"/>
        </w:rPr>
        <w:t xml:space="preserve">	23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2.6.1. Pertinence scientifique</w:t>
      </w:r>
      <w:r>
        <w:rPr>
          <w:rFonts w:ascii="Times New Roman" w:cs="Times New Roman" w:eastAsia="Times New Roman" w:hAnsi="Times New Roman"/>
          <w:b w:val="false"/>
          <w:bCs w:val="false"/>
          <w:sz w:val="22"/>
          <w:szCs w:val="22"/>
        </w:rPr>
        <w:t xml:space="preserve">	23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2.6.2. Pertinence professionnelle et institutionnelle</w:t>
      </w:r>
      <w:r>
        <w:rPr>
          <w:rFonts w:ascii="Times New Roman" w:cs="Times New Roman" w:eastAsia="Times New Roman" w:hAnsi="Times New Roman"/>
          <w:b w:val="false"/>
          <w:bCs w:val="false"/>
          <w:sz w:val="22"/>
          <w:szCs w:val="22"/>
        </w:rPr>
        <w:t xml:space="preserve">	23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2.6.3. Pertinence sociale</w:t>
      </w:r>
      <w:r>
        <w:rPr>
          <w:rFonts w:ascii="Times New Roman" w:cs="Times New Roman" w:eastAsia="Times New Roman" w:hAnsi="Times New Roman"/>
          <w:b w:val="false"/>
          <w:bCs w:val="false"/>
          <w:sz w:val="22"/>
          <w:szCs w:val="22"/>
        </w:rPr>
        <w:t xml:space="preserve">	23</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2.7. Délimitation de l'étude</w:t>
      </w:r>
      <w:r>
        <w:rPr>
          <w:rFonts w:ascii="Times New Roman" w:cs="Times New Roman" w:eastAsia="Times New Roman" w:hAnsi="Times New Roman"/>
          <w:b w:val="false"/>
          <w:bCs w:val="false"/>
          <w:sz w:val="22"/>
          <w:szCs w:val="22"/>
        </w:rPr>
        <w:t xml:space="preserve">	24</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Conclusion</w:t>
      </w:r>
      <w:r>
        <w:rPr>
          <w:rFonts w:ascii="Times New Roman" w:cs="Times New Roman" w:eastAsia="Times New Roman" w:hAnsi="Times New Roman"/>
          <w:b w:val="false"/>
          <w:bCs w:val="false"/>
          <w:sz w:val="22"/>
          <w:szCs w:val="22"/>
        </w:rPr>
        <w:t xml:space="preserve">	24</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CHAPITRE 3 : APPROCHE THÉORIQUE ET MÉTHODOLOGIQUE</w:t>
      </w:r>
      <w:r>
        <w:rPr>
          <w:rFonts w:ascii="Times New Roman" w:cs="Times New Roman" w:eastAsia="Times New Roman" w:hAnsi="Times New Roman"/>
          <w:b/>
          <w:bCs/>
          <w:sz w:val="22"/>
          <w:szCs w:val="22"/>
        </w:rPr>
        <w:t xml:space="preserve">	25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Introduction</w:t>
      </w:r>
      <w:r>
        <w:rPr>
          <w:rFonts w:ascii="Times New Roman" w:cs="Times New Roman" w:eastAsia="Times New Roman" w:hAnsi="Times New Roman"/>
          <w:b w:val="false"/>
          <w:bCs w:val="false"/>
          <w:sz w:val="22"/>
          <w:szCs w:val="22"/>
        </w:rPr>
        <w:t xml:space="preserve">	25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3.1. État de la question</w:t>
      </w:r>
      <w:r>
        <w:rPr>
          <w:rFonts w:ascii="Times New Roman" w:cs="Times New Roman" w:eastAsia="Times New Roman" w:hAnsi="Times New Roman"/>
          <w:b w:val="false"/>
          <w:bCs w:val="false"/>
          <w:sz w:val="22"/>
          <w:szCs w:val="22"/>
        </w:rPr>
        <w:t xml:space="preserve">	25</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3.1.1. La fraction, un concept aux multiples facettes</w:t>
      </w:r>
      <w:r>
        <w:rPr>
          <w:rFonts w:ascii="Times New Roman" w:cs="Times New Roman" w:eastAsia="Times New Roman" w:hAnsi="Times New Roman"/>
          <w:b w:val="false"/>
          <w:bCs w:val="false"/>
          <w:sz w:val="22"/>
          <w:szCs w:val="22"/>
        </w:rPr>
        <w:t xml:space="preserve">	25</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3.1.2. Les difficultés d'apprentissage des fractions et le biais du nombre entier</w:t>
      </w:r>
      <w:r>
        <w:rPr>
          <w:rFonts w:ascii="Times New Roman" w:cs="Times New Roman" w:eastAsia="Times New Roman" w:hAnsi="Times New Roman"/>
          <w:b w:val="false"/>
          <w:bCs w:val="false"/>
          <w:sz w:val="22"/>
          <w:szCs w:val="22"/>
        </w:rPr>
        <w:t xml:space="preserve">	26</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3.1.3. Les connaissances des enseignants et des futurs enseignants sur les fractions</w:t>
      </w:r>
      <w:r>
        <w:rPr>
          <w:rFonts w:ascii="Times New Roman" w:cs="Times New Roman" w:eastAsia="Times New Roman" w:hAnsi="Times New Roman"/>
          <w:b w:val="false"/>
          <w:bCs w:val="false"/>
          <w:sz w:val="22"/>
          <w:szCs w:val="22"/>
        </w:rPr>
        <w:t xml:space="preserve">	26</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3.1.4. Les pratiques d'enseignement des fractions et les approches efficaces</w:t>
      </w:r>
      <w:r>
        <w:rPr>
          <w:rFonts w:ascii="Times New Roman" w:cs="Times New Roman" w:eastAsia="Times New Roman" w:hAnsi="Times New Roman"/>
          <w:b w:val="false"/>
          <w:bCs w:val="false"/>
          <w:sz w:val="22"/>
          <w:szCs w:val="22"/>
        </w:rPr>
        <w:t xml:space="preserve">	27</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3.1.5. La formation initiale des enseignants en Afrique subsaharienne</w:t>
      </w:r>
      <w:r>
        <w:rPr>
          <w:rFonts w:ascii="Times New Roman" w:cs="Times New Roman" w:eastAsia="Times New Roman" w:hAnsi="Times New Roman"/>
          <w:b w:val="false"/>
          <w:bCs w:val="false"/>
          <w:sz w:val="22"/>
          <w:szCs w:val="22"/>
        </w:rPr>
        <w:t xml:space="preserve">	28</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3.1.6. Synthèse et positionnement de notre recherche</w:t>
      </w:r>
      <w:r>
        <w:rPr>
          <w:rFonts w:ascii="Times New Roman" w:cs="Times New Roman" w:eastAsia="Times New Roman" w:hAnsi="Times New Roman"/>
          <w:b w:val="false"/>
          <w:bCs w:val="false"/>
          <w:sz w:val="22"/>
          <w:szCs w:val="22"/>
        </w:rPr>
        <w:t xml:space="preserve">	28</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3.2. Approche théorique</w:t>
      </w:r>
      <w:r>
        <w:rPr>
          <w:rFonts w:ascii="Times New Roman" w:cs="Times New Roman" w:eastAsia="Times New Roman" w:hAnsi="Times New Roman"/>
          <w:b w:val="false"/>
          <w:bCs w:val="false"/>
          <w:sz w:val="22"/>
          <w:szCs w:val="22"/>
        </w:rPr>
        <w:t xml:space="preserve">	29</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3.2.1. La notion d'obstacle épistémologique</w:t>
      </w:r>
      <w:r>
        <w:rPr>
          <w:rFonts w:ascii="Times New Roman" w:cs="Times New Roman" w:eastAsia="Times New Roman" w:hAnsi="Times New Roman"/>
          <w:b w:val="false"/>
          <w:bCs w:val="false"/>
          <w:sz w:val="22"/>
          <w:szCs w:val="22"/>
        </w:rPr>
        <w:t xml:space="preserve">	30</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3.2.2. La Théorie des Situations Didactiques</w:t>
      </w:r>
      <w:r>
        <w:rPr>
          <w:rFonts w:ascii="Times New Roman" w:cs="Times New Roman" w:eastAsia="Times New Roman" w:hAnsi="Times New Roman"/>
          <w:b w:val="false"/>
          <w:bCs w:val="false"/>
          <w:sz w:val="22"/>
          <w:szCs w:val="22"/>
        </w:rPr>
        <w:t xml:space="preserve">	30</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3.2.3. La dialectique outil-objet et les jeux de cadres</w:t>
      </w:r>
      <w:r>
        <w:rPr>
          <w:rFonts w:ascii="Times New Roman" w:cs="Times New Roman" w:eastAsia="Times New Roman" w:hAnsi="Times New Roman"/>
          <w:b w:val="false"/>
          <w:bCs w:val="false"/>
          <w:sz w:val="22"/>
          <w:szCs w:val="22"/>
        </w:rPr>
        <w:t xml:space="preserve">	31</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3.2.4. Les registres de représentation sémiotique</w:t>
      </w:r>
      <w:r>
        <w:rPr>
          <w:rFonts w:ascii="Times New Roman" w:cs="Times New Roman" w:eastAsia="Times New Roman" w:hAnsi="Times New Roman"/>
          <w:b w:val="false"/>
          <w:bCs w:val="false"/>
          <w:sz w:val="22"/>
          <w:szCs w:val="22"/>
        </w:rPr>
        <w:t xml:space="preserve">	31</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3.2.5. La transposition didactique et la double transposition en formation des maîtres</w:t>
      </w:r>
      <w:r>
        <w:rPr>
          <w:rFonts w:ascii="Times New Roman" w:cs="Times New Roman" w:eastAsia="Times New Roman" w:hAnsi="Times New Roman"/>
          <w:b w:val="false"/>
          <w:bCs w:val="false"/>
          <w:sz w:val="22"/>
          <w:szCs w:val="22"/>
        </w:rPr>
        <w:t xml:space="preserve">	31</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3.2.6. La théorie des champs conceptuels</w:t>
      </w:r>
      <w:r>
        <w:rPr>
          <w:rFonts w:ascii="Times New Roman" w:cs="Times New Roman" w:eastAsia="Times New Roman" w:hAnsi="Times New Roman"/>
          <w:b w:val="false"/>
          <w:bCs w:val="false"/>
          <w:sz w:val="22"/>
          <w:szCs w:val="22"/>
        </w:rPr>
        <w:t xml:space="preserve">	32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3.2.7. Articulation des cadres théoriques</w:t>
      </w:r>
      <w:r>
        <w:rPr>
          <w:rFonts w:ascii="Times New Roman" w:cs="Times New Roman" w:eastAsia="Times New Roman" w:hAnsi="Times New Roman"/>
          <w:b w:val="false"/>
          <w:bCs w:val="false"/>
          <w:sz w:val="22"/>
          <w:szCs w:val="22"/>
        </w:rPr>
        <w:t xml:space="preserve">	32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3.3. Clarification des concepts</w:t>
      </w:r>
      <w:r>
        <w:rPr>
          <w:rFonts w:ascii="Times New Roman" w:cs="Times New Roman" w:eastAsia="Times New Roman" w:hAnsi="Times New Roman"/>
          <w:b w:val="false"/>
          <w:bCs w:val="false"/>
          <w:sz w:val="22"/>
          <w:szCs w:val="22"/>
        </w:rPr>
        <w:t xml:space="preserve">	33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3.3.1. Difficulté d'enseignement</w:t>
      </w:r>
      <w:r>
        <w:rPr>
          <w:rFonts w:ascii="Times New Roman" w:cs="Times New Roman" w:eastAsia="Times New Roman" w:hAnsi="Times New Roman"/>
          <w:b w:val="false"/>
          <w:bCs w:val="false"/>
          <w:sz w:val="22"/>
          <w:szCs w:val="22"/>
        </w:rPr>
        <w:t xml:space="preserve">	33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3.3.2. Élève-professeur d'école (EPE)</w:t>
      </w:r>
      <w:r>
        <w:rPr>
          <w:rFonts w:ascii="Times New Roman" w:cs="Times New Roman" w:eastAsia="Times New Roman" w:hAnsi="Times New Roman"/>
          <w:b w:val="false"/>
          <w:bCs w:val="false"/>
          <w:sz w:val="22"/>
          <w:szCs w:val="22"/>
        </w:rPr>
        <w:t xml:space="preserve">	33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3.3.3. Fraction</w:t>
      </w:r>
      <w:r>
        <w:rPr>
          <w:rFonts w:ascii="Times New Roman" w:cs="Times New Roman" w:eastAsia="Times New Roman" w:hAnsi="Times New Roman"/>
          <w:b w:val="false"/>
          <w:bCs w:val="false"/>
          <w:sz w:val="22"/>
          <w:szCs w:val="22"/>
        </w:rPr>
        <w:t xml:space="preserve">	33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3.3.4. Pratiques enseignantes</w:t>
      </w:r>
      <w:r>
        <w:rPr>
          <w:rFonts w:ascii="Times New Roman" w:cs="Times New Roman" w:eastAsia="Times New Roman" w:hAnsi="Times New Roman"/>
          <w:b w:val="false"/>
          <w:bCs w:val="false"/>
          <w:sz w:val="22"/>
          <w:szCs w:val="22"/>
        </w:rPr>
        <w:t xml:space="preserve">	34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3.3.5. Propositions didactiques</w:t>
      </w:r>
      <w:r>
        <w:rPr>
          <w:rFonts w:ascii="Times New Roman" w:cs="Times New Roman" w:eastAsia="Times New Roman" w:hAnsi="Times New Roman"/>
          <w:b w:val="false"/>
          <w:bCs w:val="false"/>
          <w:sz w:val="22"/>
          <w:szCs w:val="22"/>
        </w:rPr>
        <w:t xml:space="preserve">	34</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3.4. Variables et indicateurs</w:t>
      </w:r>
      <w:r>
        <w:rPr>
          <w:rFonts w:ascii="Times New Roman" w:cs="Times New Roman" w:eastAsia="Times New Roman" w:hAnsi="Times New Roman"/>
          <w:b w:val="false"/>
          <w:bCs w:val="false"/>
          <w:sz w:val="22"/>
          <w:szCs w:val="22"/>
        </w:rPr>
        <w:t xml:space="preserve">	34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3.4.1. Définition des variables</w:t>
      </w:r>
      <w:r>
        <w:rPr>
          <w:rFonts w:ascii="Times New Roman" w:cs="Times New Roman" w:eastAsia="Times New Roman" w:hAnsi="Times New Roman"/>
          <w:b w:val="false"/>
          <w:bCs w:val="false"/>
          <w:sz w:val="22"/>
          <w:szCs w:val="22"/>
        </w:rPr>
        <w:t xml:space="preserve">	34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3.4.2. Indicateurs</w:t>
      </w:r>
      <w:r>
        <w:rPr>
          <w:rFonts w:ascii="Times New Roman" w:cs="Times New Roman" w:eastAsia="Times New Roman" w:hAnsi="Times New Roman"/>
          <w:b w:val="false"/>
          <w:bCs w:val="false"/>
          <w:sz w:val="22"/>
          <w:szCs w:val="22"/>
        </w:rPr>
        <w:t xml:space="preserve">	35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3.5. Démarche méthodologique</w:t>
      </w:r>
      <w:r>
        <w:rPr>
          <w:rFonts w:ascii="Times New Roman" w:cs="Times New Roman" w:eastAsia="Times New Roman" w:hAnsi="Times New Roman"/>
          <w:b w:val="false"/>
          <w:bCs w:val="false"/>
          <w:sz w:val="22"/>
          <w:szCs w:val="22"/>
        </w:rPr>
        <w:t xml:space="preserve">	36</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3.5.1. Type de recherche</w:t>
      </w:r>
      <w:r>
        <w:rPr>
          <w:rFonts w:ascii="Times New Roman" w:cs="Times New Roman" w:eastAsia="Times New Roman" w:hAnsi="Times New Roman"/>
          <w:b w:val="false"/>
          <w:bCs w:val="false"/>
          <w:sz w:val="22"/>
          <w:szCs w:val="22"/>
        </w:rPr>
        <w:t xml:space="preserve">	36</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3.5.2. Cadre de l'étude</w:t>
      </w:r>
      <w:r>
        <w:rPr>
          <w:rFonts w:ascii="Times New Roman" w:cs="Times New Roman" w:eastAsia="Times New Roman" w:hAnsi="Times New Roman"/>
          <w:b w:val="false"/>
          <w:bCs w:val="false"/>
          <w:sz w:val="22"/>
          <w:szCs w:val="22"/>
        </w:rPr>
        <w:t xml:space="preserve">	36</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3.5.3. Population d'étude</w:t>
      </w:r>
      <w:r>
        <w:rPr>
          <w:rFonts w:ascii="Times New Roman" w:cs="Times New Roman" w:eastAsia="Times New Roman" w:hAnsi="Times New Roman"/>
          <w:b w:val="false"/>
          <w:bCs w:val="false"/>
          <w:sz w:val="22"/>
          <w:szCs w:val="22"/>
        </w:rPr>
        <w:t xml:space="preserve">	36</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3.5.4. Échantillonnage et échantillon</w:t>
      </w:r>
      <w:r>
        <w:rPr>
          <w:rFonts w:ascii="Times New Roman" w:cs="Times New Roman" w:eastAsia="Times New Roman" w:hAnsi="Times New Roman"/>
          <w:b w:val="false"/>
          <w:bCs w:val="false"/>
          <w:sz w:val="22"/>
          <w:szCs w:val="22"/>
        </w:rPr>
        <w:t xml:space="preserve">	36</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3.5.5. Outils de collecte des données</w:t>
      </w:r>
      <w:r>
        <w:rPr>
          <w:rFonts w:ascii="Times New Roman" w:cs="Times New Roman" w:eastAsia="Times New Roman" w:hAnsi="Times New Roman"/>
          <w:b w:val="false"/>
          <w:bCs w:val="false"/>
          <w:sz w:val="22"/>
          <w:szCs w:val="22"/>
        </w:rPr>
        <w:t xml:space="preserve">	37</w:t>
      </w:r>
    </w:p>
    <w:p>
      <w:pPr>
        <w:tabs>
          <w:tab w:val="right" w:pos="9072" w:leader="dot"/>
        </w:tabs>
        <w:spacing w:after="20" w:before="0" w:line="264"/>
        <w:ind w:left="900" w:right="400"/>
      </w:pPr>
      <w:r>
        <w:rPr>
          <w:rFonts w:ascii="Times New Roman" w:cs="Times New Roman" w:eastAsia="Times New Roman" w:hAnsi="Times New Roman"/>
          <w:b w:val="false"/>
          <w:bCs w:val="false"/>
          <w:sz w:val="22"/>
          <w:szCs w:val="22"/>
        </w:rPr>
        <w:t xml:space="preserve">a) Outil 1 : la grille d'analyse documentaire des fiches pédagogiques</w:t>
      </w:r>
      <w:r>
        <w:rPr>
          <w:rFonts w:ascii="Times New Roman" w:cs="Times New Roman" w:eastAsia="Times New Roman" w:hAnsi="Times New Roman"/>
          <w:b w:val="false"/>
          <w:bCs w:val="false"/>
          <w:sz w:val="22"/>
          <w:szCs w:val="22"/>
        </w:rPr>
        <w:t xml:space="preserve">	37</w:t>
      </w:r>
    </w:p>
    <w:p>
      <w:pPr>
        <w:tabs>
          <w:tab w:val="right" w:pos="9072" w:leader="dot"/>
        </w:tabs>
        <w:spacing w:after="20" w:before="0" w:line="264"/>
        <w:ind w:left="900" w:right="400"/>
      </w:pPr>
      <w:r>
        <w:rPr>
          <w:rFonts w:ascii="Times New Roman" w:cs="Times New Roman" w:eastAsia="Times New Roman" w:hAnsi="Times New Roman"/>
          <w:b w:val="false"/>
          <w:bCs w:val="false"/>
          <w:sz w:val="22"/>
          <w:szCs w:val="22"/>
        </w:rPr>
        <w:t xml:space="preserve">b) Outil 2 : la grille de dépouillement et d'analyse des copies</w:t>
      </w:r>
      <w:r>
        <w:rPr>
          <w:rFonts w:ascii="Times New Roman" w:cs="Times New Roman" w:eastAsia="Times New Roman" w:hAnsi="Times New Roman"/>
          <w:b w:val="false"/>
          <w:bCs w:val="false"/>
          <w:sz w:val="22"/>
          <w:szCs w:val="22"/>
        </w:rPr>
        <w:t xml:space="preserve">	37</w:t>
      </w:r>
    </w:p>
    <w:p>
      <w:pPr>
        <w:tabs>
          <w:tab w:val="right" w:pos="9072" w:leader="dot"/>
        </w:tabs>
        <w:spacing w:after="20" w:before="0" w:line="264"/>
        <w:ind w:left="900" w:right="400"/>
      </w:pPr>
      <w:r>
        <w:rPr>
          <w:rFonts w:ascii="Times New Roman" w:cs="Times New Roman" w:eastAsia="Times New Roman" w:hAnsi="Times New Roman"/>
          <w:b w:val="false"/>
          <w:bCs w:val="false"/>
          <w:sz w:val="22"/>
          <w:szCs w:val="22"/>
        </w:rPr>
        <w:t xml:space="preserve">c) Outil 3 : le guide d'entretien semi-directif</w:t>
      </w:r>
      <w:r>
        <w:rPr>
          <w:rFonts w:ascii="Times New Roman" w:cs="Times New Roman" w:eastAsia="Times New Roman" w:hAnsi="Times New Roman"/>
          <w:b w:val="false"/>
          <w:bCs w:val="false"/>
          <w:sz w:val="22"/>
          <w:szCs w:val="22"/>
        </w:rPr>
        <w:t xml:space="preserve">	38</w:t>
      </w:r>
    </w:p>
    <w:p>
      <w:pPr>
        <w:tabs>
          <w:tab w:val="right" w:pos="9072" w:leader="dot"/>
        </w:tabs>
        <w:spacing w:after="20" w:before="0" w:line="264"/>
        <w:ind w:left="900" w:right="400"/>
      </w:pPr>
      <w:r>
        <w:rPr>
          <w:rFonts w:ascii="Times New Roman" w:cs="Times New Roman" w:eastAsia="Times New Roman" w:hAnsi="Times New Roman"/>
          <w:b w:val="false"/>
          <w:bCs w:val="false"/>
          <w:sz w:val="22"/>
          <w:szCs w:val="22"/>
        </w:rPr>
        <w:t xml:space="preserve">d) Validité et fidélité des outils</w:t>
      </w:r>
      <w:r>
        <w:rPr>
          <w:rFonts w:ascii="Times New Roman" w:cs="Times New Roman" w:eastAsia="Times New Roman" w:hAnsi="Times New Roman"/>
          <w:b w:val="false"/>
          <w:bCs w:val="false"/>
          <w:sz w:val="22"/>
          <w:szCs w:val="22"/>
        </w:rPr>
        <w:t xml:space="preserve">	38</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3.5.6. Déroulement de la collecte</w:t>
      </w:r>
      <w:r>
        <w:rPr>
          <w:rFonts w:ascii="Times New Roman" w:cs="Times New Roman" w:eastAsia="Times New Roman" w:hAnsi="Times New Roman"/>
          <w:b w:val="false"/>
          <w:bCs w:val="false"/>
          <w:sz w:val="22"/>
          <w:szCs w:val="22"/>
        </w:rPr>
        <w:t xml:space="preserve">	39</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3.5.7. Traitement et analyse des données</w:t>
      </w:r>
      <w:r>
        <w:rPr>
          <w:rFonts w:ascii="Times New Roman" w:cs="Times New Roman" w:eastAsia="Times New Roman" w:hAnsi="Times New Roman"/>
          <w:b w:val="false"/>
          <w:bCs w:val="false"/>
          <w:sz w:val="22"/>
          <w:szCs w:val="22"/>
        </w:rPr>
        <w:t xml:space="preserve">	39</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3.5.8. Critères de vérification des hypothèses</w:t>
      </w:r>
      <w:r>
        <w:rPr>
          <w:rFonts w:ascii="Times New Roman" w:cs="Times New Roman" w:eastAsia="Times New Roman" w:hAnsi="Times New Roman"/>
          <w:b w:val="false"/>
          <w:bCs w:val="false"/>
          <w:sz w:val="22"/>
          <w:szCs w:val="22"/>
        </w:rPr>
        <w:t xml:space="preserve">	40</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3.5.9. Considérations éthiques</w:t>
      </w:r>
      <w:r>
        <w:rPr>
          <w:rFonts w:ascii="Times New Roman" w:cs="Times New Roman" w:eastAsia="Times New Roman" w:hAnsi="Times New Roman"/>
          <w:b w:val="false"/>
          <w:bCs w:val="false"/>
          <w:sz w:val="22"/>
          <w:szCs w:val="22"/>
        </w:rPr>
        <w:t xml:space="preserve">	40</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3.5.10. Difficultés rencontrées et limites méthodologiques</w:t>
      </w:r>
      <w:r>
        <w:rPr>
          <w:rFonts w:ascii="Times New Roman" w:cs="Times New Roman" w:eastAsia="Times New Roman" w:hAnsi="Times New Roman"/>
          <w:b w:val="false"/>
          <w:bCs w:val="false"/>
          <w:sz w:val="22"/>
          <w:szCs w:val="22"/>
        </w:rPr>
        <w:t xml:space="preserve">	40</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Conclusion</w:t>
      </w:r>
      <w:r>
        <w:rPr>
          <w:rFonts w:ascii="Times New Roman" w:cs="Times New Roman" w:eastAsia="Times New Roman" w:hAnsi="Times New Roman"/>
          <w:b w:val="false"/>
          <w:bCs w:val="false"/>
          <w:sz w:val="22"/>
          <w:szCs w:val="22"/>
        </w:rPr>
        <w:t xml:space="preserve">	41</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CHAPITRE 4 : PRÉSENTATION, ANALYSE, INTERPRÉTATION ET DISCUSSION DES RÉSULTATS</w:t>
      </w:r>
      <w:r>
        <w:rPr>
          <w:rFonts w:ascii="Times New Roman" w:cs="Times New Roman" w:eastAsia="Times New Roman" w:hAnsi="Times New Roman"/>
          <w:b/>
          <w:bCs/>
          <w:sz w:val="22"/>
          <w:szCs w:val="22"/>
        </w:rPr>
        <w:t xml:space="preserve">	42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Introduction</w:t>
      </w:r>
      <w:r>
        <w:rPr>
          <w:rFonts w:ascii="Times New Roman" w:cs="Times New Roman" w:eastAsia="Times New Roman" w:hAnsi="Times New Roman"/>
          <w:b w:val="false"/>
          <w:bCs w:val="false"/>
          <w:sz w:val="22"/>
          <w:szCs w:val="22"/>
        </w:rPr>
        <w:t xml:space="preserve">	42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4.1. Caractéristiques de l'échantillon</w:t>
      </w:r>
      <w:r>
        <w:rPr>
          <w:rFonts w:ascii="Times New Roman" w:cs="Times New Roman" w:eastAsia="Times New Roman" w:hAnsi="Times New Roman"/>
          <w:b w:val="false"/>
          <w:bCs w:val="false"/>
          <w:sz w:val="22"/>
          <w:szCs w:val="22"/>
        </w:rPr>
        <w:t xml:space="preserve">	42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4.1.1. Répartition selon le sexe, l'âge et la série du baccalauréat</w:t>
      </w:r>
      <w:r>
        <w:rPr>
          <w:rFonts w:ascii="Times New Roman" w:cs="Times New Roman" w:eastAsia="Times New Roman" w:hAnsi="Times New Roman"/>
          <w:b w:val="false"/>
          <w:bCs w:val="false"/>
          <w:sz w:val="22"/>
          <w:szCs w:val="22"/>
        </w:rPr>
        <w:t xml:space="preserve">	42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4.1.2. Représentativité de l'échantillon</w:t>
      </w:r>
      <w:r>
        <w:rPr>
          <w:rFonts w:ascii="Times New Roman" w:cs="Times New Roman" w:eastAsia="Times New Roman" w:hAnsi="Times New Roman"/>
          <w:b w:val="false"/>
          <w:bCs w:val="false"/>
          <w:sz w:val="22"/>
          <w:szCs w:val="22"/>
        </w:rPr>
        <w:t xml:space="preserve">	43</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4.2. Résultats relatifs à la maîtrise conceptuelle des fractions</w:t>
      </w:r>
      <w:r>
        <w:rPr>
          <w:rFonts w:ascii="Times New Roman" w:cs="Times New Roman" w:eastAsia="Times New Roman" w:hAnsi="Times New Roman"/>
          <w:b w:val="false"/>
          <w:bCs w:val="false"/>
          <w:sz w:val="22"/>
          <w:szCs w:val="22"/>
        </w:rPr>
        <w:t xml:space="preserve">	44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4.2.1. Performances globales à l'exercice de la Notion B</w:t>
      </w:r>
      <w:r>
        <w:rPr>
          <w:rFonts w:ascii="Times New Roman" w:cs="Times New Roman" w:eastAsia="Times New Roman" w:hAnsi="Times New Roman"/>
          <w:b w:val="false"/>
          <w:bCs w:val="false"/>
          <w:sz w:val="22"/>
          <w:szCs w:val="22"/>
        </w:rPr>
        <w:t xml:space="preserve">	44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4.2.2. Performances selon les items de l'exercice</w:t>
      </w:r>
      <w:r>
        <w:rPr>
          <w:rFonts w:ascii="Times New Roman" w:cs="Times New Roman" w:eastAsia="Times New Roman" w:hAnsi="Times New Roman"/>
          <w:b w:val="false"/>
          <w:bCs w:val="false"/>
          <w:sz w:val="22"/>
          <w:szCs w:val="22"/>
        </w:rPr>
        <w:t xml:space="preserve">	45</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4.2.3. Typologie et fréquence des erreurs</w:t>
      </w:r>
      <w:r>
        <w:rPr>
          <w:rFonts w:ascii="Times New Roman" w:cs="Times New Roman" w:eastAsia="Times New Roman" w:hAnsi="Times New Roman"/>
          <w:b w:val="false"/>
          <w:bCs w:val="false"/>
          <w:sz w:val="22"/>
          <w:szCs w:val="22"/>
        </w:rPr>
        <w:t xml:space="preserve">	47</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4.2.4. Erreurs selon le niveau de maîtrise</w:t>
      </w:r>
      <w:r>
        <w:rPr>
          <w:rFonts w:ascii="Times New Roman" w:cs="Times New Roman" w:eastAsia="Times New Roman" w:hAnsi="Times New Roman"/>
          <w:b w:val="false"/>
          <w:bCs w:val="false"/>
          <w:sz w:val="22"/>
          <w:szCs w:val="22"/>
        </w:rPr>
        <w:t xml:space="preserve">	48</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4.2.5. Analyse des procédures mobilisées dans les copies réussies</w:t>
      </w:r>
      <w:r>
        <w:rPr>
          <w:rFonts w:ascii="Times New Roman" w:cs="Times New Roman" w:eastAsia="Times New Roman" w:hAnsi="Times New Roman"/>
          <w:b w:val="false"/>
          <w:bCs w:val="false"/>
          <w:sz w:val="22"/>
          <w:szCs w:val="22"/>
        </w:rPr>
        <w:t xml:space="preserve">	49</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4.2.6. Performances selon le profil d'entrée des EPE</w:t>
      </w:r>
      <w:r>
        <w:rPr>
          <w:rFonts w:ascii="Times New Roman" w:cs="Times New Roman" w:eastAsia="Times New Roman" w:hAnsi="Times New Roman"/>
          <w:b w:val="false"/>
          <w:bCs w:val="false"/>
          <w:sz w:val="22"/>
          <w:szCs w:val="22"/>
        </w:rPr>
        <w:t xml:space="preserve">	49</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4.2.7. Interprétation des résultats relatifs à la maîtrise conceptuelle</w:t>
      </w:r>
      <w:r>
        <w:rPr>
          <w:rFonts w:ascii="Times New Roman" w:cs="Times New Roman" w:eastAsia="Times New Roman" w:hAnsi="Times New Roman"/>
          <w:b w:val="false"/>
          <w:bCs w:val="false"/>
          <w:sz w:val="22"/>
          <w:szCs w:val="22"/>
        </w:rPr>
        <w:t xml:space="preserve">	51</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4.3. Résultats relatifs aux pratiques de préparation des leçons</w:t>
      </w:r>
      <w:r>
        <w:rPr>
          <w:rFonts w:ascii="Times New Roman" w:cs="Times New Roman" w:eastAsia="Times New Roman" w:hAnsi="Times New Roman"/>
          <w:b w:val="false"/>
          <w:bCs w:val="false"/>
          <w:sz w:val="22"/>
          <w:szCs w:val="22"/>
        </w:rPr>
        <w:t xml:space="preserve">	52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4.3.1. Résultats selon les critères d'analyse</w:t>
      </w:r>
      <w:r>
        <w:rPr>
          <w:rFonts w:ascii="Times New Roman" w:cs="Times New Roman" w:eastAsia="Times New Roman" w:hAnsi="Times New Roman"/>
          <w:b w:val="false"/>
          <w:bCs w:val="false"/>
          <w:sz w:val="22"/>
          <w:szCs w:val="22"/>
        </w:rPr>
        <w:t xml:space="preserve">	52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4.3.2. Place du matériel de manipulation</w:t>
      </w:r>
      <w:r>
        <w:rPr>
          <w:rFonts w:ascii="Times New Roman" w:cs="Times New Roman" w:eastAsia="Times New Roman" w:hAnsi="Times New Roman"/>
          <w:b w:val="false"/>
          <w:bCs w:val="false"/>
          <w:sz w:val="22"/>
          <w:szCs w:val="22"/>
        </w:rPr>
        <w:t xml:space="preserve">	53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4.3.3. Illustration par des extraits de fiches</w:t>
      </w:r>
      <w:r>
        <w:rPr>
          <w:rFonts w:ascii="Times New Roman" w:cs="Times New Roman" w:eastAsia="Times New Roman" w:hAnsi="Times New Roman"/>
          <w:b w:val="false"/>
          <w:bCs w:val="false"/>
          <w:sz w:val="22"/>
          <w:szCs w:val="22"/>
        </w:rPr>
        <w:t xml:space="preserve">	53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4.3.4. Qualité globale des fiches</w:t>
      </w:r>
      <w:r>
        <w:rPr>
          <w:rFonts w:ascii="Times New Roman" w:cs="Times New Roman" w:eastAsia="Times New Roman" w:hAnsi="Times New Roman"/>
          <w:b w:val="false"/>
          <w:bCs w:val="false"/>
          <w:sz w:val="22"/>
          <w:szCs w:val="22"/>
        </w:rPr>
        <w:t xml:space="preserve">	54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4.3.5. Relation entre la qualité des fiches et la maîtrise conceptuelle</w:t>
      </w:r>
      <w:r>
        <w:rPr>
          <w:rFonts w:ascii="Times New Roman" w:cs="Times New Roman" w:eastAsia="Times New Roman" w:hAnsi="Times New Roman"/>
          <w:b w:val="false"/>
          <w:bCs w:val="false"/>
          <w:sz w:val="22"/>
          <w:szCs w:val="22"/>
        </w:rPr>
        <w:t xml:space="preserve">	54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4.3.6. Interprétation des résultats relatifs aux pratiques de préparation</w:t>
      </w:r>
      <w:r>
        <w:rPr>
          <w:rFonts w:ascii="Times New Roman" w:cs="Times New Roman" w:eastAsia="Times New Roman" w:hAnsi="Times New Roman"/>
          <w:b w:val="false"/>
          <w:bCs w:val="false"/>
          <w:sz w:val="22"/>
          <w:szCs w:val="22"/>
        </w:rPr>
        <w:t xml:space="preserve">	56</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4.4. Résultats relatifs au dispositif de formation et d'encadrement</w:t>
      </w:r>
      <w:r>
        <w:rPr>
          <w:rFonts w:ascii="Times New Roman" w:cs="Times New Roman" w:eastAsia="Times New Roman" w:hAnsi="Times New Roman"/>
          <w:b w:val="false"/>
          <w:bCs w:val="false"/>
          <w:sz w:val="22"/>
          <w:szCs w:val="22"/>
        </w:rPr>
        <w:t xml:space="preserve">	56</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4.4.1. Résultats des entretiens avec les formateurs</w:t>
      </w:r>
      <w:r>
        <w:rPr>
          <w:rFonts w:ascii="Times New Roman" w:cs="Times New Roman" w:eastAsia="Times New Roman" w:hAnsi="Times New Roman"/>
          <w:b w:val="false"/>
          <w:bCs w:val="false"/>
          <w:sz w:val="22"/>
          <w:szCs w:val="22"/>
        </w:rPr>
        <w:t xml:space="preserve">	56</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4.4.2. Résultats des entretiens avec les EPE</w:t>
      </w:r>
      <w:r>
        <w:rPr>
          <w:rFonts w:ascii="Times New Roman" w:cs="Times New Roman" w:eastAsia="Times New Roman" w:hAnsi="Times New Roman"/>
          <w:b w:val="false"/>
          <w:bCs w:val="false"/>
          <w:sz w:val="22"/>
          <w:szCs w:val="22"/>
        </w:rPr>
        <w:t xml:space="preserve">	58</w:t>
      </w:r>
    </w:p>
    <w:p>
      <w:pPr>
        <w:tabs>
          <w:tab w:val="right" w:pos="9072" w:leader="dot"/>
        </w:tabs>
        <w:spacing w:after="20" w:before="0" w:line="264"/>
        <w:ind w:left="900" w:right="400"/>
      </w:pPr>
      <w:r>
        <w:rPr>
          <w:rFonts w:ascii="Times New Roman" w:cs="Times New Roman" w:eastAsia="Times New Roman" w:hAnsi="Times New Roman"/>
          <w:b w:val="false"/>
          <w:bCs w:val="false"/>
          <w:sz w:val="22"/>
          <w:szCs w:val="22"/>
        </w:rPr>
        <w:t xml:space="preserve">a) Auto-évaluation de la maîtrise des fractions (Q1)</w:t>
      </w:r>
      <w:r>
        <w:rPr>
          <w:rFonts w:ascii="Times New Roman" w:cs="Times New Roman" w:eastAsia="Times New Roman" w:hAnsi="Times New Roman"/>
          <w:b w:val="false"/>
          <w:bCs w:val="false"/>
          <w:sz w:val="22"/>
          <w:szCs w:val="22"/>
        </w:rPr>
        <w:t xml:space="preserve">	58</w:t>
      </w:r>
    </w:p>
    <w:p>
      <w:pPr>
        <w:tabs>
          <w:tab w:val="right" w:pos="9072" w:leader="dot"/>
        </w:tabs>
        <w:spacing w:after="20" w:before="0" w:line="264"/>
        <w:ind w:left="900" w:right="400"/>
      </w:pPr>
      <w:r>
        <w:rPr>
          <w:rFonts w:ascii="Times New Roman" w:cs="Times New Roman" w:eastAsia="Times New Roman" w:hAnsi="Times New Roman"/>
          <w:b w:val="false"/>
          <w:bCs w:val="false"/>
          <w:sz w:val="22"/>
          <w:szCs w:val="22"/>
        </w:rPr>
        <w:t xml:space="preserve">b) Aspects jugés les plus complexes à enseigner (Q2)</w:t>
      </w:r>
      <w:r>
        <w:rPr>
          <w:rFonts w:ascii="Times New Roman" w:cs="Times New Roman" w:eastAsia="Times New Roman" w:hAnsi="Times New Roman"/>
          <w:b w:val="false"/>
          <w:bCs w:val="false"/>
          <w:sz w:val="22"/>
          <w:szCs w:val="22"/>
        </w:rPr>
        <w:t xml:space="preserve">	58</w:t>
      </w:r>
    </w:p>
    <w:p>
      <w:pPr>
        <w:tabs>
          <w:tab w:val="right" w:pos="9072" w:leader="dot"/>
        </w:tabs>
        <w:spacing w:after="20" w:before="0" w:line="264"/>
        <w:ind w:left="900" w:right="400"/>
      </w:pPr>
      <w:r>
        <w:rPr>
          <w:rFonts w:ascii="Times New Roman" w:cs="Times New Roman" w:eastAsia="Times New Roman" w:hAnsi="Times New Roman"/>
          <w:b w:val="false"/>
          <w:bCs w:val="false"/>
          <w:sz w:val="22"/>
          <w:szCs w:val="22"/>
        </w:rPr>
        <w:t xml:space="preserve">c) Appréciation des outils reçus en formation (Q3)</w:t>
      </w:r>
      <w:r>
        <w:rPr>
          <w:rFonts w:ascii="Times New Roman" w:cs="Times New Roman" w:eastAsia="Times New Roman" w:hAnsi="Times New Roman"/>
          <w:b w:val="false"/>
          <w:bCs w:val="false"/>
          <w:sz w:val="22"/>
          <w:szCs w:val="22"/>
        </w:rPr>
        <w:t xml:space="preserve">	59</w:t>
      </w:r>
    </w:p>
    <w:p>
      <w:pPr>
        <w:tabs>
          <w:tab w:val="right" w:pos="9072" w:leader="dot"/>
        </w:tabs>
        <w:spacing w:after="20" w:before="0" w:line="264"/>
        <w:ind w:left="900" w:right="400"/>
      </w:pPr>
      <w:r>
        <w:rPr>
          <w:rFonts w:ascii="Times New Roman" w:cs="Times New Roman" w:eastAsia="Times New Roman" w:hAnsi="Times New Roman"/>
          <w:b w:val="false"/>
          <w:bCs w:val="false"/>
          <w:sz w:val="22"/>
          <w:szCs w:val="22"/>
        </w:rPr>
        <w:t xml:space="preserve">d) Thèmes transversaux évoqués par les EPE</w:t>
      </w:r>
      <w:r>
        <w:rPr>
          <w:rFonts w:ascii="Times New Roman" w:cs="Times New Roman" w:eastAsia="Times New Roman" w:hAnsi="Times New Roman"/>
          <w:b w:val="false"/>
          <w:bCs w:val="false"/>
          <w:sz w:val="22"/>
          <w:szCs w:val="22"/>
        </w:rPr>
        <w:t xml:space="preserve">	60</w:t>
      </w:r>
    </w:p>
    <w:p>
      <w:pPr>
        <w:tabs>
          <w:tab w:val="right" w:pos="9072" w:leader="dot"/>
        </w:tabs>
        <w:spacing w:after="20" w:before="0" w:line="264"/>
        <w:ind w:left="900" w:right="400"/>
      </w:pPr>
      <w:r>
        <w:rPr>
          <w:rFonts w:ascii="Times New Roman" w:cs="Times New Roman" w:eastAsia="Times New Roman" w:hAnsi="Times New Roman"/>
          <w:b w:val="false"/>
          <w:bCs w:val="false"/>
          <w:sz w:val="22"/>
          <w:szCs w:val="22"/>
        </w:rPr>
        <w:t xml:space="preserve">e) Analyse des thèmes selon le niveau de maîtrise des EPE</w:t>
      </w:r>
      <w:r>
        <w:rPr>
          <w:rFonts w:ascii="Times New Roman" w:cs="Times New Roman" w:eastAsia="Times New Roman" w:hAnsi="Times New Roman"/>
          <w:b w:val="false"/>
          <w:bCs w:val="false"/>
          <w:sz w:val="22"/>
          <w:szCs w:val="22"/>
        </w:rPr>
        <w:t xml:space="preserve">	60</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4.4.3. Triangulation des données</w:t>
      </w:r>
      <w:r>
        <w:rPr>
          <w:rFonts w:ascii="Times New Roman" w:cs="Times New Roman" w:eastAsia="Times New Roman" w:hAnsi="Times New Roman"/>
          <w:b w:val="false"/>
          <w:bCs w:val="false"/>
          <w:sz w:val="22"/>
          <w:szCs w:val="22"/>
        </w:rPr>
        <w:t xml:space="preserve">	61</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4.4.4. Interprétation des résultats relatifs au dispositif de formation</w:t>
      </w:r>
      <w:r>
        <w:rPr>
          <w:rFonts w:ascii="Times New Roman" w:cs="Times New Roman" w:eastAsia="Times New Roman" w:hAnsi="Times New Roman"/>
          <w:b w:val="false"/>
          <w:bCs w:val="false"/>
          <w:sz w:val="22"/>
          <w:szCs w:val="22"/>
        </w:rPr>
        <w:t xml:space="preserve">	62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4.5. Vérification des hypothèses</w:t>
      </w:r>
      <w:r>
        <w:rPr>
          <w:rFonts w:ascii="Times New Roman" w:cs="Times New Roman" w:eastAsia="Times New Roman" w:hAnsi="Times New Roman"/>
          <w:b w:val="false"/>
          <w:bCs w:val="false"/>
          <w:sz w:val="22"/>
          <w:szCs w:val="22"/>
        </w:rPr>
        <w:t xml:space="preserve">	62</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4.5.1. Vérification de l'hypothèse secondaire HS1</w:t>
      </w:r>
      <w:r>
        <w:rPr>
          <w:rFonts w:ascii="Times New Roman" w:cs="Times New Roman" w:eastAsia="Times New Roman" w:hAnsi="Times New Roman"/>
          <w:b w:val="false"/>
          <w:bCs w:val="false"/>
          <w:sz w:val="22"/>
          <w:szCs w:val="22"/>
        </w:rPr>
        <w:t xml:space="preserve">	63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4.5.2. Vérification de l'hypothèse secondaire HS2</w:t>
      </w:r>
      <w:r>
        <w:rPr>
          <w:rFonts w:ascii="Times New Roman" w:cs="Times New Roman" w:eastAsia="Times New Roman" w:hAnsi="Times New Roman"/>
          <w:b w:val="false"/>
          <w:bCs w:val="false"/>
          <w:sz w:val="22"/>
          <w:szCs w:val="22"/>
        </w:rPr>
        <w:t xml:space="preserve">	63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4.5.3. Vérification de l'hypothèse secondaire HS3</w:t>
      </w:r>
      <w:r>
        <w:rPr>
          <w:rFonts w:ascii="Times New Roman" w:cs="Times New Roman" w:eastAsia="Times New Roman" w:hAnsi="Times New Roman"/>
          <w:b w:val="false"/>
          <w:bCs w:val="false"/>
          <w:sz w:val="22"/>
          <w:szCs w:val="22"/>
        </w:rPr>
        <w:t xml:space="preserve">	63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4.5.4. Vérification de l'hypothèse principale</w:t>
      </w:r>
      <w:r>
        <w:rPr>
          <w:rFonts w:ascii="Times New Roman" w:cs="Times New Roman" w:eastAsia="Times New Roman" w:hAnsi="Times New Roman"/>
          <w:b w:val="false"/>
          <w:bCs w:val="false"/>
          <w:sz w:val="22"/>
          <w:szCs w:val="22"/>
        </w:rPr>
        <w:t xml:space="preserve">	63</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4.6. Discussion des résultats</w:t>
      </w:r>
      <w:r>
        <w:rPr>
          <w:rFonts w:ascii="Times New Roman" w:cs="Times New Roman" w:eastAsia="Times New Roman" w:hAnsi="Times New Roman"/>
          <w:b w:val="false"/>
          <w:bCs w:val="false"/>
          <w:sz w:val="22"/>
          <w:szCs w:val="22"/>
        </w:rPr>
        <w:t xml:space="preserve">	64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4.6.1. Des difficultés conformes à celles décrites par la littérature internationale</w:t>
      </w:r>
      <w:r>
        <w:rPr>
          <w:rFonts w:ascii="Times New Roman" w:cs="Times New Roman" w:eastAsia="Times New Roman" w:hAnsi="Times New Roman"/>
          <w:b w:val="false"/>
          <w:bCs w:val="false"/>
          <w:sz w:val="22"/>
          <w:szCs w:val="22"/>
        </w:rPr>
        <w:t xml:space="preserve">	64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4.6.2. La maîtrise du contenu, condition nécessaire mais non suffisante</w:t>
      </w:r>
      <w:r>
        <w:rPr>
          <w:rFonts w:ascii="Times New Roman" w:cs="Times New Roman" w:eastAsia="Times New Roman" w:hAnsi="Times New Roman"/>
          <w:b w:val="false"/>
          <w:bCs w:val="false"/>
          <w:sz w:val="22"/>
          <w:szCs w:val="22"/>
        </w:rPr>
        <w:t xml:space="preserve">	64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4.6.3. Le cercle de la reproduction et la double transposition</w:t>
      </w:r>
      <w:r>
        <w:rPr>
          <w:rFonts w:ascii="Times New Roman" w:cs="Times New Roman" w:eastAsia="Times New Roman" w:hAnsi="Times New Roman"/>
          <w:b w:val="false"/>
          <w:bCs w:val="false"/>
          <w:sz w:val="22"/>
          <w:szCs w:val="22"/>
        </w:rPr>
        <w:t xml:space="preserve">	65</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4.6.4. Implications des résultats pour la formation des EPE</w:t>
      </w:r>
      <w:r>
        <w:rPr>
          <w:rFonts w:ascii="Times New Roman" w:cs="Times New Roman" w:eastAsia="Times New Roman" w:hAnsi="Times New Roman"/>
          <w:b w:val="false"/>
          <w:bCs w:val="false"/>
          <w:sz w:val="22"/>
          <w:szCs w:val="22"/>
        </w:rPr>
        <w:t xml:space="preserve">	65</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4.6.5. Portée et limites des résultats</w:t>
      </w:r>
      <w:r>
        <w:rPr>
          <w:rFonts w:ascii="Times New Roman" w:cs="Times New Roman" w:eastAsia="Times New Roman" w:hAnsi="Times New Roman"/>
          <w:b w:val="false"/>
          <w:bCs w:val="false"/>
          <w:sz w:val="22"/>
          <w:szCs w:val="22"/>
        </w:rPr>
        <w:t xml:space="preserve">	65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Conclusion</w:t>
      </w:r>
      <w:r>
        <w:rPr>
          <w:rFonts w:ascii="Times New Roman" w:cs="Times New Roman" w:eastAsia="Times New Roman" w:hAnsi="Times New Roman"/>
          <w:b w:val="false"/>
          <w:bCs w:val="false"/>
          <w:sz w:val="22"/>
          <w:szCs w:val="22"/>
        </w:rPr>
        <w:t xml:space="preserve">	66</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CHAPITRE 5 : CONTRIBUTION PROFESSIONNELLE : LA DÉMARCHE P-M-R-S-R POUR ENSEIGNER LES FRACTIONS AU PRIMAIRE</w:t>
      </w:r>
      <w:r>
        <w:rPr>
          <w:rFonts w:ascii="Times New Roman" w:cs="Times New Roman" w:eastAsia="Times New Roman" w:hAnsi="Times New Roman"/>
          <w:b/>
          <w:bCs/>
          <w:sz w:val="22"/>
          <w:szCs w:val="22"/>
        </w:rPr>
        <w:t xml:space="preserve">	67</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Introduction</w:t>
      </w:r>
      <w:r>
        <w:rPr>
          <w:rFonts w:ascii="Times New Roman" w:cs="Times New Roman" w:eastAsia="Times New Roman" w:hAnsi="Times New Roman"/>
          <w:b w:val="false"/>
          <w:bCs w:val="false"/>
          <w:sz w:val="22"/>
          <w:szCs w:val="22"/>
        </w:rPr>
        <w:t xml:space="preserve">	67</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5.1. Fondements et principes de la démarche</w:t>
      </w:r>
      <w:r>
        <w:rPr>
          <w:rFonts w:ascii="Times New Roman" w:cs="Times New Roman" w:eastAsia="Times New Roman" w:hAnsi="Times New Roman"/>
          <w:b w:val="false"/>
          <w:bCs w:val="false"/>
          <w:sz w:val="22"/>
          <w:szCs w:val="22"/>
        </w:rPr>
        <w:t xml:space="preserve">	67</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5.1.1. Des résultats de l'étude aux choix de la démarche</w:t>
      </w:r>
      <w:r>
        <w:rPr>
          <w:rFonts w:ascii="Times New Roman" w:cs="Times New Roman" w:eastAsia="Times New Roman" w:hAnsi="Times New Roman"/>
          <w:b w:val="false"/>
          <w:bCs w:val="false"/>
          <w:sz w:val="22"/>
          <w:szCs w:val="22"/>
        </w:rPr>
        <w:t xml:space="preserve">	67</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5.1.2. Principes directeurs</w:t>
      </w:r>
      <w:r>
        <w:rPr>
          <w:rFonts w:ascii="Times New Roman" w:cs="Times New Roman" w:eastAsia="Times New Roman" w:hAnsi="Times New Roman"/>
          <w:b w:val="false"/>
          <w:bCs w:val="false"/>
          <w:sz w:val="22"/>
          <w:szCs w:val="22"/>
        </w:rPr>
        <w:t xml:space="preserve">	68</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5.2. Présentation de la démarche P-M-R-S-R</w:t>
      </w:r>
      <w:r>
        <w:rPr>
          <w:rFonts w:ascii="Times New Roman" w:cs="Times New Roman" w:eastAsia="Times New Roman" w:hAnsi="Times New Roman"/>
          <w:b w:val="false"/>
          <w:bCs w:val="false"/>
          <w:sz w:val="22"/>
          <w:szCs w:val="22"/>
        </w:rPr>
        <w:t xml:space="preserve">	68</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5.2.1. Les cinq phases de la démarche</w:t>
      </w:r>
      <w:r>
        <w:rPr>
          <w:rFonts w:ascii="Times New Roman" w:cs="Times New Roman" w:eastAsia="Times New Roman" w:hAnsi="Times New Roman"/>
          <w:b w:val="false"/>
          <w:bCs w:val="false"/>
          <w:sz w:val="22"/>
          <w:szCs w:val="22"/>
        </w:rPr>
        <w:t xml:space="preserve">	68</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5.2.2. La démarche au regard de la pratique ordinaire</w:t>
      </w:r>
      <w:r>
        <w:rPr>
          <w:rFonts w:ascii="Times New Roman" w:cs="Times New Roman" w:eastAsia="Times New Roman" w:hAnsi="Times New Roman"/>
          <w:b w:val="false"/>
          <w:bCs w:val="false"/>
          <w:sz w:val="22"/>
          <w:szCs w:val="22"/>
        </w:rPr>
        <w:t xml:space="preserve">	69</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5.3. Le kit de matériel didactique local pour les fractions</w:t>
      </w:r>
      <w:r>
        <w:rPr>
          <w:rFonts w:ascii="Times New Roman" w:cs="Times New Roman" w:eastAsia="Times New Roman" w:hAnsi="Times New Roman"/>
          <w:b w:val="false"/>
          <w:bCs w:val="false"/>
          <w:sz w:val="22"/>
          <w:szCs w:val="22"/>
        </w:rPr>
        <w:t xml:space="preserve">	70</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5.4. Progression des apprentissages sur les fractions du CE1 au CM2</w:t>
      </w:r>
      <w:r>
        <w:rPr>
          <w:rFonts w:ascii="Times New Roman" w:cs="Times New Roman" w:eastAsia="Times New Roman" w:hAnsi="Times New Roman"/>
          <w:b w:val="false"/>
          <w:bCs w:val="false"/>
          <w:sz w:val="22"/>
          <w:szCs w:val="22"/>
        </w:rPr>
        <w:t xml:space="preserve">	71</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5.5. Démonstration : trois fiches pédagogiques conçues selon la démarche</w:t>
      </w:r>
      <w:r>
        <w:rPr>
          <w:rFonts w:ascii="Times New Roman" w:cs="Times New Roman" w:eastAsia="Times New Roman" w:hAnsi="Times New Roman"/>
          <w:b w:val="false"/>
          <w:bCs w:val="false"/>
          <w:sz w:val="22"/>
          <w:szCs w:val="22"/>
        </w:rPr>
        <w:t xml:space="preserve">	71</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5.5.1. Fiche n°1 : additionner deux fractions de dénominateurs différents (CM1)</w:t>
      </w:r>
      <w:r>
        <w:rPr>
          <w:rFonts w:ascii="Times New Roman" w:cs="Times New Roman" w:eastAsia="Times New Roman" w:hAnsi="Times New Roman"/>
          <w:b w:val="false"/>
          <w:bCs w:val="false"/>
          <w:sz w:val="22"/>
          <w:szCs w:val="22"/>
        </w:rPr>
        <w:t xml:space="preserve">	71</w:t>
      </w:r>
    </w:p>
    <w:p>
      <w:pPr>
        <w:tabs>
          <w:tab w:val="right" w:pos="9072" w:leader="dot"/>
        </w:tabs>
        <w:spacing w:after="20" w:before="0" w:line="264"/>
        <w:ind w:left="900" w:right="400"/>
      </w:pPr>
      <w:r>
        <w:rPr>
          <w:rFonts w:ascii="Times New Roman" w:cs="Times New Roman" w:eastAsia="Times New Roman" w:hAnsi="Times New Roman"/>
          <w:b w:val="false"/>
          <w:bCs w:val="false"/>
          <w:sz w:val="22"/>
          <w:szCs w:val="22"/>
        </w:rPr>
        <w:t xml:space="preserve">Illustration : l'exploitation de l'erreur lors de la phase de représentation</w:t>
      </w:r>
      <w:r>
        <w:rPr>
          <w:rFonts w:ascii="Times New Roman" w:cs="Times New Roman" w:eastAsia="Times New Roman" w:hAnsi="Times New Roman"/>
          <w:b w:val="false"/>
          <w:bCs w:val="false"/>
          <w:sz w:val="22"/>
          <w:szCs w:val="22"/>
        </w:rPr>
        <w:t xml:space="preserve">	73</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5.5.2. Fiche n°2 : comparer des fractions de même numérateur (CE2)</w:t>
      </w:r>
      <w:r>
        <w:rPr>
          <w:rFonts w:ascii="Times New Roman" w:cs="Times New Roman" w:eastAsia="Times New Roman" w:hAnsi="Times New Roman"/>
          <w:b w:val="false"/>
          <w:bCs w:val="false"/>
          <w:sz w:val="22"/>
          <w:szCs w:val="22"/>
        </w:rPr>
        <w:t xml:space="preserve">	74</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5.5.3. Fiche n°3 : calculer la fraction d'une quantité (CM2)</w:t>
      </w:r>
      <w:r>
        <w:rPr>
          <w:rFonts w:ascii="Times New Roman" w:cs="Times New Roman" w:eastAsia="Times New Roman" w:hAnsi="Times New Roman"/>
          <w:b w:val="false"/>
          <w:bCs w:val="false"/>
          <w:sz w:val="22"/>
          <w:szCs w:val="22"/>
        </w:rPr>
        <w:t xml:space="preserve">	74</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5.6. Le dispositif de remédiation des erreurs typiques</w:t>
      </w:r>
      <w:r>
        <w:rPr>
          <w:rFonts w:ascii="Times New Roman" w:cs="Times New Roman" w:eastAsia="Times New Roman" w:hAnsi="Times New Roman"/>
          <w:b w:val="false"/>
          <w:bCs w:val="false"/>
          <w:sz w:val="22"/>
          <w:szCs w:val="22"/>
        </w:rPr>
        <w:t xml:space="preserve">	75</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5.7. L'atelier de formation des EPE à la double transposition</w:t>
      </w:r>
      <w:r>
        <w:rPr>
          <w:rFonts w:ascii="Times New Roman" w:cs="Times New Roman" w:eastAsia="Times New Roman" w:hAnsi="Times New Roman"/>
          <w:b w:val="false"/>
          <w:bCs w:val="false"/>
          <w:sz w:val="22"/>
          <w:szCs w:val="22"/>
        </w:rPr>
        <w:t xml:space="preserve">	76</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5.8. La grille d'auto-analyse des fiches pédagogiques</w:t>
      </w:r>
      <w:r>
        <w:rPr>
          <w:rFonts w:ascii="Times New Roman" w:cs="Times New Roman" w:eastAsia="Times New Roman" w:hAnsi="Times New Roman"/>
          <w:b w:val="false"/>
          <w:bCs w:val="false"/>
          <w:sz w:val="22"/>
          <w:szCs w:val="22"/>
        </w:rPr>
        <w:t xml:space="preserve">	76</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5.9. La fiche d'observation pour l'accompagnement des stagiaires</w:t>
      </w:r>
      <w:r>
        <w:rPr>
          <w:rFonts w:ascii="Times New Roman" w:cs="Times New Roman" w:eastAsia="Times New Roman" w:hAnsi="Times New Roman"/>
          <w:b w:val="false"/>
          <w:bCs w:val="false"/>
          <w:sz w:val="22"/>
          <w:szCs w:val="22"/>
        </w:rPr>
        <w:t xml:space="preserve">	77</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5.10. Planification de la mise en œuvre</w:t>
      </w:r>
      <w:r>
        <w:rPr>
          <w:rFonts w:ascii="Times New Roman" w:cs="Times New Roman" w:eastAsia="Times New Roman" w:hAnsi="Times New Roman"/>
          <w:b w:val="false"/>
          <w:bCs w:val="false"/>
          <w:sz w:val="22"/>
          <w:szCs w:val="22"/>
        </w:rPr>
        <w:t xml:space="preserve">	78</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5.11. Conditions de mise en œuvre et évaluation de la contribution</w:t>
      </w:r>
      <w:r>
        <w:rPr>
          <w:rFonts w:ascii="Times New Roman" w:cs="Times New Roman" w:eastAsia="Times New Roman" w:hAnsi="Times New Roman"/>
          <w:b w:val="false"/>
          <w:bCs w:val="false"/>
          <w:sz w:val="22"/>
          <w:szCs w:val="22"/>
        </w:rPr>
        <w:t xml:space="preserve">	78</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Conclusion</w:t>
      </w:r>
      <w:r>
        <w:rPr>
          <w:rFonts w:ascii="Times New Roman" w:cs="Times New Roman" w:eastAsia="Times New Roman" w:hAnsi="Times New Roman"/>
          <w:b w:val="false"/>
          <w:bCs w:val="false"/>
          <w:sz w:val="22"/>
          <w:szCs w:val="22"/>
        </w:rPr>
        <w:t xml:space="preserve">	79</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CONCLUSION GÉNÉRALE</w:t>
      </w:r>
      <w:r>
        <w:rPr>
          <w:rFonts w:ascii="Times New Roman" w:cs="Times New Roman" w:eastAsia="Times New Roman" w:hAnsi="Times New Roman"/>
          <w:b/>
          <w:bCs/>
          <w:sz w:val="22"/>
          <w:szCs w:val="22"/>
        </w:rPr>
        <w:t xml:space="preserve">	80</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RÉFÉRENCES BIBLIOGRAPHIQUES</w:t>
      </w:r>
      <w:r>
        <w:rPr>
          <w:rFonts w:ascii="Times New Roman" w:cs="Times New Roman" w:eastAsia="Times New Roman" w:hAnsi="Times New Roman"/>
          <w:b/>
          <w:bCs/>
          <w:sz w:val="22"/>
          <w:szCs w:val="22"/>
        </w:rPr>
        <w:t xml:space="preserve">	82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Ouvrages, articles et rapports</w:t>
      </w:r>
      <w:r>
        <w:rPr>
          <w:rFonts w:ascii="Times New Roman" w:cs="Times New Roman" w:eastAsia="Times New Roman" w:hAnsi="Times New Roman"/>
          <w:b w:val="false"/>
          <w:bCs w:val="false"/>
          <w:sz w:val="22"/>
          <w:szCs w:val="22"/>
        </w:rPr>
        <w:t xml:space="preserve">	82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Textes officiels et documents institutionnels</w:t>
      </w:r>
      <w:r>
        <w:rPr>
          <w:rFonts w:ascii="Times New Roman" w:cs="Times New Roman" w:eastAsia="Times New Roman" w:hAnsi="Times New Roman"/>
          <w:b w:val="false"/>
          <w:bCs w:val="false"/>
          <w:sz w:val="22"/>
          <w:szCs w:val="22"/>
        </w:rPr>
        <w:t xml:space="preserve">	85</w:t>
      </w:r>
    </w:p>
    <w:p>
      <w:pPr>
        <w:tabs>
          <w:tab w:val="right" w:pos="9072" w:leader="dot"/>
        </w:tabs>
        <w:spacing w:after="60" w:before="100" w:line="264"/>
        <w:ind w:left="0" w:right="400"/>
      </w:pPr>
      <w:r>
        <w:rPr>
          <w:rFonts w:ascii="Times New Roman" w:cs="Times New Roman" w:eastAsia="Times New Roman" w:hAnsi="Times New Roman"/>
          <w:b/>
          <w:bCs/>
          <w:sz w:val="22"/>
          <w:szCs w:val="22"/>
        </w:rPr>
        <w:t xml:space="preserve">ANNEXES</w:t>
      </w:r>
      <w:r>
        <w:rPr>
          <w:rFonts w:ascii="Times New Roman" w:cs="Times New Roman" w:eastAsia="Times New Roman" w:hAnsi="Times New Roman"/>
          <w:b/>
          <w:bCs/>
          <w:sz w:val="22"/>
          <w:szCs w:val="22"/>
        </w:rPr>
        <w:t xml:space="preserve">	90</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Annexe 1 : Grille d'analyse documentaire des fiches pédagogiques (Outil 1)</w:t>
      </w:r>
      <w:r>
        <w:rPr>
          <w:rFonts w:ascii="Times New Roman" w:cs="Times New Roman" w:eastAsia="Times New Roman" w:hAnsi="Times New Roman"/>
          <w:b w:val="false"/>
          <w:bCs w:val="false"/>
          <w:sz w:val="22"/>
          <w:szCs w:val="22"/>
        </w:rPr>
        <w:t xml:space="preserve">	90</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Annexe 2 : Grille de dépouillement et d'analyse des copies (Outil 2)</w:t>
      </w:r>
      <w:r>
        <w:rPr>
          <w:rFonts w:ascii="Times New Roman" w:cs="Times New Roman" w:eastAsia="Times New Roman" w:hAnsi="Times New Roman"/>
          <w:b w:val="false"/>
          <w:bCs w:val="false"/>
          <w:sz w:val="22"/>
          <w:szCs w:val="22"/>
        </w:rPr>
        <w:t xml:space="preserve">	90</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A. Énoncé de l'exercice de la Notion B</w:t>
      </w:r>
      <w:r>
        <w:rPr>
          <w:rFonts w:ascii="Times New Roman" w:cs="Times New Roman" w:eastAsia="Times New Roman" w:hAnsi="Times New Roman"/>
          <w:b w:val="false"/>
          <w:bCs w:val="false"/>
          <w:sz w:val="22"/>
          <w:szCs w:val="22"/>
        </w:rPr>
        <w:t xml:space="preserve">	90</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B. Fiche de dépouillement individuelle</w:t>
      </w:r>
      <w:r>
        <w:rPr>
          <w:rFonts w:ascii="Times New Roman" w:cs="Times New Roman" w:eastAsia="Times New Roman" w:hAnsi="Times New Roman"/>
          <w:b w:val="false"/>
          <w:bCs w:val="false"/>
          <w:sz w:val="22"/>
          <w:szCs w:val="22"/>
        </w:rPr>
        <w:t xml:space="preserve">	91</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Annexe 3 : Guide d'entretien rétrospectif et semi-directif (Outil 3)</w:t>
      </w:r>
      <w:r>
        <w:rPr>
          <w:rFonts w:ascii="Times New Roman" w:cs="Times New Roman" w:eastAsia="Times New Roman" w:hAnsi="Times New Roman"/>
          <w:b w:val="false"/>
          <w:bCs w:val="false"/>
          <w:sz w:val="22"/>
          <w:szCs w:val="22"/>
        </w:rPr>
        <w:t xml:space="preserve">	91</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Volet A : Entretien avec les formateurs de l'ENFPE de Notsè</w:t>
      </w:r>
      <w:r>
        <w:rPr>
          <w:rFonts w:ascii="Times New Roman" w:cs="Times New Roman" w:eastAsia="Times New Roman" w:hAnsi="Times New Roman"/>
          <w:b w:val="false"/>
          <w:bCs w:val="false"/>
          <w:sz w:val="22"/>
          <w:szCs w:val="22"/>
        </w:rPr>
        <w:t xml:space="preserve">	91</w:t>
      </w:r>
    </w:p>
    <w:p>
      <w:pPr>
        <w:tabs>
          <w:tab w:val="right" w:pos="9072" w:leader="dot"/>
        </w:tabs>
        <w:spacing w:after="20" w:before="0" w:line="264"/>
        <w:ind w:left="600" w:right="400"/>
      </w:pPr>
      <w:r>
        <w:rPr>
          <w:rFonts w:ascii="Times New Roman" w:cs="Times New Roman" w:eastAsia="Times New Roman" w:hAnsi="Times New Roman"/>
          <w:b w:val="false"/>
          <w:bCs w:val="false"/>
          <w:sz w:val="22"/>
          <w:szCs w:val="22"/>
        </w:rPr>
        <w:t xml:space="preserve">Volet B : Entretien avec les élèves-professeurs d'école (EPE)</w:t>
      </w:r>
      <w:r>
        <w:rPr>
          <w:rFonts w:ascii="Times New Roman" w:cs="Times New Roman" w:eastAsia="Times New Roman" w:hAnsi="Times New Roman"/>
          <w:b w:val="false"/>
          <w:bCs w:val="false"/>
          <w:sz w:val="22"/>
          <w:szCs w:val="22"/>
        </w:rPr>
        <w:t xml:space="preserve">	92</w:t>
      </w:r>
    </w:p>
    <w:p>
      <w:pPr>
        <w:tabs>
          <w:tab w:val="right" w:pos="9072" w:leader="dot"/>
        </w:tabs>
        <w:spacing w:after="20" w:before="0" w:line="264"/>
        <w:ind w:left="300" w:right="400"/>
      </w:pPr>
      <w:r>
        <w:rPr>
          <w:rFonts w:ascii="Times New Roman" w:cs="Times New Roman" w:eastAsia="Times New Roman" w:hAnsi="Times New Roman"/>
          <w:b w:val="false"/>
          <w:bCs w:val="false"/>
          <w:sz w:val="22"/>
          <w:szCs w:val="22"/>
        </w:rPr>
        <w:t xml:space="preserve">Annexe 4 : Modèle de bande-unité et de mur des fractions</w:t>
      </w:r>
      <w:r>
        <w:rPr>
          <w:rFonts w:ascii="Times New Roman" w:cs="Times New Roman" w:eastAsia="Times New Roman" w:hAnsi="Times New Roman"/>
          <w:b w:val="false"/>
          <w:bCs w:val="false"/>
          <w:sz w:val="22"/>
          <w:szCs w:val="22"/>
        </w:rPr>
        <w:t xml:space="preserve">	92</w:t>
      </w:r>
    </w:p>
    <w:p>
      <w:pPr>
        <w:pStyle w:val="Heading1"/>
        <w:keepNext/>
        <w:keepLines/>
        <w:pageBreakBefore/>
      </w:pPr>
      <w:r>
        <w:rPr>
          <w:rFonts w:ascii="Times New Roman" w:cs="Times New Roman" w:eastAsia="Times New Roman" w:hAnsi="Times New Roman"/>
        </w:rPr>
        <w:t xml:space="preserve">ANNEXES</w:t>
      </w:r>
    </w:p>
    <w:p>
      <w:pPr>
        <w:pStyle w:val="Heading2"/>
        <w:keepNext/>
        <w:keepLines/>
      </w:pPr>
      <w:r>
        <w:rPr>
          <w:rFonts w:ascii="Times New Roman" w:cs="Times New Roman" w:eastAsia="Times New Roman" w:hAnsi="Times New Roman"/>
        </w:rPr>
        <w:t xml:space="preserve">Annexe 1 : Grille d'analyse documentaire des fiches pédagogiques (Outil 1)</w:t>
      </w:r>
    </w:p>
    <w:p>
      <w:pPr>
        <w:spacing w:after="120" w:before="0" w:line="360"/>
        <w:jc w:val="both"/>
      </w:pPr>
      <w:r>
        <w:rPr>
          <w:rFonts w:ascii="Times New Roman" w:cs="Times New Roman" w:eastAsia="Times New Roman" w:hAnsi="Times New Roman"/>
          <w:b/>
          <w:bCs/>
        </w:rPr>
        <w:t xml:space="preserve">Objectif :</w:t>
      </w:r>
      <w:r>
        <w:rPr>
          <w:rFonts w:ascii="Times New Roman" w:cs="Times New Roman" w:eastAsia="Times New Roman" w:hAnsi="Times New Roman"/>
        </w:rPr>
        <w:t xml:space="preserve"> évaluer la manière dont les EPE conçoivent l'enseignement des fractions dans leurs fiches de préparation de leçons, en l'absence d'observation directe en classe.</w:t>
      </w:r>
    </w:p>
    <w:p>
      <w:pPr>
        <w:spacing w:after="120" w:before="0" w:line="360"/>
        <w:jc w:val="both"/>
      </w:pPr>
      <w:r>
        <w:rPr>
          <w:rFonts w:ascii="Times New Roman" w:cs="Times New Roman" w:eastAsia="Times New Roman" w:hAnsi="Times New Roman"/>
          <w:b/>
          <w:bCs/>
        </w:rPr>
        <w:t xml:space="preserve">Support :</w:t>
      </w:r>
      <w:r>
        <w:rPr>
          <w:rFonts w:ascii="Times New Roman" w:cs="Times New Roman" w:eastAsia="Times New Roman" w:hAnsi="Times New Roman"/>
        </w:rPr>
        <w:t xml:space="preserve"> fiche de leçon de mathématiques portant sur les fractions, élaborée par l'EPE au cours du stage en responsabilité.</w:t>
      </w:r>
    </w:p>
    <w:p>
      <w:pPr>
        <w:spacing w:after="120" w:before="0" w:line="360"/>
        <w:jc w:val="both"/>
      </w:pPr>
      <w:r>
        <w:rPr>
          <w:rFonts w:ascii="Times New Roman" w:cs="Times New Roman" w:eastAsia="Times New Roman" w:hAnsi="Times New Roman"/>
          <w:b/>
          <w:bCs/>
        </w:rPr>
        <w:t xml:space="preserve">Code de la fiche :</w:t>
      </w:r>
      <w:r>
        <w:rPr>
          <w:rFonts w:ascii="Times New Roman" w:cs="Times New Roman" w:eastAsia="Times New Roman" w:hAnsi="Times New Roman"/>
        </w:rPr>
        <w:t xml:space="preserve"> EPE-……   </w:t>
      </w:r>
      <w:r>
        <w:rPr>
          <w:rFonts w:ascii="Times New Roman" w:cs="Times New Roman" w:eastAsia="Times New Roman" w:hAnsi="Times New Roman"/>
          <w:b/>
          <w:bCs/>
        </w:rPr>
        <w:t xml:space="preserve">Classe :</w:t>
      </w:r>
      <w:r>
        <w:rPr>
          <w:rFonts w:ascii="Times New Roman" w:cs="Times New Roman" w:eastAsia="Times New Roman" w:hAnsi="Times New Roman"/>
        </w:rPr>
        <w:t xml:space="preserve"> ……   </w:t>
      </w:r>
      <w:r>
        <w:rPr>
          <w:rFonts w:ascii="Times New Roman" w:cs="Times New Roman" w:eastAsia="Times New Roman" w:hAnsi="Times New Roman"/>
          <w:b/>
          <w:bCs/>
        </w:rPr>
        <w:t xml:space="preserve">Titre de la leçon :</w:t>
      </w:r>
      <w:r>
        <w:rPr>
          <w:rFonts w:ascii="Times New Roman" w:cs="Times New Roman" w:eastAsia="Times New Roman" w:hAnsi="Times New Roman"/>
        </w:rPr>
        <w:t xml:space="preserve"> ……………………………………</w:t>
      </w:r>
    </w:p>
    <w:p>
      <w:pPr>
        <w:keepNext/>
        <w:spacing w:after="80" w:before="160"/>
        <w:jc w:val="center"/>
      </w:pPr>
      <w:r>
        <w:rPr>
          <w:rFonts w:ascii="Times New Roman" w:cs="Times New Roman" w:eastAsia="Times New Roman" w:hAnsi="Times New Roman"/>
          <w:b/>
          <w:bCs/>
          <w:sz w:val="22"/>
          <w:szCs w:val="22"/>
        </w:rPr>
        <w:t xml:space="preserve">Grille d'analyse de la fiche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8"/>
        <w:gridCol w:w="4536"/>
        <w:gridCol w:w="2178"/>
      </w:tblGrid>
      <w:tr>
        <w:trPr>
          <w:cantSplit/>
          <w:tblHeader/>
        </w:trPr>
        <w:tc>
          <w:tcPr>
            <w:tcW w:type="dxa" w:w="235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Critère d'analyse</w:t>
            </w:r>
          </w:p>
        </w:tc>
        <w:tc>
          <w:tcPr>
            <w:tcW w:type="dxa" w:w="453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Indicateurs observables sur la fiche</w:t>
            </w:r>
          </w:p>
        </w:tc>
        <w:tc>
          <w:tcPr>
            <w:tcW w:type="dxa" w:w="217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Évaluation (0 = Absent ; 1 = Partiel ; 2 = Conforme)</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C1. Choix du support ou de la situation de départ</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Présence d'une situation-problème ancrée dans le concret (partage d'objets, pliage de papier) ; évitement d'une introduction purement formelle ou définitionnelle</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 ] 0   [ ] 1   [ ] 2</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C2. Rigueur mathématique de la notion (Notion B)</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Exactitude de l'écriture des fractions et des définitions des facettes (partie-tout, opérateur) ; absence d'erreurs de calcul ou d'amalgames conceptuels</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 ] 0   [ ] 1   [ ] 2</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C3. Prise en compte des registres sémiotiques</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Utilisation prévue de schémas, de dessins géométriques ou de représentations graphiques claires ; coordination explicite entre le registre graphique et le registre symbolique</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 ] 0   [ ] 1   [ ] 2</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C4. Structuration de la séance (étapes didactiques)</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Présence d'une phase de recherche autonome, d'une phase de mise en commun (plénière) et d'une institutionnalisation claire</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 ] 0   [ ] 1   [ ] 2</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Indicateur complémentaire</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Matériel de manipulation prévu pour les élèves</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 ] Oui   [ ] Non</w:t>
            </w:r>
          </w:p>
        </w:tc>
      </w:tr>
      <w:tr>
        <w:trPr>
          <w:cantSplit/>
          <w:tblHeader w:val="false"/>
        </w:trPr>
        <w:tc>
          <w:tcPr>
            <w:tcW w:type="dxa" w:w="2358"/>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Score global</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Insuffisante (0 à 3) ; Acceptable (4 à 5) ; Conforme (6 à 8)</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 / 8</w:t>
            </w:r>
          </w:p>
        </w:tc>
      </w:tr>
    </w:tbl>
    <w:p>
      <w:pPr>
        <w:pStyle w:val="Heading2"/>
        <w:keepNext/>
        <w:keepLines/>
      </w:pPr>
      <w:r>
        <w:rPr>
          <w:rFonts w:ascii="Times New Roman" w:cs="Times New Roman" w:eastAsia="Times New Roman" w:hAnsi="Times New Roman"/>
        </w:rPr>
        <w:t xml:space="preserve">Annexe 2 : Grille de dépouillement et d'analyse des copies (Outil 2)</w:t>
      </w:r>
    </w:p>
    <w:p>
      <w:pPr>
        <w:spacing w:after="120" w:before="0" w:line="360"/>
        <w:jc w:val="both"/>
      </w:pPr>
      <w:r>
        <w:rPr>
          <w:rFonts w:ascii="Times New Roman" w:cs="Times New Roman" w:eastAsia="Times New Roman" w:hAnsi="Times New Roman"/>
          <w:b/>
          <w:bCs/>
        </w:rPr>
        <w:t xml:space="preserve">Objectif :</w:t>
      </w:r>
      <w:r>
        <w:rPr>
          <w:rFonts w:ascii="Times New Roman" w:cs="Times New Roman" w:eastAsia="Times New Roman" w:hAnsi="Times New Roman"/>
        </w:rPr>
        <w:t xml:space="preserve"> analyser les performances et classer les erreurs commises par les EPE à l'exercice de la Notion B (fractions), noté sur 1,5 point.</w:t>
      </w:r>
    </w:p>
    <w:p>
      <w:pPr>
        <w:pStyle w:val="Heading3"/>
        <w:keepNext/>
        <w:keepLines/>
      </w:pPr>
      <w:r>
        <w:rPr>
          <w:rFonts w:ascii="Times New Roman" w:cs="Times New Roman" w:eastAsia="Times New Roman" w:hAnsi="Times New Roman"/>
        </w:rPr>
        <w:t xml:space="preserve">A. Énoncé de l'exercice de la Notion B</w:t>
      </w:r>
    </w:p>
    <w:p>
      <w:pPr>
        <w:spacing w:after="60" w:line="360"/>
        <w:ind w:left="709" w:hanging="360"/>
        <w:jc w:val="both"/>
      </w:pPr>
      <w:r>
        <w:rPr>
          <w:rFonts w:ascii="Times New Roman" w:cs="Times New Roman" w:eastAsia="Times New Roman" w:hAnsi="Times New Roman"/>
        </w:rPr>
        <w:t xml:space="preserve">1) Écris la fraction qui correspond à la partie coloriée d'un rectangle partagé en 8 parts égales dont 3 sont coloriées. Représente les 3/5 d'un disque. (0,25 pt)</w:t>
      </w:r>
    </w:p>
    <w:p>
      <w:pPr>
        <w:spacing w:after="60" w:line="360"/>
        <w:ind w:left="709" w:hanging="360"/>
        <w:jc w:val="both"/>
      </w:pPr>
      <w:r>
        <w:rPr>
          <w:rFonts w:ascii="Times New Roman" w:cs="Times New Roman" w:eastAsia="Times New Roman" w:hAnsi="Times New Roman"/>
        </w:rPr>
        <w:t xml:space="preserve">2) Compare en justifiant : 1/7 et 1/5 ; 3/4 et 5/6. (0,25 pt)</w:t>
      </w:r>
    </w:p>
    <w:p>
      <w:pPr>
        <w:spacing w:after="60" w:line="360"/>
        <w:ind w:left="709" w:hanging="360"/>
        <w:jc w:val="both"/>
      </w:pPr>
      <w:r>
        <w:rPr>
          <w:rFonts w:ascii="Times New Roman" w:cs="Times New Roman" w:eastAsia="Times New Roman" w:hAnsi="Times New Roman"/>
        </w:rPr>
        <w:t xml:space="preserve">3) Simplifie 18/24. Donne deux fractions égales à 2/3. (0,25 pt)</w:t>
      </w:r>
    </w:p>
    <w:p>
      <w:pPr>
        <w:spacing w:after="60" w:line="360"/>
        <w:ind w:left="709" w:hanging="360"/>
        <w:jc w:val="both"/>
      </w:pPr>
      <w:r>
        <w:rPr>
          <w:rFonts w:ascii="Times New Roman" w:cs="Times New Roman" w:eastAsia="Times New Roman" w:hAnsi="Times New Roman"/>
        </w:rPr>
        <w:t xml:space="preserve">4) Calcule : 2/3 + 1/4 ; 5/6 – 1/4. (0,50 pt)</w:t>
      </w:r>
    </w:p>
    <w:p>
      <w:pPr>
        <w:spacing w:after="60" w:line="360"/>
        <w:ind w:left="709" w:hanging="360"/>
        <w:jc w:val="both"/>
      </w:pPr>
      <w:r>
        <w:rPr>
          <w:rFonts w:ascii="Times New Roman" w:cs="Times New Roman" w:eastAsia="Times New Roman" w:hAnsi="Times New Roman"/>
        </w:rPr>
        <w:t xml:space="preserve">5) Un maître dispose de 2 400 F. Il dépense les 3/5 de cette somme pour acheter des craies. Combien a-t-il dépensé ? (0,25 pt)</w:t>
      </w:r>
    </w:p>
    <w:p>
      <w:pPr>
        <w:pStyle w:val="Heading3"/>
        <w:keepNext/>
        <w:keepLines/>
      </w:pPr>
      <w:r>
        <w:rPr>
          <w:rFonts w:ascii="Times New Roman" w:cs="Times New Roman" w:eastAsia="Times New Roman" w:hAnsi="Times New Roman"/>
        </w:rPr>
        <w:t xml:space="preserve">B. Fiche de dépouillement individuelle</w:t>
      </w:r>
    </w:p>
    <w:p>
      <w:pPr>
        <w:keepNext/>
        <w:spacing w:after="80" w:before="160"/>
        <w:jc w:val="center"/>
      </w:pPr>
      <w:r>
        <w:rPr>
          <w:rFonts w:ascii="Times New Roman" w:cs="Times New Roman" w:eastAsia="Times New Roman" w:hAnsi="Times New Roman"/>
          <w:b/>
          <w:bCs/>
          <w:sz w:val="22"/>
          <w:szCs w:val="22"/>
        </w:rPr>
        <w:t xml:space="preserve">Dépouillement quantitatif (une ligne par copie)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1"/>
        <w:gridCol w:w="1088"/>
        <w:gridCol w:w="1088"/>
        <w:gridCol w:w="1088"/>
        <w:gridCol w:w="1088"/>
        <w:gridCol w:w="1088"/>
        <w:gridCol w:w="1088"/>
        <w:gridCol w:w="1093"/>
      </w:tblGrid>
      <w:tr>
        <w:trPr>
          <w:cantSplit/>
          <w:tblHeader/>
        </w:trPr>
        <w:tc>
          <w:tcPr>
            <w:tcW w:type="dxa" w:w="1451"/>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Code EPE</w:t>
            </w:r>
          </w:p>
        </w:tc>
        <w:tc>
          <w:tcPr>
            <w:tcW w:type="dxa" w:w="108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I1 (/0,25)</w:t>
            </w:r>
          </w:p>
        </w:tc>
        <w:tc>
          <w:tcPr>
            <w:tcW w:type="dxa" w:w="108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I2 (/0,25)</w:t>
            </w:r>
          </w:p>
        </w:tc>
        <w:tc>
          <w:tcPr>
            <w:tcW w:type="dxa" w:w="108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I3 (/0,25)</w:t>
            </w:r>
          </w:p>
        </w:tc>
        <w:tc>
          <w:tcPr>
            <w:tcW w:type="dxa" w:w="108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I4 (/0,50)</w:t>
            </w:r>
          </w:p>
        </w:tc>
        <w:tc>
          <w:tcPr>
            <w:tcW w:type="dxa" w:w="108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I5 (/0,25)</w:t>
            </w:r>
          </w:p>
        </w:tc>
        <w:tc>
          <w:tcPr>
            <w:tcW w:type="dxa" w:w="108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Total (/1,5)</w:t>
            </w:r>
          </w:p>
        </w:tc>
        <w:tc>
          <w:tcPr>
            <w:tcW w:type="dxa" w:w="109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Niveau</w:t>
            </w:r>
          </w:p>
        </w:tc>
      </w:tr>
      <w:tr>
        <w:trPr>
          <w:cantSplit/>
          <w:tblHeader w:val="false"/>
        </w:trPr>
        <w:tc>
          <w:tcPr>
            <w:tcW w:type="dxa" w:w="14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EPE-……</w:t>
            </w: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0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p>
        </w:tc>
        <w:tc>
          <w:tcPr>
            <w:tcW w:type="dxa" w:w="109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NA / ECA / A</w:t>
            </w:r>
          </w:p>
        </w:tc>
      </w:tr>
    </w:tbl>
    <w:p>
      <w:pPr>
        <w:keepNext/>
        <w:spacing w:after="80" w:before="160"/>
        <w:jc w:val="center"/>
      </w:pPr>
      <w:r>
        <w:rPr>
          <w:rFonts w:ascii="Times New Roman" w:cs="Times New Roman" w:eastAsia="Times New Roman" w:hAnsi="Times New Roman"/>
          <w:b/>
          <w:bCs/>
          <w:sz w:val="22"/>
          <w:szCs w:val="22"/>
        </w:rPr>
        <w:t xml:space="preserve">Classification qualitative des erreurs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3628"/>
        <w:gridCol w:w="2904"/>
      </w:tblGrid>
      <w:tr>
        <w:trPr>
          <w:cantSplit/>
          <w:tblHeader/>
        </w:trPr>
        <w:tc>
          <w:tcPr>
            <w:tcW w:type="dxa" w:w="254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Type d'erreur ou d'obstacle</w:t>
            </w:r>
          </w:p>
        </w:tc>
        <w:tc>
          <w:tcPr>
            <w:tcW w:type="dxa" w:w="362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Manifestation concrète dans la copie</w:t>
            </w:r>
          </w:p>
        </w:tc>
        <w:tc>
          <w:tcPr>
            <w:tcW w:type="dxa" w:w="290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Interprétation didactique</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T1 : Interférence du modèle entier</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Comparaison de fractions selon l'ordre des entiers (ex. : 1/8 &gt; 1/5)</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Obstacle épistémologique lié aux nombres entiers (Bachelard ; Brousseau)</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T2 : Algorithme erroné des opérations</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Addition des numérateurs et des dénominateurs entre eux : a/b + c/d = (a+c)/(b+d)</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Absence de sens du nombre rationnel ; règle syntaxique</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T3 : Défaut de conversion sémiotique</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Incapacité à traduire un énoncé ou une figure en écriture fractionnaire ; parts inégales</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Rupture de la coordination entre registres (Duval)</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T4 : Fraction-opérateur</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Division par le numérateur et multiplication par le dénominateur</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Signification opérateur non construite</w:t>
            </w:r>
          </w:p>
        </w:tc>
      </w:tr>
      <w:tr>
        <w:trPr>
          <w:cantSplit/>
          <w:tblHeader w:val="false"/>
        </w:trP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T5 : Simplification erronée</w:t>
            </w:r>
          </w:p>
        </w:tc>
        <w:tc>
          <w:tcPr>
            <w:tcW w:type="dxa" w:w="362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Soustraction d'un même nombre au numérateur et au dénominateur</w:t>
            </w:r>
          </w:p>
        </w:tc>
        <w:tc>
          <w:tcPr>
            <w:tcW w:type="dxa" w:w="29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Confusion entre égalité additive et multiplicative</w:t>
            </w:r>
          </w:p>
        </w:tc>
      </w:tr>
    </w:tbl>
    <w:p>
      <w:pPr>
        <w:spacing w:after="120" w:before="0" w:line="360"/>
        <w:jc w:val="both"/>
      </w:pPr>
      <w:r>
        <w:rPr>
          <w:rFonts w:ascii="Times New Roman" w:cs="Times New Roman" w:eastAsia="Times New Roman" w:hAnsi="Times New Roman"/>
          <w:b/>
          <w:bCs/>
        </w:rPr>
        <w:t xml:space="preserve">Niveaux de maîtrise :</w:t>
      </w:r>
      <w:r>
        <w:rPr>
          <w:rFonts w:ascii="Times New Roman" w:cs="Times New Roman" w:eastAsia="Times New Roman" w:hAnsi="Times New Roman"/>
        </w:rPr>
        <w:t xml:space="preserve"> NA = non acquis [0 – 0,50] ; ECA = en cours d'acquisition [0,51 – 1,00] ; A = acquis [1,01 – 1,50].</w:t>
      </w:r>
    </w:p>
    <w:p>
      <w:pPr>
        <w:pStyle w:val="Heading2"/>
        <w:keepNext/>
        <w:keepLines/>
      </w:pPr>
      <w:r>
        <w:rPr>
          <w:rFonts w:ascii="Times New Roman" w:cs="Times New Roman" w:eastAsia="Times New Roman" w:hAnsi="Times New Roman"/>
        </w:rPr>
        <w:t xml:space="preserve">Annexe 3 : Guide d'entretien rétrospectif et semi-directif (Outil 3)</w:t>
      </w:r>
    </w:p>
    <w:p>
      <w:pPr>
        <w:spacing w:after="120" w:before="0" w:line="360"/>
        <w:jc w:val="both"/>
      </w:pPr>
      <w:r>
        <w:rPr>
          <w:rFonts w:ascii="Times New Roman" w:cs="Times New Roman" w:eastAsia="Times New Roman" w:hAnsi="Times New Roman"/>
          <w:b/>
          <w:bCs/>
        </w:rPr>
        <w:t xml:space="preserve">Objectif :</w:t>
      </w:r>
      <w:r>
        <w:rPr>
          <w:rFonts w:ascii="Times New Roman" w:cs="Times New Roman" w:eastAsia="Times New Roman" w:hAnsi="Times New Roman"/>
        </w:rPr>
        <w:t xml:space="preserve"> recueillir le discours et l'analyse des formateurs et des EPE afin de comprendre a posteriori les difficultés rencontrées dans l'apprentissage et l'enseignement des fractions.</w:t>
      </w:r>
    </w:p>
    <w:p>
      <w:pPr>
        <w:spacing w:after="120" w:before="0" w:line="360"/>
        <w:jc w:val="both"/>
      </w:pPr>
      <w:r>
        <w:rPr>
          <w:rFonts w:ascii="Times New Roman" w:cs="Times New Roman" w:eastAsia="Times New Roman" w:hAnsi="Times New Roman"/>
          <w:b/>
          <w:bCs/>
        </w:rPr>
        <w:t xml:space="preserve">Consigne introductive :</w:t>
      </w:r>
      <w:r>
        <w:rPr>
          <w:rFonts w:ascii="Times New Roman" w:cs="Times New Roman" w:eastAsia="Times New Roman" w:hAnsi="Times New Roman"/>
        </w:rPr>
        <w:t xml:space="preserve"> « Dans le cadre de mon mémoire de Master professionnel, je m'intéresse à l'enseignement des fractions au primaire. Cet entretien est anonyme et ne sera utilisé qu'à des fins de recherche. Acceptez-vous qu'il soit enregistré ? »</w:t>
      </w:r>
    </w:p>
    <w:p>
      <w:pPr>
        <w:pStyle w:val="Heading3"/>
        <w:keepNext/>
        <w:keepLines/>
      </w:pPr>
      <w:r>
        <w:rPr>
          <w:rFonts w:ascii="Times New Roman" w:cs="Times New Roman" w:eastAsia="Times New Roman" w:hAnsi="Times New Roman"/>
        </w:rPr>
        <w:t xml:space="preserve">Volet A : Entretien avec les formateurs de l'ENFPE de Notsè</w:t>
      </w:r>
    </w:p>
    <w:p>
      <w:pPr>
        <w:spacing w:after="60" w:line="360"/>
        <w:ind w:left="709" w:hanging="360"/>
        <w:jc w:val="both"/>
      </w:pPr>
      <w:r>
        <w:rPr>
          <w:rFonts w:ascii="Times New Roman" w:cs="Times New Roman" w:eastAsia="Times New Roman" w:hAnsi="Times New Roman"/>
        </w:rPr>
        <w:t xml:space="preserve">1) « Au regard de votre expérience dans l'enseignement des modules de mathématiques à l'ENFPE, comment expliquez-vous les difficultés récurrentes des EPE sur la notion de fraction ? »</w:t>
      </w:r>
    </w:p>
    <w:p>
      <w:pPr>
        <w:pStyle w:val="ListParagraph"/>
        <w:numPr>
          <w:ilvl w:val="0"/>
          <w:numId w:val="2"/>
        </w:numPr>
        <w:spacing w:after="60" w:line="360"/>
        <w:jc w:val="both"/>
      </w:pPr>
      <w:r>
        <w:rPr>
          <w:rFonts w:ascii="Times New Roman" w:cs="Times New Roman" w:eastAsia="Times New Roman" w:hAnsi="Times New Roman"/>
        </w:rPr>
        <w:t xml:space="preserve">Relances : profil d'entrée des EPE ; volume horaire ; effectifs ; méthodes utilisées en formation.</w:t>
      </w:r>
    </w:p>
    <w:p>
      <w:pPr>
        <w:spacing w:after="60" w:line="360"/>
        <w:ind w:left="709" w:hanging="360"/>
        <w:jc w:val="both"/>
      </w:pPr>
      <w:r>
        <w:rPr>
          <w:rFonts w:ascii="Times New Roman" w:cs="Times New Roman" w:eastAsia="Times New Roman" w:hAnsi="Times New Roman"/>
        </w:rPr>
        <w:t xml:space="preserve">2) « Quels sont les principaux obstacles épistémologiques que vous observez le plus souvent chez ces adultes en fin de formation initiale ? »</w:t>
      </w:r>
    </w:p>
    <w:p>
      <w:pPr>
        <w:pStyle w:val="ListParagraph"/>
        <w:numPr>
          <w:ilvl w:val="0"/>
          <w:numId w:val="2"/>
        </w:numPr>
        <w:spacing w:after="60" w:line="360"/>
        <w:jc w:val="both"/>
      </w:pPr>
      <w:r>
        <w:rPr>
          <w:rFonts w:ascii="Times New Roman" w:cs="Times New Roman" w:eastAsia="Times New Roman" w:hAnsi="Times New Roman"/>
        </w:rPr>
        <w:t xml:space="preserve">Relances : comparaison ; opérations ; représentations ; problèmes.</w:t>
      </w:r>
    </w:p>
    <w:p>
      <w:pPr>
        <w:spacing w:after="60" w:line="360"/>
        <w:ind w:left="709" w:hanging="360"/>
        <w:jc w:val="both"/>
      </w:pPr>
      <w:r>
        <w:rPr>
          <w:rFonts w:ascii="Times New Roman" w:cs="Times New Roman" w:eastAsia="Times New Roman" w:hAnsi="Times New Roman"/>
        </w:rPr>
        <w:t xml:space="preserve">3) « Lors de la préparation des leçons d'essai ou des stages, quelles sont les lacunes qui reviennent le plus fréquemment dans les fiches pédagogiques des stagiaires concernant les fractions ? »</w:t>
      </w:r>
    </w:p>
    <w:p>
      <w:pPr>
        <w:pStyle w:val="ListParagraph"/>
        <w:numPr>
          <w:ilvl w:val="0"/>
          <w:numId w:val="2"/>
        </w:numPr>
        <w:spacing w:after="60" w:line="360"/>
        <w:jc w:val="both"/>
      </w:pPr>
      <w:r>
        <w:rPr>
          <w:rFonts w:ascii="Times New Roman" w:cs="Times New Roman" w:eastAsia="Times New Roman" w:hAnsi="Times New Roman"/>
        </w:rPr>
        <w:t xml:space="preserve">Relances : situation de départ ; matériel ; institutionnalisation ; accompagnement par les maîtres d'accueil.</w:t>
      </w:r>
    </w:p>
    <w:p>
      <w:pPr>
        <w:pStyle w:val="Heading3"/>
        <w:keepNext/>
        <w:keepLines/>
      </w:pPr>
      <w:r>
        <w:rPr>
          <w:rFonts w:ascii="Times New Roman" w:cs="Times New Roman" w:eastAsia="Times New Roman" w:hAnsi="Times New Roman"/>
        </w:rPr>
        <w:t xml:space="preserve">Volet B : Entretien avec les élèves-professeurs d'école (EPE)</w:t>
      </w:r>
    </w:p>
    <w:p>
      <w:pPr>
        <w:spacing w:after="60" w:line="360"/>
        <w:ind w:left="709" w:hanging="360"/>
        <w:jc w:val="both"/>
      </w:pPr>
      <w:r>
        <w:rPr>
          <w:rFonts w:ascii="Times New Roman" w:cs="Times New Roman" w:eastAsia="Times New Roman" w:hAnsi="Times New Roman"/>
        </w:rPr>
        <w:t xml:space="preserve">1) « Rétrospectivement, comment évaluez-vous votre propre maîtrise de la notion de fraction lors de votre formation à l'ENFPE ? »</w:t>
      </w:r>
    </w:p>
    <w:p>
      <w:pPr>
        <w:pStyle w:val="ListParagraph"/>
        <w:numPr>
          <w:ilvl w:val="0"/>
          <w:numId w:val="2"/>
        </w:numPr>
        <w:spacing w:after="60" w:line="360"/>
        <w:jc w:val="both"/>
      </w:pPr>
      <w:r>
        <w:rPr>
          <w:rFonts w:ascii="Times New Roman" w:cs="Times New Roman" w:eastAsia="Times New Roman" w:hAnsi="Times New Roman"/>
        </w:rPr>
        <w:t xml:space="preserve">Relances : souvenirs de l'école primaire et du collège ; sentiment de confiance.</w:t>
      </w:r>
    </w:p>
    <w:p>
      <w:pPr>
        <w:spacing w:after="60" w:line="360"/>
        <w:ind w:left="709" w:hanging="360"/>
        <w:jc w:val="both"/>
      </w:pPr>
      <w:r>
        <w:rPr>
          <w:rFonts w:ascii="Times New Roman" w:cs="Times New Roman" w:eastAsia="Times New Roman" w:hAnsi="Times New Roman"/>
        </w:rPr>
        <w:t xml:space="preserve">2) « Lorsque vous prépariez vos séquences ou vos fiches de leçons, qu'est-ce qui vous paraissait le plus complexe à expliquer à des élèves du primaire : le sens de la fraction, les opérations ou la représentation graphique ? »</w:t>
      </w:r>
    </w:p>
    <w:p>
      <w:pPr>
        <w:pStyle w:val="ListParagraph"/>
        <w:numPr>
          <w:ilvl w:val="0"/>
          <w:numId w:val="2"/>
        </w:numPr>
        <w:spacing w:after="60" w:line="360"/>
        <w:jc w:val="both"/>
      </w:pPr>
      <w:r>
        <w:rPr>
          <w:rFonts w:ascii="Times New Roman" w:cs="Times New Roman" w:eastAsia="Times New Roman" w:hAnsi="Times New Roman"/>
        </w:rPr>
        <w:t xml:space="preserve">Relances : questions des élèves ; ressources utilisées (livre du maître, collègues).</w:t>
      </w:r>
    </w:p>
    <w:p>
      <w:pPr>
        <w:spacing w:after="60" w:line="360"/>
        <w:ind w:left="709" w:hanging="360"/>
        <w:jc w:val="both"/>
      </w:pPr>
      <w:r>
        <w:rPr>
          <w:rFonts w:ascii="Times New Roman" w:cs="Times New Roman" w:eastAsia="Times New Roman" w:hAnsi="Times New Roman"/>
        </w:rPr>
        <w:t xml:space="preserve">3) « Avez-vous le sentiment que les outils méthodologiques reçus à l'ENFPE vous ont pleinement armés pour surmonter vos propres appréhensions face aux mathématiques ? »</w:t>
      </w:r>
    </w:p>
    <w:p>
      <w:pPr>
        <w:pStyle w:val="ListParagraph"/>
        <w:numPr>
          <w:ilvl w:val="0"/>
          <w:numId w:val="2"/>
        </w:numPr>
        <w:spacing w:after="60" w:line="360"/>
        <w:jc w:val="both"/>
      </w:pPr>
      <w:r>
        <w:rPr>
          <w:rFonts w:ascii="Times New Roman" w:cs="Times New Roman" w:eastAsia="Times New Roman" w:hAnsi="Times New Roman"/>
        </w:rPr>
        <w:t xml:space="preserve">Relances : séances de manipulation vécues ; matériel disponible ; accompagnement en stage.</w:t>
      </w:r>
    </w:p>
    <w:p>
      <w:pPr>
        <w:spacing w:after="120" w:before="0" w:line="360"/>
        <w:jc w:val="both"/>
      </w:pPr>
      <w:r>
        <w:rPr>
          <w:rFonts w:ascii="Times New Roman" w:cs="Times New Roman" w:eastAsia="Times New Roman" w:hAnsi="Times New Roman"/>
          <w:b/>
          <w:bCs/>
        </w:rPr>
        <w:t xml:space="preserve">Fiche signalétique :</w:t>
      </w:r>
      <w:r>
        <w:rPr>
          <w:rFonts w:ascii="Times New Roman" w:cs="Times New Roman" w:eastAsia="Times New Roman" w:hAnsi="Times New Roman"/>
        </w:rPr>
        <w:t xml:space="preserve"> code de l'enquêté ; sexe ; série du baccalauréat ; classe tenue en stage ; date et durée de l'entretien.</w:t>
      </w:r>
    </w:p>
    <w:p>
      <w:pPr>
        <w:pStyle w:val="Heading2"/>
        <w:keepNext/>
        <w:keepLines/>
      </w:pPr>
      <w:r>
        <w:rPr>
          <w:rFonts w:ascii="Times New Roman" w:cs="Times New Roman" w:eastAsia="Times New Roman" w:hAnsi="Times New Roman"/>
        </w:rPr>
        <w:t xml:space="preserve">Annexe 4 : Modèle de bande-unité et de mur des fractions</w:t>
      </w:r>
    </w:p>
    <w:p>
      <w:pPr>
        <w:spacing w:after="120" w:before="0" w:line="360"/>
        <w:jc w:val="both"/>
      </w:pPr>
      <w:r>
        <w:rPr>
          <w:rFonts w:ascii="Times New Roman" w:cs="Times New Roman" w:eastAsia="Times New Roman" w:hAnsi="Times New Roman"/>
        </w:rPr>
        <w:t xml:space="preserve">La bande-unité mesure 24 cm sur 3 cm. Le mur des fractions est constitué de six bandes-unités superposées, partagées respectivement en 2, 3, 4, 6, 8 et 12 parts égales.</w:t>
      </w:r>
    </w:p>
    <w:p>
      <w:pPr>
        <w:keepNext/>
        <w:spacing w:after="80" w:before="160"/>
        <w:jc w:val="center"/>
      </w:pPr>
      <w:r>
        <w:rPr>
          <w:rFonts w:ascii="Times New Roman" w:cs="Times New Roman" w:eastAsia="Times New Roman" w:hAnsi="Times New Roman"/>
          <w:b/>
          <w:bCs/>
          <w:sz w:val="22"/>
          <w:szCs w:val="22"/>
        </w:rPr>
        <w:t xml:space="preserve">Longueur des parts de la bande-unité de 24 cm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cantSplit/>
          <w:tblHeader/>
        </w:trPr>
        <w:tc>
          <w:tcPr>
            <w:tcW w:type="dxa" w:w="226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Partage</w:t>
            </w:r>
          </w:p>
        </w:tc>
        <w:tc>
          <w:tcPr>
            <w:tcW w:type="dxa" w:w="226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Fraction unitaire</w:t>
            </w:r>
          </w:p>
        </w:tc>
        <w:tc>
          <w:tcPr>
            <w:tcW w:type="dxa" w:w="226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Longueur d'une part</w:t>
            </w:r>
          </w:p>
        </w:tc>
        <w:tc>
          <w:tcPr>
            <w:tcW w:type="dxa" w:w="226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b/>
                <w:bCs/>
                <w:sz w:val="20"/>
                <w:szCs w:val="20"/>
              </w:rPr>
              <w:t xml:space="preserve">Fractions égales repérables</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 2</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1/2</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12 cm</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1/2 = 2/4 = 3/6 = 4/8 = 6/12</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 3</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1/3</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8 cm</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1/3 = 2/6 = 4/12</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 4</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1/4</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6 cm</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1/4 = 2/8 = 3/12</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 6</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1/6</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4 cm</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1/6 = 2/12</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 8</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1/8</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3 cm</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2/8 = 1/4</w:t>
            </w:r>
          </w:p>
        </w:tc>
      </w:tr>
      <w:tr>
        <w:trPr>
          <w:cantSplit/>
          <w:tblHeader w:val="false"/>
        </w:trPr>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En 12</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center"/>
            </w:pPr>
            <w:r>
              <w:rPr>
                <w:rFonts w:ascii="Times New Roman" w:cs="Times New Roman" w:eastAsia="Times New Roman" w:hAnsi="Times New Roman"/>
                <w:sz w:val="20"/>
                <w:szCs w:val="20"/>
              </w:rPr>
              <w:t xml:space="preserve">1/12</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 cm</w:t>
            </w:r>
          </w:p>
        </w:tc>
        <w:tc>
          <w:tcPr>
            <w:tcW w:type="dxa" w:w="226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20" w:line="240"/>
              <w:jc w:val="left"/>
            </w:pPr>
            <w:r>
              <w:rPr>
                <w:rFonts w:ascii="Times New Roman" w:cs="Times New Roman" w:eastAsia="Times New Roman" w:hAnsi="Times New Roman"/>
                <w:sz w:val="20"/>
                <w:szCs w:val="20"/>
              </w:rPr>
              <w:t xml:space="preserve">2/12 = 1/6 ; 3/12 = 1/4 ; 4/12 = 1/3</w:t>
            </w:r>
          </w:p>
        </w:tc>
      </w:tr>
    </w:tbl>
    <w:sectPr>
      <w:footerReference w:type="default" r:id="rId8"/>
      <w:type w:val="nextPage"/>
      <w:pgSz w:w="11906" w:h="16838" w:orient="portrait"/>
      <w:pgMar w:top="1417" w:right="1417" w:bottom="1417" w:left="1417" w:header="708"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283"/>
      </w:pPr>
    </w:lvl>
    <w:lvl w:ilvl="1" w15: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320"/>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40" w:before="280" w:lin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20" w:line="300"/>
      <w:ind w:left="284"/>
      <w:outlineLvl w:val="2"/>
    </w:pPr>
    <w:rPr>
      <w:rFonts w:ascii="Times New Roman" w:cs="Times New Roman" w:eastAsia="Times New Roman" w:hAnsi="Times New Roman"/>
      <w:b/>
      <w:bCs/>
      <w:i/>
      <w:iCs/>
      <w:sz w:val="24"/>
      <w:szCs w:val="24"/>
    </w:rPr>
  </w:style>
  <w:style w:type="paragraph" w:styleId="Heading4">
    <w:name w:val="Heading 4"/>
    <w:basedOn w:val="Normal"/>
    <w:next w:val="Normal"/>
    <w:qFormat/>
    <w:pPr>
      <w:spacing w:after="100" w:before="160" w:line="300"/>
      <w:ind w:left="567"/>
      <w:outlineLvl w:val="3"/>
    </w:pPr>
    <w:rPr>
      <w:rFonts w:ascii="Times New Roman" w:cs="Times New Roman" w:eastAsia="Times New Roman" w:hAnsi="Times New Roman"/>
      <w:i/>
      <w:iCs/>
      <w:sz w:val="24"/>
      <w:szCs w:val="2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63f9567c07f1f9df4c31bee56ac01ce6d069b24.png"/><Relationship Id="rId10" Type="http://schemas.openxmlformats.org/officeDocument/2006/relationships/image" Target="media/e4c660db1130f3cf903527feaab79964de26282f.png"/><Relationship Id="rId11" Type="http://schemas.openxmlformats.org/officeDocument/2006/relationships/image" Target="media/f3ac5d91bc558a060a669a6566ade34e5c007712.png"/><Relationship Id="rId12" Type="http://schemas.openxmlformats.org/officeDocument/2006/relationships/image" Target="media/fdb54e86d6724230733de6457fe60ca4b43b928f.png"/><Relationship Id="rId13" Type="http://schemas.openxmlformats.org/officeDocument/2006/relationships/image" Target="media/343838cfcde7e010e01b033d5fce0034e083144c.png"/><Relationship Id="rId14" Type="http://schemas.openxmlformats.org/officeDocument/2006/relationships/image" Target="media/fd1dcae3aedac7b629cfb8bb9ee66e8ad4c58176.png"/><Relationship Id="rId15" Type="http://schemas.openxmlformats.org/officeDocument/2006/relationships/image" Target="media/fc9db9dfac9bfe6fbfea0904a558f3860e45b22c.png"/><Relationship Id="rId16" Type="http://schemas.openxmlformats.org/officeDocument/2006/relationships/image" Target="media/7796656e0488752243f1fd7c770a393b3a3ccbec.png"/><Relationship Id="rId17" Type="http://schemas.openxmlformats.org/officeDocument/2006/relationships/image" Target="media/8893e37bbab870f57cbc7917c6a8ee538b2825aa.png"/><Relationship Id="rId18" Type="http://schemas.openxmlformats.org/officeDocument/2006/relationships/image" Target="media/cca899fd17caaa26085508ab0a5c013e67d724a8.png"/><Relationship Id="rId19" Type="http://schemas.openxmlformats.org/officeDocument/2006/relationships/image" Target="media/11363c65d05bb5d5d5175dc277af68566d8f707b.png"/><Relationship Id="rId20" Type="http://schemas.openxmlformats.org/officeDocument/2006/relationships/image" Target="media/bfb77d66951b49d6d929a6973642996450e97bc1.png"/><Relationship Id="rId21" Type="http://schemas.openxmlformats.org/officeDocument/2006/relationships/image" Target="media/00c83bfb700ff7c3aad995b04064185f92f6d06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Difficultés des élèves-professeurs dans l'enseignement des fractions au primaire</dc:title>
  <dc:creator>AWI Abaloutu</dc:creator>
  <cp:lastModifiedBy>Un-named</cp:lastModifiedBy>
  <cp:revision>1</cp:revision>
  <dcterms:created xsi:type="dcterms:W3CDTF">2026-09-24T20:14:12.384Z</dcterms:created>
  <dcterms:modified xsi:type="dcterms:W3CDTF">2026-09-24T20:14:12.384Z</dcterms:modified>
</cp:coreProperties>
</file>

<file path=docProps/custom.xml><?xml version="1.0" encoding="utf-8"?>
<Properties xmlns="http://schemas.openxmlformats.org/officeDocument/2006/custom-properties" xmlns:vt="http://schemas.openxmlformats.org/officeDocument/2006/docPropsVTypes"/>
</file>