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rPr>
        <w:t>RÉPUBLIQUE TOGOLAISE</w:t>
      </w:r>
    </w:p>
    <w:p>
      <w:pPr>
        <w:spacing w:after="120"/>
        <w:jc w:val="center"/>
      </w:pPr>
      <w:r>
        <w:rPr>
          <w:rFonts w:ascii="Times New Roman" w:hAnsi="Times New Roman"/>
          <w:b w:val="0"/>
          <w:i/>
          <w:sz w:val="22"/>
        </w:rPr>
        <w:t>Travail – Liberté – Patrie</w:t>
      </w:r>
    </w:p>
    <w:p>
      <w:pPr>
        <w:spacing w:after="120"/>
        <w:jc w:val="center"/>
      </w:pPr>
      <w:r>
        <w:rPr>
          <w:rFonts w:ascii="Times New Roman" w:hAnsi="Times New Roman"/>
          <w:b/>
          <w:i w:val="0"/>
          <w:sz w:val="24"/>
        </w:rPr>
        <w:t>MINISTÈRE DE L’ÉDUCATION NATIONALE</w:t>
      </w:r>
    </w:p>
    <w:p>
      <w:pPr>
        <w:spacing w:after="120"/>
        <w:jc w:val="center"/>
      </w:pPr>
      <w:r>
        <w:rPr>
          <w:rFonts w:ascii="Times New Roman" w:hAnsi="Times New Roman"/>
          <w:b/>
          <w:i w:val="0"/>
          <w:sz w:val="24"/>
        </w:rPr>
        <w:t>INSTITUT NATIONAL DES SCIENCES DE L’ÉDUCATION (INSE)</w:t>
      </w:r>
    </w:p>
    <w:p>
      <w:pPr>
        <w:spacing w:after="120"/>
        <w:jc w:val="center"/>
      </w:pPr>
      <w:r>
        <w:rPr>
          <w:rFonts w:ascii="Times New Roman" w:hAnsi="Times New Roman"/>
          <w:b/>
          <w:i w:val="0"/>
          <w:sz w:val="24"/>
        </w:rPr>
        <w:t>ÉCOLE NORMALE DE FORMATION DES PROFESSEURS D’ÉCOLE (ENFPE) DE NOTSÈ</w:t>
      </w:r>
    </w:p>
    <w:p/>
    <w:p>
      <w:pPr>
        <w:spacing w:after="120"/>
        <w:jc w:val="center"/>
      </w:pPr>
      <w:r>
        <w:rPr>
          <w:rFonts w:ascii="Times New Roman" w:hAnsi="Times New Roman"/>
          <w:b/>
          <w:i w:val="0"/>
          <w:sz w:val="28"/>
        </w:rPr>
        <w:t>MÉMOIRE DE FIN DE FORMATION</w:t>
      </w:r>
    </w:p>
    <w:p>
      <w:pPr>
        <w:spacing w:after="120"/>
        <w:jc w:val="center"/>
      </w:pPr>
      <w:r>
        <w:rPr>
          <w:rFonts w:ascii="Times New Roman" w:hAnsi="Times New Roman"/>
          <w:b w:val="0"/>
          <w:i/>
          <w:sz w:val="22"/>
        </w:rPr>
        <w:t>Présenté en vue de l’obtention du diplôme de Professeur d’École Normale de Formation des Professeurs d’École</w:t>
      </w:r>
    </w:p>
    <w:p/>
    <w:p>
      <w:pPr>
        <w:spacing w:after="120"/>
        <w:jc w:val="center"/>
      </w:pPr>
      <w:r>
        <w:rPr>
          <w:rFonts w:ascii="Times New Roman" w:hAnsi="Times New Roman"/>
          <w:b/>
          <w:i w:val="0"/>
          <w:sz w:val="30"/>
        </w:rPr>
        <w:t>ANALYSE DU DISPOSITIF D’ENSEIGNEMENT-APPRENTISSAGE DE L’ÉWÉGBÉ DANS LES ÉCOLES NORMALES DE FORMATION DES PROFESSEURS D’ÉCOLE AU TOGO</w:t>
      </w:r>
    </w:p>
    <w:p>
      <w:pPr>
        <w:spacing w:after="120"/>
        <w:jc w:val="center"/>
      </w:pPr>
      <w:r>
        <w:rPr>
          <w:rFonts w:ascii="Times New Roman" w:hAnsi="Times New Roman"/>
          <w:b/>
          <w:i w:val="0"/>
          <w:sz w:val="26"/>
        </w:rPr>
        <w:t>Le cas de l’ENFPE de Notsè</w:t>
      </w:r>
    </w:p>
    <w:p/>
    <w:p/>
    <w:p>
      <w:pPr>
        <w:spacing w:after="120"/>
        <w:jc w:val="center"/>
      </w:pPr>
      <w:r>
        <w:rPr>
          <w:rFonts w:ascii="Times New Roman" w:hAnsi="Times New Roman"/>
          <w:b w:val="0"/>
          <w:i w:val="0"/>
          <w:sz w:val="24"/>
        </w:rPr>
        <w:t>Présenté et soutenu publiquement par :</w:t>
      </w:r>
    </w:p>
    <w:p>
      <w:pPr>
        <w:spacing w:after="120"/>
        <w:jc w:val="center"/>
      </w:pPr>
      <w:r>
        <w:rPr>
          <w:rFonts w:ascii="Times New Roman" w:hAnsi="Times New Roman"/>
          <w:b/>
          <w:i w:val="0"/>
          <w:sz w:val="24"/>
        </w:rPr>
        <w:t>……………………………………………</w:t>
      </w:r>
    </w:p>
    <w:p/>
    <w:p>
      <w:pPr>
        <w:spacing w:after="120"/>
        <w:jc w:val="center"/>
      </w:pPr>
      <w:r>
        <w:rPr>
          <w:rFonts w:ascii="Times New Roman" w:hAnsi="Times New Roman"/>
          <w:b w:val="0"/>
          <w:i w:val="0"/>
          <w:sz w:val="24"/>
        </w:rPr>
        <w:t>Sous la direction de :</w:t>
      </w:r>
    </w:p>
    <w:p>
      <w:pPr>
        <w:spacing w:after="120"/>
        <w:jc w:val="center"/>
      </w:pPr>
      <w:r>
        <w:rPr>
          <w:rFonts w:ascii="Times New Roman" w:hAnsi="Times New Roman"/>
          <w:b/>
          <w:i w:val="0"/>
          <w:sz w:val="24"/>
        </w:rPr>
        <w:t>……………………………………………</w:t>
      </w:r>
    </w:p>
    <w:p/>
    <w:p/>
    <w:p>
      <w:pPr>
        <w:spacing w:after="120"/>
        <w:jc w:val="center"/>
      </w:pPr>
      <w:r>
        <w:rPr>
          <w:rFonts w:ascii="Times New Roman" w:hAnsi="Times New Roman"/>
          <w:b/>
          <w:i w:val="0"/>
          <w:sz w:val="24"/>
        </w:rPr>
        <w:t>Année académique 2025-2026</w:t>
      </w:r>
    </w:p>
    <w:p>
      <w:r>
        <w:br w:type="page"/>
      </w:r>
    </w:p>
    <w:p>
      <w:pPr>
        <w:spacing w:after="120"/>
        <w:jc w:val="center"/>
      </w:pPr>
      <w:r>
        <w:rPr>
          <w:rFonts w:ascii="Times New Roman" w:hAnsi="Times New Roman"/>
          <w:b/>
          <w:i w:val="0"/>
          <w:sz w:val="32"/>
        </w:rPr>
        <w:t>SOMMAIRE</w:t>
      </w:r>
    </w:p>
    <w:p/>
    <w:p>
      <w:r>
        <w:fldChar w:fldCharType="begin"/>
        <w:instrText xml:space="preserve">TOC \o "1-3" \h \z \u</w:instrText>
        <w:fldChar w:fldCharType="separate"/>
        <w:t>Faites un clic droit puis « Mettre à jour les champs » pour générer le sommaire.</w:t>
        <w:fldChar w:fldCharType="end"/>
      </w:r>
    </w:p>
    <w:p>
      <w:r>
        <w:br w:type="page"/>
      </w:r>
    </w:p>
    <w:p>
      <w:pPr>
        <w:spacing w:after="120"/>
        <w:jc w:val="center"/>
      </w:pPr>
      <w:r>
        <w:rPr>
          <w:rFonts w:ascii="Times New Roman" w:hAnsi="Times New Roman"/>
          <w:b/>
          <w:i w:val="0"/>
          <w:sz w:val="32"/>
        </w:rPr>
        <w:t>AVERTISSEMENT</w:t>
      </w:r>
    </w:p>
    <w:p/>
    <w:p>
      <w:pPr>
        <w:spacing w:after="120"/>
        <w:ind w:firstLine="567"/>
        <w:jc w:val="both"/>
      </w:pPr>
      <w:r>
        <w:rPr>
          <w:rFonts w:ascii="Times New Roman" w:hAnsi="Times New Roman"/>
          <w:b w:val="0"/>
          <w:i w:val="0"/>
          <w:sz w:val="24"/>
        </w:rPr>
        <w:t>L’Institut national des sciences de l’éducation (INSE) et l’École normale de formation des professeurs d’école (ENFPE) de Notsè n’entendent donner aucune approbation ni improbation aux opinions émises dans ce mémoire. Ces opinions doivent être considérées comme propres à leur auteur.</w:t>
      </w:r>
    </w:p>
    <w:p>
      <w:r>
        <w:br w:type="page"/>
      </w:r>
    </w:p>
    <w:p>
      <w:pPr>
        <w:spacing w:after="120"/>
        <w:jc w:val="center"/>
      </w:pPr>
      <w:r>
        <w:rPr>
          <w:rFonts w:ascii="Times New Roman" w:hAnsi="Times New Roman"/>
          <w:b/>
          <w:i w:val="0"/>
          <w:sz w:val="32"/>
        </w:rPr>
        <w:t>DÉDICACE</w:t>
      </w:r>
    </w:p>
    <w:p/>
    <w:p/>
    <w:p>
      <w:pPr>
        <w:spacing w:after="120"/>
        <w:jc w:val="center"/>
      </w:pPr>
      <w:r>
        <w:rPr>
          <w:rFonts w:ascii="Times New Roman" w:hAnsi="Times New Roman"/>
          <w:b w:val="0"/>
          <w:i/>
          <w:sz w:val="24"/>
        </w:rPr>
        <w:t>À tous ceux et celles qui, dans l’ombre des salles de classe, des bibliothèques vides et des programmes oubliés, continuent d’enseigner la langue de leurs pères avec pour seuls outils leur mémoire, leur voix et leur conviction ;</w:t>
      </w:r>
    </w:p>
    <w:p/>
    <w:p>
      <w:pPr>
        <w:spacing w:after="120"/>
        <w:jc w:val="center"/>
      </w:pPr>
      <w:r>
        <w:rPr>
          <w:rFonts w:ascii="Times New Roman" w:hAnsi="Times New Roman"/>
          <w:b w:val="0"/>
          <w:i/>
          <w:sz w:val="24"/>
        </w:rPr>
        <w:t>À la mémoire de tous ceux qui ont cru, dès 1975, qu’une école togolaise pouvait parler togolais ;</w:t>
      </w:r>
    </w:p>
    <w:p/>
    <w:p>
      <w:pPr>
        <w:spacing w:after="120"/>
        <w:jc w:val="center"/>
      </w:pPr>
      <w:r>
        <w:rPr>
          <w:rFonts w:ascii="Times New Roman" w:hAnsi="Times New Roman"/>
          <w:b w:val="0"/>
          <w:i/>
          <w:sz w:val="24"/>
        </w:rPr>
        <w:t>À la génération d’élèves-professeurs d’école qui prendra, demain, le relais.</w:t>
      </w:r>
    </w:p>
    <w:p>
      <w:r>
        <w:br w:type="page"/>
      </w:r>
    </w:p>
    <w:p>
      <w:pPr>
        <w:spacing w:after="120"/>
        <w:jc w:val="center"/>
      </w:pPr>
      <w:r>
        <w:rPr>
          <w:rFonts w:ascii="Times New Roman" w:hAnsi="Times New Roman"/>
          <w:b/>
          <w:i w:val="0"/>
          <w:sz w:val="32"/>
        </w:rPr>
        <w:t>REMERCIEMENTS</w:t>
      </w:r>
    </w:p>
    <w:p/>
    <w:p>
      <w:pPr>
        <w:spacing w:after="120"/>
        <w:ind w:firstLine="567"/>
        <w:jc w:val="both"/>
      </w:pPr>
      <w:r>
        <w:rPr>
          <w:rFonts w:ascii="Times New Roman" w:hAnsi="Times New Roman"/>
          <w:b w:val="0"/>
          <w:i w:val="0"/>
          <w:sz w:val="24"/>
        </w:rPr>
        <w:t>La réalisation de ce mémoire n’aurait pas été possible sans le concours de nombreuses personnes et institutions envers lesquelles nous tenons à exprimer notre profonde gratitude.</w:t>
      </w:r>
    </w:p>
    <w:p>
      <w:pPr>
        <w:spacing w:after="120"/>
        <w:ind w:firstLine="567"/>
        <w:jc w:val="both"/>
      </w:pPr>
      <w:r>
        <w:rPr>
          <w:rFonts w:ascii="Times New Roman" w:hAnsi="Times New Roman"/>
          <w:b w:val="0"/>
          <w:i w:val="0"/>
          <w:sz w:val="24"/>
        </w:rPr>
        <w:t>Nos remerciements vont d’abord à notre directeur de mémoire, dont la rigueur scientifique, la disponibilité constante et les orientations méthodologiques ont constamment guidé notre démarche, depuis la formulation du problème jusqu’à la rédaction définitive de ce document.</w:t>
      </w:r>
    </w:p>
    <w:p>
      <w:pPr>
        <w:spacing w:after="120"/>
        <w:ind w:firstLine="567"/>
        <w:jc w:val="both"/>
      </w:pPr>
      <w:r>
        <w:rPr>
          <w:rFonts w:ascii="Times New Roman" w:hAnsi="Times New Roman"/>
          <w:b w:val="0"/>
          <w:i w:val="0"/>
          <w:sz w:val="24"/>
        </w:rPr>
        <w:t>Nous exprimons également notre reconnaissance au Directeur de l’Institut national des sciences de l’éducation (INSE) ainsi qu’au Directeur des ressources humaines du ministère de l’Éducation nationale, qui ont assuré la supervision de notre stage en responsabilité.</w:t>
      </w:r>
    </w:p>
    <w:p>
      <w:pPr>
        <w:spacing w:after="120"/>
        <w:ind w:firstLine="567"/>
        <w:jc w:val="both"/>
      </w:pPr>
      <w:r>
        <w:rPr>
          <w:rFonts w:ascii="Times New Roman" w:hAnsi="Times New Roman"/>
          <w:b w:val="0"/>
          <w:i w:val="0"/>
          <w:sz w:val="24"/>
        </w:rPr>
        <w:t>Nos remerciements s’adressent tout particulièrement à MM. Adanglo Kouami et Eza Agbéko Kossi, respectivement directeur et directeur adjoint chargé des études de l’ENFPE de Notsè, pour l’accueil chaleureux et l’encadrement de qualité dont nous avons bénéficié du 16 mars au 12 juin 2026.</w:t>
      </w:r>
    </w:p>
    <w:p>
      <w:pPr>
        <w:spacing w:after="120"/>
        <w:ind w:firstLine="567"/>
        <w:jc w:val="both"/>
      </w:pPr>
      <w:r>
        <w:rPr>
          <w:rFonts w:ascii="Times New Roman" w:hAnsi="Times New Roman"/>
          <w:b w:val="0"/>
          <w:i w:val="0"/>
          <w:sz w:val="24"/>
        </w:rPr>
        <w:t>Nous sommes particulièrement redevable à MM. Bidadjou Palakimwé et Atila Komi Agboh, titulaires de l’unité d’enseignement « Langues nationales » (kabiyè et éwé), dont les observations et l’accompagnement pédagogique ont largement nourri la réflexion développée dans les chapitres 2 et 4 de ce travail.</w:t>
      </w:r>
    </w:p>
    <w:p>
      <w:pPr>
        <w:spacing w:after="120"/>
        <w:ind w:firstLine="567"/>
        <w:jc w:val="both"/>
      </w:pPr>
      <w:r>
        <w:rPr>
          <w:rFonts w:ascii="Times New Roman" w:hAnsi="Times New Roman"/>
          <w:b w:val="0"/>
          <w:i w:val="0"/>
          <w:sz w:val="24"/>
        </w:rPr>
        <w:t>Notre gratitude va également aux cinquante élèves-professeurs d’école de la promotion 3 qui ont accepté de répondre à notre questionnaire et de se prêter à nos entretiens, ainsi qu’aux directeurs, directrices et enseignants titulaires des EPP CAMP/F et EPP FIDA de Notsè, et à M. l’inspecteur ALOSSE, pour leur disponibilité.</w:t>
      </w:r>
    </w:p>
    <w:p>
      <w:pPr>
        <w:spacing w:after="120"/>
        <w:ind w:firstLine="567"/>
        <w:jc w:val="both"/>
      </w:pPr>
      <w:r>
        <w:rPr>
          <w:rFonts w:ascii="Times New Roman" w:hAnsi="Times New Roman"/>
          <w:b w:val="0"/>
          <w:i w:val="0"/>
          <w:sz w:val="24"/>
        </w:rPr>
        <w:t>Que tous nos collègues stagiaires, ainsi que nos familles, dont le soutien moral et matériel ne nous a jamais fait défaut, trouvent ici l’expression de notre sincère reconnaissance.</w:t>
      </w:r>
    </w:p>
    <w:p>
      <w:r>
        <w:br w:type="page"/>
      </w:r>
    </w:p>
    <w:p>
      <w:pPr>
        <w:spacing w:after="120"/>
        <w:jc w:val="center"/>
      </w:pPr>
      <w:r>
        <w:rPr>
          <w:rFonts w:ascii="Times New Roman" w:hAnsi="Times New Roman"/>
          <w:b/>
          <w:i w:val="0"/>
          <w:sz w:val="32"/>
        </w:rPr>
        <w:t>SIGLES, ABRÉVIATIONS ET CONVENTIONS</w:t>
      </w:r>
    </w:p>
    <w:p/>
    <w:tbl>
      <w:tblPr>
        <w:tblStyle w:val="TableGrid"/>
        <w:tblW w:type="auto" w:w="0"/>
        <w:jc w:val="center"/>
        <w:tblLook w:firstColumn="1" w:firstRow="1" w:lastColumn="0" w:lastRow="0" w:noHBand="0" w:noVBand="1" w:val="04A0"/>
      </w:tblPr>
      <w:tblGrid>
        <w:gridCol w:w="4394"/>
        <w:gridCol w:w="4394"/>
      </w:tblGrid>
      <w:tr>
        <w:tc>
          <w:tcPr>
            <w:tcW w:type="dxa" w:w="1814"/>
            <w:shd w:val="clear" w:color="auto" w:fill="D9E2F3"/>
          </w:tcPr>
          <w:p>
            <w:pPr>
              <w:spacing w:after="40" w:before="40" w:line="240" w:lineRule="auto"/>
              <w:jc w:val="center"/>
            </w:pPr>
            <w:r/>
            <w:r>
              <w:rPr>
                <w:rFonts w:ascii="Times New Roman" w:hAnsi="Times New Roman"/>
                <w:b/>
                <w:sz w:val="21"/>
              </w:rPr>
              <w:t>Sigle</w:t>
            </w:r>
          </w:p>
        </w:tc>
        <w:tc>
          <w:tcPr>
            <w:tcW w:type="dxa" w:w="6973"/>
            <w:shd w:val="clear" w:color="auto" w:fill="D9E2F3"/>
          </w:tcPr>
          <w:p>
            <w:pPr>
              <w:spacing w:after="40" w:before="40" w:line="240" w:lineRule="auto"/>
              <w:jc w:val="center"/>
            </w:pPr>
            <w:r/>
            <w:r>
              <w:rPr>
                <w:rFonts w:ascii="Times New Roman" w:hAnsi="Times New Roman"/>
                <w:b/>
                <w:sz w:val="21"/>
              </w:rPr>
              <w:t>Signification</w:t>
            </w:r>
          </w:p>
        </w:tc>
      </w:tr>
      <w:tr>
        <w:tc>
          <w:tcPr>
            <w:tcW w:type="dxa" w:w="1814"/>
          </w:tcPr>
          <w:p>
            <w:pPr>
              <w:spacing w:after="40" w:before="40" w:line="240" w:lineRule="auto"/>
              <w:jc w:val="left"/>
            </w:pPr>
            <w:r/>
            <w:r>
              <w:rPr>
                <w:rFonts w:ascii="Times New Roman" w:hAnsi="Times New Roman"/>
                <w:b w:val="0"/>
                <w:sz w:val="21"/>
              </w:rPr>
              <w:t>AUF</w:t>
            </w:r>
          </w:p>
        </w:tc>
        <w:tc>
          <w:tcPr>
            <w:tcW w:type="dxa" w:w="6973"/>
          </w:tcPr>
          <w:p>
            <w:pPr>
              <w:spacing w:after="40" w:before="40" w:line="240" w:lineRule="auto"/>
              <w:jc w:val="left"/>
            </w:pPr>
            <w:r/>
            <w:r>
              <w:rPr>
                <w:rFonts w:ascii="Times New Roman" w:hAnsi="Times New Roman"/>
                <w:b w:val="0"/>
                <w:sz w:val="21"/>
              </w:rPr>
              <w:t>Agence universitaire de la Francophonie</w:t>
            </w:r>
          </w:p>
        </w:tc>
      </w:tr>
      <w:tr>
        <w:tc>
          <w:tcPr>
            <w:tcW w:type="dxa" w:w="1814"/>
          </w:tcPr>
          <w:p>
            <w:pPr>
              <w:spacing w:after="40" w:before="40" w:line="240" w:lineRule="auto"/>
              <w:jc w:val="left"/>
            </w:pPr>
            <w:r/>
            <w:r>
              <w:rPr>
                <w:rFonts w:ascii="Times New Roman" w:hAnsi="Times New Roman"/>
                <w:b w:val="0"/>
                <w:sz w:val="21"/>
              </w:rPr>
              <w:t>BICS</w:t>
            </w:r>
          </w:p>
        </w:tc>
        <w:tc>
          <w:tcPr>
            <w:tcW w:type="dxa" w:w="6973"/>
          </w:tcPr>
          <w:p>
            <w:pPr>
              <w:spacing w:after="40" w:before="40" w:line="240" w:lineRule="auto"/>
              <w:jc w:val="left"/>
            </w:pPr>
            <w:r/>
            <w:r>
              <w:rPr>
                <w:rFonts w:ascii="Times New Roman" w:hAnsi="Times New Roman"/>
                <w:b w:val="0"/>
                <w:sz w:val="21"/>
              </w:rPr>
              <w:t>Basic Interpersonal Communication Skills (compétences de communication courante)</w:t>
            </w:r>
          </w:p>
        </w:tc>
      </w:tr>
      <w:tr>
        <w:tc>
          <w:tcPr>
            <w:tcW w:type="dxa" w:w="1814"/>
          </w:tcPr>
          <w:p>
            <w:pPr>
              <w:spacing w:after="40" w:before="40" w:line="240" w:lineRule="auto"/>
              <w:jc w:val="left"/>
            </w:pPr>
            <w:r/>
            <w:r>
              <w:rPr>
                <w:rFonts w:ascii="Times New Roman" w:hAnsi="Times New Roman"/>
                <w:b w:val="0"/>
                <w:sz w:val="21"/>
              </w:rPr>
              <w:t>CALP</w:t>
            </w:r>
          </w:p>
        </w:tc>
        <w:tc>
          <w:tcPr>
            <w:tcW w:type="dxa" w:w="6973"/>
          </w:tcPr>
          <w:p>
            <w:pPr>
              <w:spacing w:after="40" w:before="40" w:line="240" w:lineRule="auto"/>
              <w:jc w:val="left"/>
            </w:pPr>
            <w:r/>
            <w:r>
              <w:rPr>
                <w:rFonts w:ascii="Times New Roman" w:hAnsi="Times New Roman"/>
                <w:b w:val="0"/>
                <w:sz w:val="21"/>
              </w:rPr>
              <w:t>Cognitive Academic Language Proficiency (compétences cognitives et académiques)</w:t>
            </w:r>
          </w:p>
        </w:tc>
      </w:tr>
      <w:tr>
        <w:tc>
          <w:tcPr>
            <w:tcW w:type="dxa" w:w="1814"/>
          </w:tcPr>
          <w:p>
            <w:pPr>
              <w:spacing w:after="40" w:before="40" w:line="240" w:lineRule="auto"/>
              <w:jc w:val="left"/>
            </w:pPr>
            <w:r/>
            <w:r>
              <w:rPr>
                <w:rFonts w:ascii="Times New Roman" w:hAnsi="Times New Roman"/>
                <w:b w:val="0"/>
                <w:sz w:val="21"/>
              </w:rPr>
              <w:t>CE1 / CE2</w:t>
            </w:r>
          </w:p>
        </w:tc>
        <w:tc>
          <w:tcPr>
            <w:tcW w:type="dxa" w:w="6973"/>
          </w:tcPr>
          <w:p>
            <w:pPr>
              <w:spacing w:after="40" w:before="40" w:line="240" w:lineRule="auto"/>
              <w:jc w:val="left"/>
            </w:pPr>
            <w:r/>
            <w:r>
              <w:rPr>
                <w:rFonts w:ascii="Times New Roman" w:hAnsi="Times New Roman"/>
                <w:b w:val="0"/>
                <w:sz w:val="21"/>
              </w:rPr>
              <w:t>Cours élémentaire première / deuxième année</w:t>
            </w:r>
          </w:p>
        </w:tc>
      </w:tr>
      <w:tr>
        <w:tc>
          <w:tcPr>
            <w:tcW w:type="dxa" w:w="1814"/>
          </w:tcPr>
          <w:p>
            <w:pPr>
              <w:spacing w:after="40" w:before="40" w:line="240" w:lineRule="auto"/>
              <w:jc w:val="left"/>
            </w:pPr>
            <w:r/>
            <w:r>
              <w:rPr>
                <w:rFonts w:ascii="Times New Roman" w:hAnsi="Times New Roman"/>
                <w:b w:val="0"/>
                <w:sz w:val="21"/>
              </w:rPr>
              <w:t>CEPD</w:t>
            </w:r>
          </w:p>
        </w:tc>
        <w:tc>
          <w:tcPr>
            <w:tcW w:type="dxa" w:w="6973"/>
          </w:tcPr>
          <w:p>
            <w:pPr>
              <w:spacing w:after="40" w:before="40" w:line="240" w:lineRule="auto"/>
              <w:jc w:val="left"/>
            </w:pPr>
            <w:r/>
            <w:r>
              <w:rPr>
                <w:rFonts w:ascii="Times New Roman" w:hAnsi="Times New Roman"/>
                <w:b w:val="0"/>
                <w:sz w:val="21"/>
              </w:rPr>
              <w:t>Certificat d’études du premier degré</w:t>
            </w:r>
          </w:p>
        </w:tc>
      </w:tr>
      <w:tr>
        <w:tc>
          <w:tcPr>
            <w:tcW w:type="dxa" w:w="1814"/>
          </w:tcPr>
          <w:p>
            <w:pPr>
              <w:spacing w:after="40" w:before="40" w:line="240" w:lineRule="auto"/>
              <w:jc w:val="left"/>
            </w:pPr>
            <w:r/>
            <w:r>
              <w:rPr>
                <w:rFonts w:ascii="Times New Roman" w:hAnsi="Times New Roman"/>
                <w:b w:val="0"/>
                <w:sz w:val="21"/>
              </w:rPr>
              <w:t>CM1 / CM2</w:t>
            </w:r>
          </w:p>
        </w:tc>
        <w:tc>
          <w:tcPr>
            <w:tcW w:type="dxa" w:w="6973"/>
          </w:tcPr>
          <w:p>
            <w:pPr>
              <w:spacing w:after="40" w:before="40" w:line="240" w:lineRule="auto"/>
              <w:jc w:val="left"/>
            </w:pPr>
            <w:r/>
            <w:r>
              <w:rPr>
                <w:rFonts w:ascii="Times New Roman" w:hAnsi="Times New Roman"/>
                <w:b w:val="0"/>
                <w:sz w:val="21"/>
              </w:rPr>
              <w:t>Cours moyen première / deuxième année</w:t>
            </w:r>
          </w:p>
        </w:tc>
      </w:tr>
      <w:tr>
        <w:tc>
          <w:tcPr>
            <w:tcW w:type="dxa" w:w="1814"/>
          </w:tcPr>
          <w:p>
            <w:pPr>
              <w:spacing w:after="40" w:before="40" w:line="240" w:lineRule="auto"/>
              <w:jc w:val="left"/>
            </w:pPr>
            <w:r/>
            <w:r>
              <w:rPr>
                <w:rFonts w:ascii="Times New Roman" w:hAnsi="Times New Roman"/>
                <w:b w:val="0"/>
                <w:sz w:val="21"/>
              </w:rPr>
              <w:t>CoE</w:t>
            </w:r>
          </w:p>
        </w:tc>
        <w:tc>
          <w:tcPr>
            <w:tcW w:type="dxa" w:w="6973"/>
          </w:tcPr>
          <w:p>
            <w:pPr>
              <w:spacing w:after="40" w:before="40" w:line="240" w:lineRule="auto"/>
              <w:jc w:val="left"/>
            </w:pPr>
            <w:r/>
            <w:r>
              <w:rPr>
                <w:rFonts w:ascii="Times New Roman" w:hAnsi="Times New Roman"/>
                <w:b w:val="0"/>
                <w:sz w:val="21"/>
              </w:rPr>
              <w:t>Colleges of Education (Ghana)</w:t>
            </w:r>
          </w:p>
        </w:tc>
      </w:tr>
      <w:tr>
        <w:tc>
          <w:tcPr>
            <w:tcW w:type="dxa" w:w="1814"/>
          </w:tcPr>
          <w:p>
            <w:pPr>
              <w:spacing w:after="40" w:before="40" w:line="240" w:lineRule="auto"/>
              <w:jc w:val="left"/>
            </w:pPr>
            <w:r/>
            <w:r>
              <w:rPr>
                <w:rFonts w:ascii="Times New Roman" w:hAnsi="Times New Roman"/>
                <w:b w:val="0"/>
                <w:sz w:val="21"/>
              </w:rPr>
              <w:t>CONFEMEN</w:t>
            </w:r>
          </w:p>
        </w:tc>
        <w:tc>
          <w:tcPr>
            <w:tcW w:type="dxa" w:w="6973"/>
          </w:tcPr>
          <w:p>
            <w:pPr>
              <w:spacing w:after="40" w:before="40" w:line="240" w:lineRule="auto"/>
              <w:jc w:val="left"/>
            </w:pPr>
            <w:r/>
            <w:r>
              <w:rPr>
                <w:rFonts w:ascii="Times New Roman" w:hAnsi="Times New Roman"/>
                <w:b w:val="0"/>
                <w:sz w:val="21"/>
              </w:rPr>
              <w:t>Conférence des ministres de l’Éducation des États et gouvernements de la Francophonie</w:t>
            </w:r>
          </w:p>
        </w:tc>
      </w:tr>
      <w:tr>
        <w:tc>
          <w:tcPr>
            <w:tcW w:type="dxa" w:w="1814"/>
          </w:tcPr>
          <w:p>
            <w:pPr>
              <w:spacing w:after="40" w:before="40" w:line="240" w:lineRule="auto"/>
              <w:jc w:val="left"/>
            </w:pPr>
            <w:r/>
            <w:r>
              <w:rPr>
                <w:rFonts w:ascii="Times New Roman" w:hAnsi="Times New Roman"/>
                <w:b w:val="0"/>
                <w:sz w:val="21"/>
              </w:rPr>
              <w:t>CP1 / CP2</w:t>
            </w:r>
          </w:p>
        </w:tc>
        <w:tc>
          <w:tcPr>
            <w:tcW w:type="dxa" w:w="6973"/>
          </w:tcPr>
          <w:p>
            <w:pPr>
              <w:spacing w:after="40" w:before="40" w:line="240" w:lineRule="auto"/>
              <w:jc w:val="left"/>
            </w:pPr>
            <w:r/>
            <w:r>
              <w:rPr>
                <w:rFonts w:ascii="Times New Roman" w:hAnsi="Times New Roman"/>
                <w:b w:val="0"/>
                <w:sz w:val="21"/>
              </w:rPr>
              <w:t>Cours préparatoire première / deuxième année</w:t>
            </w:r>
          </w:p>
        </w:tc>
      </w:tr>
      <w:tr>
        <w:tc>
          <w:tcPr>
            <w:tcW w:type="dxa" w:w="1814"/>
          </w:tcPr>
          <w:p>
            <w:pPr>
              <w:spacing w:after="40" w:before="40" w:line="240" w:lineRule="auto"/>
              <w:jc w:val="left"/>
            </w:pPr>
            <w:r/>
            <w:r>
              <w:rPr>
                <w:rFonts w:ascii="Times New Roman" w:hAnsi="Times New Roman"/>
                <w:b w:val="0"/>
                <w:sz w:val="21"/>
              </w:rPr>
              <w:t>CRETFP</w:t>
            </w:r>
          </w:p>
        </w:tc>
        <w:tc>
          <w:tcPr>
            <w:tcW w:type="dxa" w:w="6973"/>
          </w:tcPr>
          <w:p>
            <w:pPr>
              <w:spacing w:after="40" w:before="40" w:line="240" w:lineRule="auto"/>
              <w:jc w:val="left"/>
            </w:pPr>
            <w:r/>
            <w:r>
              <w:rPr>
                <w:rFonts w:ascii="Times New Roman" w:hAnsi="Times New Roman"/>
                <w:b w:val="0"/>
                <w:sz w:val="21"/>
              </w:rPr>
              <w:t>Centre régional d’enseignement technique et de formation professionnelle</w:t>
            </w:r>
          </w:p>
        </w:tc>
      </w:tr>
      <w:tr>
        <w:tc>
          <w:tcPr>
            <w:tcW w:type="dxa" w:w="1814"/>
          </w:tcPr>
          <w:p>
            <w:pPr>
              <w:spacing w:after="40" w:before="40" w:line="240" w:lineRule="auto"/>
              <w:jc w:val="left"/>
            </w:pPr>
            <w:r/>
            <w:r>
              <w:rPr>
                <w:rFonts w:ascii="Times New Roman" w:hAnsi="Times New Roman"/>
                <w:b w:val="0"/>
                <w:sz w:val="21"/>
              </w:rPr>
              <w:t>DACE</w:t>
            </w:r>
          </w:p>
        </w:tc>
        <w:tc>
          <w:tcPr>
            <w:tcW w:type="dxa" w:w="6973"/>
          </w:tcPr>
          <w:p>
            <w:pPr>
              <w:spacing w:after="40" w:before="40" w:line="240" w:lineRule="auto"/>
              <w:jc w:val="left"/>
            </w:pPr>
            <w:r/>
            <w:r>
              <w:rPr>
                <w:rFonts w:ascii="Times New Roman" w:hAnsi="Times New Roman"/>
                <w:b w:val="0"/>
                <w:sz w:val="21"/>
              </w:rPr>
              <w:t>Directeur adjoint chargé des études</w:t>
            </w:r>
          </w:p>
        </w:tc>
      </w:tr>
      <w:tr>
        <w:tc>
          <w:tcPr>
            <w:tcW w:type="dxa" w:w="1814"/>
          </w:tcPr>
          <w:p>
            <w:pPr>
              <w:spacing w:after="40" w:before="40" w:line="240" w:lineRule="auto"/>
              <w:jc w:val="left"/>
            </w:pPr>
            <w:r/>
            <w:r>
              <w:rPr>
                <w:rFonts w:ascii="Times New Roman" w:hAnsi="Times New Roman"/>
                <w:b w:val="0"/>
                <w:sz w:val="21"/>
              </w:rPr>
              <w:t>DIFOP</w:t>
            </w:r>
          </w:p>
        </w:tc>
        <w:tc>
          <w:tcPr>
            <w:tcW w:type="dxa" w:w="6973"/>
          </w:tcPr>
          <w:p>
            <w:pPr>
              <w:spacing w:after="40" w:before="40" w:line="240" w:lineRule="auto"/>
              <w:jc w:val="left"/>
            </w:pPr>
            <w:r/>
            <w:r>
              <w:rPr>
                <w:rFonts w:ascii="Times New Roman" w:hAnsi="Times New Roman"/>
                <w:b w:val="0"/>
                <w:sz w:val="21"/>
              </w:rPr>
              <w:t>Direction de la formation permanente, de l’action et de la recherche pédagogiques</w:t>
            </w:r>
          </w:p>
        </w:tc>
      </w:tr>
      <w:tr>
        <w:tc>
          <w:tcPr>
            <w:tcW w:type="dxa" w:w="1814"/>
          </w:tcPr>
          <w:p>
            <w:pPr>
              <w:spacing w:after="40" w:before="40" w:line="240" w:lineRule="auto"/>
              <w:jc w:val="left"/>
            </w:pPr>
            <w:r/>
            <w:r>
              <w:rPr>
                <w:rFonts w:ascii="Times New Roman" w:hAnsi="Times New Roman"/>
                <w:b w:val="0"/>
                <w:sz w:val="21"/>
              </w:rPr>
              <w:t>DPIP</w:t>
            </w:r>
          </w:p>
        </w:tc>
        <w:tc>
          <w:tcPr>
            <w:tcW w:type="dxa" w:w="6973"/>
          </w:tcPr>
          <w:p>
            <w:pPr>
              <w:spacing w:after="40" w:before="40" w:line="240" w:lineRule="auto"/>
              <w:jc w:val="left"/>
            </w:pPr>
            <w:r/>
            <w:r>
              <w:rPr>
                <w:rFonts w:ascii="Times New Roman" w:hAnsi="Times New Roman"/>
                <w:b w:val="0"/>
                <w:sz w:val="21"/>
              </w:rPr>
              <w:t>Direction des programmes et de l’innovation pédagogique</w:t>
            </w:r>
          </w:p>
        </w:tc>
      </w:tr>
      <w:tr>
        <w:tc>
          <w:tcPr>
            <w:tcW w:type="dxa" w:w="1814"/>
          </w:tcPr>
          <w:p>
            <w:pPr>
              <w:spacing w:after="40" w:before="40" w:line="240" w:lineRule="auto"/>
              <w:jc w:val="left"/>
            </w:pPr>
            <w:r/>
            <w:r>
              <w:rPr>
                <w:rFonts w:ascii="Times New Roman" w:hAnsi="Times New Roman"/>
                <w:b w:val="0"/>
                <w:sz w:val="21"/>
              </w:rPr>
              <w:t>DRH</w:t>
            </w:r>
          </w:p>
        </w:tc>
        <w:tc>
          <w:tcPr>
            <w:tcW w:type="dxa" w:w="6973"/>
          </w:tcPr>
          <w:p>
            <w:pPr>
              <w:spacing w:after="40" w:before="40" w:line="240" w:lineRule="auto"/>
              <w:jc w:val="left"/>
            </w:pPr>
            <w:r/>
            <w:r>
              <w:rPr>
                <w:rFonts w:ascii="Times New Roman" w:hAnsi="Times New Roman"/>
                <w:b w:val="0"/>
                <w:sz w:val="21"/>
              </w:rPr>
              <w:t>Direction / Directeur des ressources humaines</w:t>
            </w:r>
          </w:p>
        </w:tc>
      </w:tr>
      <w:tr>
        <w:tc>
          <w:tcPr>
            <w:tcW w:type="dxa" w:w="1814"/>
          </w:tcPr>
          <w:p>
            <w:pPr>
              <w:spacing w:after="40" w:before="40" w:line="240" w:lineRule="auto"/>
              <w:jc w:val="left"/>
            </w:pPr>
            <w:r/>
            <w:r>
              <w:rPr>
                <w:rFonts w:ascii="Times New Roman" w:hAnsi="Times New Roman"/>
                <w:b w:val="0"/>
                <w:sz w:val="21"/>
              </w:rPr>
              <w:t>DRO</w:t>
            </w:r>
          </w:p>
        </w:tc>
        <w:tc>
          <w:tcPr>
            <w:tcW w:type="dxa" w:w="6973"/>
          </w:tcPr>
          <w:p>
            <w:pPr>
              <w:spacing w:after="40" w:before="40" w:line="240" w:lineRule="auto"/>
              <w:jc w:val="left"/>
            </w:pPr>
            <w:r/>
            <w:r>
              <w:rPr>
                <w:rFonts w:ascii="Times New Roman" w:hAnsi="Times New Roman"/>
                <w:b w:val="0"/>
                <w:sz w:val="21"/>
              </w:rPr>
              <w:t>Document de réflexion et d’orientation (CONFEMEN)</w:t>
            </w:r>
          </w:p>
        </w:tc>
      </w:tr>
      <w:tr>
        <w:tc>
          <w:tcPr>
            <w:tcW w:type="dxa" w:w="1814"/>
          </w:tcPr>
          <w:p>
            <w:pPr>
              <w:spacing w:after="40" w:before="40" w:line="240" w:lineRule="auto"/>
              <w:jc w:val="left"/>
            </w:pPr>
            <w:r/>
            <w:r>
              <w:rPr>
                <w:rFonts w:ascii="Times New Roman" w:hAnsi="Times New Roman"/>
                <w:b w:val="0"/>
                <w:sz w:val="21"/>
              </w:rPr>
              <w:t>ELAN</w:t>
            </w:r>
          </w:p>
        </w:tc>
        <w:tc>
          <w:tcPr>
            <w:tcW w:type="dxa" w:w="6973"/>
          </w:tcPr>
          <w:p>
            <w:pPr>
              <w:spacing w:after="40" w:before="40" w:line="240" w:lineRule="auto"/>
              <w:jc w:val="left"/>
            </w:pPr>
            <w:r/>
            <w:r>
              <w:rPr>
                <w:rFonts w:ascii="Times New Roman" w:hAnsi="Times New Roman"/>
                <w:b w:val="0"/>
                <w:sz w:val="21"/>
              </w:rPr>
              <w:t>École et langues nationales en Afrique</w:t>
            </w:r>
          </w:p>
        </w:tc>
      </w:tr>
      <w:tr>
        <w:tc>
          <w:tcPr>
            <w:tcW w:type="dxa" w:w="1814"/>
          </w:tcPr>
          <w:p>
            <w:pPr>
              <w:spacing w:after="40" w:before="40" w:line="240" w:lineRule="auto"/>
              <w:jc w:val="left"/>
            </w:pPr>
            <w:r/>
            <w:r>
              <w:rPr>
                <w:rFonts w:ascii="Times New Roman" w:hAnsi="Times New Roman"/>
                <w:b w:val="0"/>
                <w:sz w:val="21"/>
              </w:rPr>
              <w:t>ENFPE</w:t>
            </w:r>
          </w:p>
        </w:tc>
        <w:tc>
          <w:tcPr>
            <w:tcW w:type="dxa" w:w="6973"/>
          </w:tcPr>
          <w:p>
            <w:pPr>
              <w:spacing w:after="40" w:before="40" w:line="240" w:lineRule="auto"/>
              <w:jc w:val="left"/>
            </w:pPr>
            <w:r/>
            <w:r>
              <w:rPr>
                <w:rFonts w:ascii="Times New Roman" w:hAnsi="Times New Roman"/>
                <w:b w:val="0"/>
                <w:sz w:val="21"/>
              </w:rPr>
              <w:t>École normale de formation des professeurs d’école</w:t>
            </w:r>
          </w:p>
        </w:tc>
      </w:tr>
      <w:tr>
        <w:tc>
          <w:tcPr>
            <w:tcW w:type="dxa" w:w="1814"/>
          </w:tcPr>
          <w:p>
            <w:pPr>
              <w:spacing w:after="40" w:before="40" w:line="240" w:lineRule="auto"/>
              <w:jc w:val="left"/>
            </w:pPr>
            <w:r/>
            <w:r>
              <w:rPr>
                <w:rFonts w:ascii="Times New Roman" w:hAnsi="Times New Roman"/>
                <w:b w:val="0"/>
                <w:sz w:val="21"/>
              </w:rPr>
              <w:t>ENI</w:t>
            </w:r>
          </w:p>
        </w:tc>
        <w:tc>
          <w:tcPr>
            <w:tcW w:type="dxa" w:w="6973"/>
          </w:tcPr>
          <w:p>
            <w:pPr>
              <w:spacing w:after="40" w:before="40" w:line="240" w:lineRule="auto"/>
              <w:jc w:val="left"/>
            </w:pPr>
            <w:r/>
            <w:r>
              <w:rPr>
                <w:rFonts w:ascii="Times New Roman" w:hAnsi="Times New Roman"/>
                <w:b w:val="0"/>
                <w:sz w:val="21"/>
              </w:rPr>
              <w:t>École normale d’instituteurs (ancienne dénomination des ENFPE)</w:t>
            </w:r>
          </w:p>
        </w:tc>
      </w:tr>
      <w:tr>
        <w:tc>
          <w:tcPr>
            <w:tcW w:type="dxa" w:w="1814"/>
          </w:tcPr>
          <w:p>
            <w:pPr>
              <w:spacing w:after="40" w:before="40" w:line="240" w:lineRule="auto"/>
              <w:jc w:val="left"/>
            </w:pPr>
            <w:r/>
            <w:r>
              <w:rPr>
                <w:rFonts w:ascii="Times New Roman" w:hAnsi="Times New Roman"/>
                <w:b w:val="0"/>
                <w:sz w:val="21"/>
              </w:rPr>
              <w:t>ENS</w:t>
            </w:r>
          </w:p>
        </w:tc>
        <w:tc>
          <w:tcPr>
            <w:tcW w:type="dxa" w:w="6973"/>
          </w:tcPr>
          <w:p>
            <w:pPr>
              <w:spacing w:after="40" w:before="40" w:line="240" w:lineRule="auto"/>
              <w:jc w:val="left"/>
            </w:pPr>
            <w:r/>
            <w:r>
              <w:rPr>
                <w:rFonts w:ascii="Times New Roman" w:hAnsi="Times New Roman"/>
                <w:b w:val="0"/>
                <w:sz w:val="21"/>
              </w:rPr>
              <w:t>École normale supérieure</w:t>
            </w:r>
          </w:p>
        </w:tc>
      </w:tr>
      <w:tr>
        <w:tc>
          <w:tcPr>
            <w:tcW w:type="dxa" w:w="1814"/>
          </w:tcPr>
          <w:p>
            <w:pPr>
              <w:spacing w:after="40" w:before="40" w:line="240" w:lineRule="auto"/>
              <w:jc w:val="left"/>
            </w:pPr>
            <w:r/>
            <w:r>
              <w:rPr>
                <w:rFonts w:ascii="Times New Roman" w:hAnsi="Times New Roman"/>
                <w:b w:val="0"/>
                <w:sz w:val="21"/>
              </w:rPr>
              <w:t>EPE</w:t>
            </w:r>
          </w:p>
        </w:tc>
        <w:tc>
          <w:tcPr>
            <w:tcW w:type="dxa" w:w="6973"/>
          </w:tcPr>
          <w:p>
            <w:pPr>
              <w:spacing w:after="40" w:before="40" w:line="240" w:lineRule="auto"/>
              <w:jc w:val="left"/>
            </w:pPr>
            <w:r/>
            <w:r>
              <w:rPr>
                <w:rFonts w:ascii="Times New Roman" w:hAnsi="Times New Roman"/>
                <w:b w:val="0"/>
                <w:sz w:val="21"/>
              </w:rPr>
              <w:t>Élève-professeur d’école</w:t>
            </w:r>
          </w:p>
        </w:tc>
      </w:tr>
      <w:tr>
        <w:tc>
          <w:tcPr>
            <w:tcW w:type="dxa" w:w="1814"/>
          </w:tcPr>
          <w:p>
            <w:pPr>
              <w:spacing w:after="40" w:before="40" w:line="240" w:lineRule="auto"/>
              <w:jc w:val="left"/>
            </w:pPr>
            <w:r/>
            <w:r>
              <w:rPr>
                <w:rFonts w:ascii="Times New Roman" w:hAnsi="Times New Roman"/>
                <w:b w:val="0"/>
                <w:sz w:val="21"/>
              </w:rPr>
              <w:t>EPP</w:t>
            </w:r>
          </w:p>
        </w:tc>
        <w:tc>
          <w:tcPr>
            <w:tcW w:type="dxa" w:w="6973"/>
          </w:tcPr>
          <w:p>
            <w:pPr>
              <w:spacing w:after="40" w:before="40" w:line="240" w:lineRule="auto"/>
              <w:jc w:val="left"/>
            </w:pPr>
            <w:r/>
            <w:r>
              <w:rPr>
                <w:rFonts w:ascii="Times New Roman" w:hAnsi="Times New Roman"/>
                <w:b w:val="0"/>
                <w:sz w:val="21"/>
              </w:rPr>
              <w:t>École primaire publique</w:t>
            </w:r>
          </w:p>
        </w:tc>
      </w:tr>
      <w:tr>
        <w:tc>
          <w:tcPr>
            <w:tcW w:type="dxa" w:w="1814"/>
          </w:tcPr>
          <w:p>
            <w:pPr>
              <w:spacing w:after="40" w:before="40" w:line="240" w:lineRule="auto"/>
              <w:jc w:val="left"/>
            </w:pPr>
            <w:r/>
            <w:r>
              <w:rPr>
                <w:rFonts w:ascii="Times New Roman" w:hAnsi="Times New Roman"/>
                <w:b w:val="0"/>
                <w:sz w:val="21"/>
              </w:rPr>
              <w:t>EPS</w:t>
            </w:r>
          </w:p>
        </w:tc>
        <w:tc>
          <w:tcPr>
            <w:tcW w:type="dxa" w:w="6973"/>
          </w:tcPr>
          <w:p>
            <w:pPr>
              <w:spacing w:after="40" w:before="40" w:line="240" w:lineRule="auto"/>
              <w:jc w:val="left"/>
            </w:pPr>
            <w:r/>
            <w:r>
              <w:rPr>
                <w:rFonts w:ascii="Times New Roman" w:hAnsi="Times New Roman"/>
                <w:b w:val="0"/>
                <w:sz w:val="21"/>
              </w:rPr>
              <w:t>Éducation physique et sportive</w:t>
            </w:r>
          </w:p>
        </w:tc>
      </w:tr>
      <w:tr>
        <w:tc>
          <w:tcPr>
            <w:tcW w:type="dxa" w:w="1814"/>
          </w:tcPr>
          <w:p>
            <w:pPr>
              <w:spacing w:after="40" w:before="40" w:line="240" w:lineRule="auto"/>
              <w:jc w:val="left"/>
            </w:pPr>
            <w:r/>
            <w:r>
              <w:rPr>
                <w:rFonts w:ascii="Times New Roman" w:hAnsi="Times New Roman"/>
                <w:b w:val="0"/>
                <w:sz w:val="21"/>
              </w:rPr>
              <w:t>IFEF</w:t>
            </w:r>
          </w:p>
        </w:tc>
        <w:tc>
          <w:tcPr>
            <w:tcW w:type="dxa" w:w="6973"/>
          </w:tcPr>
          <w:p>
            <w:pPr>
              <w:spacing w:after="40" w:before="40" w:line="240" w:lineRule="auto"/>
              <w:jc w:val="left"/>
            </w:pPr>
            <w:r/>
            <w:r>
              <w:rPr>
                <w:rFonts w:ascii="Times New Roman" w:hAnsi="Times New Roman"/>
                <w:b w:val="0"/>
                <w:sz w:val="21"/>
              </w:rPr>
              <w:t>Institut de la Francophonie pour l’éducation et la formation</w:t>
            </w:r>
          </w:p>
        </w:tc>
      </w:tr>
      <w:tr>
        <w:tc>
          <w:tcPr>
            <w:tcW w:type="dxa" w:w="1814"/>
          </w:tcPr>
          <w:p>
            <w:pPr>
              <w:spacing w:after="40" w:before="40" w:line="240" w:lineRule="auto"/>
              <w:jc w:val="left"/>
            </w:pPr>
            <w:r/>
            <w:r>
              <w:rPr>
                <w:rFonts w:ascii="Times New Roman" w:hAnsi="Times New Roman"/>
                <w:b w:val="0"/>
                <w:sz w:val="21"/>
              </w:rPr>
              <w:t>INSE</w:t>
            </w:r>
          </w:p>
        </w:tc>
        <w:tc>
          <w:tcPr>
            <w:tcW w:type="dxa" w:w="6973"/>
          </w:tcPr>
          <w:p>
            <w:pPr>
              <w:spacing w:after="40" w:before="40" w:line="240" w:lineRule="auto"/>
              <w:jc w:val="left"/>
            </w:pPr>
            <w:r/>
            <w:r>
              <w:rPr>
                <w:rFonts w:ascii="Times New Roman" w:hAnsi="Times New Roman"/>
                <w:b w:val="0"/>
                <w:sz w:val="21"/>
              </w:rPr>
              <w:t>Institut national des sciences de l’éducation</w:t>
            </w:r>
          </w:p>
        </w:tc>
      </w:tr>
      <w:tr>
        <w:tc>
          <w:tcPr>
            <w:tcW w:type="dxa" w:w="1814"/>
          </w:tcPr>
          <w:p>
            <w:pPr>
              <w:spacing w:after="40" w:before="40" w:line="240" w:lineRule="auto"/>
              <w:jc w:val="left"/>
            </w:pPr>
            <w:r/>
            <w:r>
              <w:rPr>
                <w:rFonts w:ascii="Times New Roman" w:hAnsi="Times New Roman"/>
                <w:b w:val="0"/>
                <w:sz w:val="21"/>
              </w:rPr>
              <w:t>INSEED</w:t>
            </w:r>
          </w:p>
        </w:tc>
        <w:tc>
          <w:tcPr>
            <w:tcW w:type="dxa" w:w="6973"/>
          </w:tcPr>
          <w:p>
            <w:pPr>
              <w:spacing w:after="40" w:before="40" w:line="240" w:lineRule="auto"/>
              <w:jc w:val="left"/>
            </w:pPr>
            <w:r/>
            <w:r>
              <w:rPr>
                <w:rFonts w:ascii="Times New Roman" w:hAnsi="Times New Roman"/>
                <w:b w:val="0"/>
                <w:sz w:val="21"/>
              </w:rPr>
              <w:t>Institut national de la statistique et des études économiques et démographiques</w:t>
            </w:r>
          </w:p>
        </w:tc>
      </w:tr>
      <w:tr>
        <w:tc>
          <w:tcPr>
            <w:tcW w:type="dxa" w:w="1814"/>
          </w:tcPr>
          <w:p>
            <w:pPr>
              <w:spacing w:after="40" w:before="40" w:line="240" w:lineRule="auto"/>
              <w:jc w:val="left"/>
            </w:pPr>
            <w:r/>
            <w:r>
              <w:rPr>
                <w:rFonts w:ascii="Times New Roman" w:hAnsi="Times New Roman"/>
                <w:b w:val="0"/>
                <w:sz w:val="21"/>
              </w:rPr>
              <w:t>IO</w:t>
            </w:r>
          </w:p>
        </w:tc>
        <w:tc>
          <w:tcPr>
            <w:tcW w:type="dxa" w:w="6973"/>
          </w:tcPr>
          <w:p>
            <w:pPr>
              <w:spacing w:after="40" w:before="40" w:line="240" w:lineRule="auto"/>
              <w:jc w:val="left"/>
            </w:pPr>
            <w:r/>
            <w:r>
              <w:rPr>
                <w:rFonts w:ascii="Times New Roman" w:hAnsi="Times New Roman"/>
                <w:b w:val="0"/>
                <w:sz w:val="21"/>
              </w:rPr>
              <w:t>Instructions officielles</w:t>
            </w:r>
          </w:p>
        </w:tc>
      </w:tr>
      <w:tr>
        <w:tc>
          <w:tcPr>
            <w:tcW w:type="dxa" w:w="1814"/>
          </w:tcPr>
          <w:p>
            <w:pPr>
              <w:spacing w:after="40" w:before="40" w:line="240" w:lineRule="auto"/>
              <w:jc w:val="left"/>
            </w:pPr>
            <w:r/>
            <w:r>
              <w:rPr>
                <w:rFonts w:ascii="Times New Roman" w:hAnsi="Times New Roman"/>
                <w:b w:val="0"/>
                <w:sz w:val="21"/>
              </w:rPr>
              <w:t>L1 / L2</w:t>
            </w:r>
          </w:p>
        </w:tc>
        <w:tc>
          <w:tcPr>
            <w:tcW w:type="dxa" w:w="6973"/>
          </w:tcPr>
          <w:p>
            <w:pPr>
              <w:spacing w:after="40" w:before="40" w:line="240" w:lineRule="auto"/>
              <w:jc w:val="left"/>
            </w:pPr>
            <w:r/>
            <w:r>
              <w:rPr>
                <w:rFonts w:ascii="Times New Roman" w:hAnsi="Times New Roman"/>
                <w:b w:val="0"/>
                <w:sz w:val="21"/>
              </w:rPr>
              <w:t>Langue première / langue seconde</w:t>
            </w:r>
          </w:p>
        </w:tc>
      </w:tr>
      <w:tr>
        <w:tc>
          <w:tcPr>
            <w:tcW w:type="dxa" w:w="1814"/>
          </w:tcPr>
          <w:p>
            <w:pPr>
              <w:spacing w:after="40" w:before="40" w:line="240" w:lineRule="auto"/>
              <w:jc w:val="left"/>
            </w:pPr>
            <w:r/>
            <w:r>
              <w:rPr>
                <w:rFonts w:ascii="Times New Roman" w:hAnsi="Times New Roman"/>
                <w:b w:val="0"/>
                <w:sz w:val="21"/>
              </w:rPr>
              <w:t>LN</w:t>
            </w:r>
          </w:p>
        </w:tc>
        <w:tc>
          <w:tcPr>
            <w:tcW w:type="dxa" w:w="6973"/>
          </w:tcPr>
          <w:p>
            <w:pPr>
              <w:spacing w:after="40" w:before="40" w:line="240" w:lineRule="auto"/>
              <w:jc w:val="left"/>
            </w:pPr>
            <w:r/>
            <w:r>
              <w:rPr>
                <w:rFonts w:ascii="Times New Roman" w:hAnsi="Times New Roman"/>
                <w:b w:val="0"/>
                <w:sz w:val="21"/>
              </w:rPr>
              <w:t>Langue(s) nationale(s)</w:t>
            </w:r>
          </w:p>
        </w:tc>
      </w:tr>
      <w:tr>
        <w:tc>
          <w:tcPr>
            <w:tcW w:type="dxa" w:w="1814"/>
          </w:tcPr>
          <w:p>
            <w:pPr>
              <w:spacing w:after="40" w:before="40" w:line="240" w:lineRule="auto"/>
              <w:jc w:val="left"/>
            </w:pPr>
            <w:r/>
            <w:r>
              <w:rPr>
                <w:rFonts w:ascii="Times New Roman" w:hAnsi="Times New Roman"/>
                <w:b w:val="0"/>
                <w:sz w:val="21"/>
              </w:rPr>
              <w:t>MOI</w:t>
            </w:r>
          </w:p>
        </w:tc>
        <w:tc>
          <w:tcPr>
            <w:tcW w:type="dxa" w:w="6973"/>
          </w:tcPr>
          <w:p>
            <w:pPr>
              <w:spacing w:after="40" w:before="40" w:line="240" w:lineRule="auto"/>
              <w:jc w:val="left"/>
            </w:pPr>
            <w:r/>
            <w:r>
              <w:rPr>
                <w:rFonts w:ascii="Times New Roman" w:hAnsi="Times New Roman"/>
                <w:b w:val="0"/>
                <w:sz w:val="21"/>
              </w:rPr>
              <w:t>Medium of Instruction (langue d’enseignement)</w:t>
            </w:r>
          </w:p>
        </w:tc>
      </w:tr>
      <w:tr>
        <w:tc>
          <w:tcPr>
            <w:tcW w:type="dxa" w:w="1814"/>
          </w:tcPr>
          <w:p>
            <w:pPr>
              <w:spacing w:after="40" w:before="40" w:line="240" w:lineRule="auto"/>
              <w:jc w:val="left"/>
            </w:pPr>
            <w:r/>
            <w:r>
              <w:rPr>
                <w:rFonts w:ascii="Times New Roman" w:hAnsi="Times New Roman"/>
                <w:b w:val="0"/>
                <w:sz w:val="21"/>
              </w:rPr>
              <w:t>PAQEEB</w:t>
            </w:r>
          </w:p>
        </w:tc>
        <w:tc>
          <w:tcPr>
            <w:tcW w:type="dxa" w:w="6973"/>
          </w:tcPr>
          <w:p>
            <w:pPr>
              <w:spacing w:after="40" w:before="40" w:line="240" w:lineRule="auto"/>
              <w:jc w:val="left"/>
            </w:pPr>
            <w:r/>
            <w:r>
              <w:rPr>
                <w:rFonts w:ascii="Times New Roman" w:hAnsi="Times New Roman"/>
                <w:b w:val="0"/>
                <w:sz w:val="21"/>
              </w:rPr>
              <w:t>Projet d’amélioration de la qualité et de l’équité de l’éducation de base</w:t>
            </w:r>
          </w:p>
        </w:tc>
      </w:tr>
      <w:tr>
        <w:tc>
          <w:tcPr>
            <w:tcW w:type="dxa" w:w="1814"/>
          </w:tcPr>
          <w:p>
            <w:pPr>
              <w:spacing w:after="40" w:before="40" w:line="240" w:lineRule="auto"/>
              <w:jc w:val="left"/>
            </w:pPr>
            <w:r/>
            <w:r>
              <w:rPr>
                <w:rFonts w:ascii="Times New Roman" w:hAnsi="Times New Roman"/>
                <w:b w:val="0"/>
                <w:sz w:val="21"/>
              </w:rPr>
              <w:t>PASEC</w:t>
            </w:r>
          </w:p>
        </w:tc>
        <w:tc>
          <w:tcPr>
            <w:tcW w:type="dxa" w:w="6973"/>
          </w:tcPr>
          <w:p>
            <w:pPr>
              <w:spacing w:after="40" w:before="40" w:line="240" w:lineRule="auto"/>
              <w:jc w:val="left"/>
            </w:pPr>
            <w:r/>
            <w:r>
              <w:rPr>
                <w:rFonts w:ascii="Times New Roman" w:hAnsi="Times New Roman"/>
                <w:b w:val="0"/>
                <w:sz w:val="21"/>
              </w:rPr>
              <w:t>Programme d’analyse des systèmes éducatifs de la CONFEMEN</w:t>
            </w:r>
          </w:p>
        </w:tc>
      </w:tr>
      <w:tr>
        <w:tc>
          <w:tcPr>
            <w:tcW w:type="dxa" w:w="1814"/>
          </w:tcPr>
          <w:p>
            <w:pPr>
              <w:spacing w:after="40" w:before="40" w:line="240" w:lineRule="auto"/>
              <w:jc w:val="left"/>
            </w:pPr>
            <w:r/>
            <w:r>
              <w:rPr>
                <w:rFonts w:ascii="Times New Roman" w:hAnsi="Times New Roman"/>
                <w:b w:val="0"/>
                <w:sz w:val="21"/>
              </w:rPr>
              <w:t>SPA</w:t>
            </w:r>
          </w:p>
        </w:tc>
        <w:tc>
          <w:tcPr>
            <w:tcW w:type="dxa" w:w="6973"/>
          </w:tcPr>
          <w:p>
            <w:pPr>
              <w:spacing w:after="40" w:before="40" w:line="240" w:lineRule="auto"/>
              <w:jc w:val="left"/>
            </w:pPr>
            <w:r/>
            <w:r>
              <w:rPr>
                <w:rFonts w:ascii="Times New Roman" w:hAnsi="Times New Roman"/>
                <w:b w:val="0"/>
                <w:sz w:val="21"/>
              </w:rPr>
              <w:t>Stage de pratique accompagnée</w:t>
            </w:r>
          </w:p>
        </w:tc>
      </w:tr>
      <w:tr>
        <w:tc>
          <w:tcPr>
            <w:tcW w:type="dxa" w:w="1814"/>
          </w:tcPr>
          <w:p>
            <w:pPr>
              <w:spacing w:after="40" w:before="40" w:line="240" w:lineRule="auto"/>
              <w:jc w:val="left"/>
            </w:pPr>
            <w:r/>
            <w:r>
              <w:rPr>
                <w:rFonts w:ascii="Times New Roman" w:hAnsi="Times New Roman"/>
                <w:b w:val="0"/>
                <w:sz w:val="21"/>
              </w:rPr>
              <w:t>UE</w:t>
            </w:r>
          </w:p>
        </w:tc>
        <w:tc>
          <w:tcPr>
            <w:tcW w:type="dxa" w:w="6973"/>
          </w:tcPr>
          <w:p>
            <w:pPr>
              <w:spacing w:after="40" w:before="40" w:line="240" w:lineRule="auto"/>
              <w:jc w:val="left"/>
            </w:pPr>
            <w:r/>
            <w:r>
              <w:rPr>
                <w:rFonts w:ascii="Times New Roman" w:hAnsi="Times New Roman"/>
                <w:b w:val="0"/>
                <w:sz w:val="21"/>
              </w:rPr>
              <w:t>Unité d’enseignement</w:t>
            </w:r>
          </w:p>
        </w:tc>
      </w:tr>
      <w:tr>
        <w:tc>
          <w:tcPr>
            <w:tcW w:type="dxa" w:w="1814"/>
          </w:tcPr>
          <w:p>
            <w:pPr>
              <w:spacing w:after="40" w:before="40" w:line="240" w:lineRule="auto"/>
              <w:jc w:val="left"/>
            </w:pPr>
            <w:r/>
            <w:r>
              <w:rPr>
                <w:rFonts w:ascii="Times New Roman" w:hAnsi="Times New Roman"/>
                <w:b w:val="0"/>
                <w:sz w:val="21"/>
              </w:rPr>
              <w:t>UNESCO</w:t>
            </w:r>
          </w:p>
        </w:tc>
        <w:tc>
          <w:tcPr>
            <w:tcW w:type="dxa" w:w="6973"/>
          </w:tcPr>
          <w:p>
            <w:pPr>
              <w:spacing w:after="40" w:before="40" w:line="240" w:lineRule="auto"/>
              <w:jc w:val="left"/>
            </w:pPr>
            <w:r/>
            <w:r>
              <w:rPr>
                <w:rFonts w:ascii="Times New Roman" w:hAnsi="Times New Roman"/>
                <w:b w:val="0"/>
                <w:sz w:val="21"/>
              </w:rPr>
              <w:t>Organisation des Nations unies pour l’éducation, la science et la culture</w:t>
            </w:r>
          </w:p>
        </w:tc>
      </w:tr>
      <w:tr>
        <w:tc>
          <w:tcPr>
            <w:tcW w:type="dxa" w:w="1814"/>
          </w:tcPr>
          <w:p>
            <w:pPr>
              <w:spacing w:after="40" w:before="40" w:line="240" w:lineRule="auto"/>
              <w:jc w:val="left"/>
            </w:pPr>
            <w:r/>
            <w:r>
              <w:rPr>
                <w:rFonts w:ascii="Times New Roman" w:hAnsi="Times New Roman"/>
                <w:b w:val="0"/>
                <w:sz w:val="21"/>
              </w:rPr>
              <w:t>UNICEF</w:t>
            </w:r>
          </w:p>
        </w:tc>
        <w:tc>
          <w:tcPr>
            <w:tcW w:type="dxa" w:w="6973"/>
          </w:tcPr>
          <w:p>
            <w:pPr>
              <w:spacing w:after="40" w:before="40" w:line="240" w:lineRule="auto"/>
              <w:jc w:val="left"/>
            </w:pPr>
            <w:r/>
            <w:r>
              <w:rPr>
                <w:rFonts w:ascii="Times New Roman" w:hAnsi="Times New Roman"/>
                <w:b w:val="0"/>
                <w:sz w:val="21"/>
              </w:rPr>
              <w:t>Fonds des Nations unies pour l’enfance</w:t>
            </w:r>
          </w:p>
        </w:tc>
      </w:tr>
    </w:tbl>
    <w:p>
      <w:pPr>
        <w:spacing w:after="0"/>
      </w:pPr>
    </w:p>
    <w:p/>
    <w:p>
      <w:pPr>
        <w:spacing w:after="120"/>
        <w:jc w:val="both"/>
      </w:pPr>
      <w:r>
        <w:rPr>
          <w:rFonts w:ascii="Times New Roman" w:hAnsi="Times New Roman"/>
          <w:b/>
          <w:i w:val="0"/>
          <w:sz w:val="24"/>
        </w:rPr>
        <w:t>Conventions de notation</w:t>
      </w:r>
    </w:p>
    <w:p>
      <w:pPr>
        <w:spacing w:after="120"/>
        <w:ind w:firstLine="567"/>
        <w:jc w:val="both"/>
      </w:pPr>
      <w:r>
        <w:rPr>
          <w:rFonts w:ascii="Times New Roman" w:hAnsi="Times New Roman"/>
          <w:b w:val="0"/>
          <w:i w:val="0"/>
          <w:sz w:val="24"/>
        </w:rPr>
        <w:t>Dans l’ensemble de ce mémoire, les quatre profils sociolinguistiques issus de notre enquête sont désignés par les abréviations suivantes : NL (non-locuteurs), LNC (locuteurs non catégorisés), LNN (locuteurs non natifs) et LN (locuteurs natifs). Les caractères propres à l’alphabet éwé (ɖ, ƒ, ɣ, ŋ, ɔ, ʋ, ɛ) sont restitués tels quels. Sauf mention contraire, les pourcentages sont calculés sur l’effectif de la catégorie considérée et arrondis à une décimale.</w:t>
      </w:r>
    </w:p>
    <w:p>
      <w:r>
        <w:br w:type="page"/>
      </w:r>
    </w:p>
    <w:p>
      <w:pPr>
        <w:spacing w:after="120"/>
        <w:jc w:val="center"/>
      </w:pPr>
      <w:r>
        <w:rPr>
          <w:rFonts w:ascii="Times New Roman" w:hAnsi="Times New Roman"/>
          <w:b/>
          <w:i w:val="0"/>
          <w:sz w:val="32"/>
        </w:rPr>
        <w:t>LISTE DES TABLEAUX</w:t>
      </w:r>
    </w:p>
    <w:p/>
    <w:tbl>
      <w:tblPr>
        <w:tblStyle w:val="TableGrid"/>
        <w:tblW w:type="auto" w:w="0"/>
        <w:jc w:val="center"/>
        <w:tblLook w:firstColumn="1" w:firstRow="1" w:lastColumn="0" w:lastRow="0" w:noHBand="0" w:noVBand="1" w:val="04A0"/>
      </w:tblPr>
      <w:tblGrid>
        <w:gridCol w:w="4394"/>
        <w:gridCol w:w="4394"/>
      </w:tblGrid>
      <w:tr>
        <w:tc>
          <w:tcPr>
            <w:tcW w:type="dxa" w:w="1474"/>
            <w:shd w:val="clear" w:color="auto" w:fill="D9E2F3"/>
          </w:tcPr>
          <w:p>
            <w:pPr>
              <w:spacing w:after="40" w:before="40" w:line="240" w:lineRule="auto"/>
              <w:jc w:val="center"/>
            </w:pPr>
            <w:r/>
            <w:r>
              <w:rPr>
                <w:rFonts w:ascii="Times New Roman" w:hAnsi="Times New Roman"/>
                <w:b/>
                <w:sz w:val="21"/>
              </w:rPr>
              <w:t>N°</w:t>
            </w:r>
          </w:p>
        </w:tc>
        <w:tc>
          <w:tcPr>
            <w:tcW w:type="dxa" w:w="7313"/>
            <w:shd w:val="clear" w:color="auto" w:fill="D9E2F3"/>
          </w:tcPr>
          <w:p>
            <w:pPr>
              <w:spacing w:after="40" w:before="40" w:line="240" w:lineRule="auto"/>
              <w:jc w:val="center"/>
            </w:pPr>
            <w:r/>
            <w:r>
              <w:rPr>
                <w:rFonts w:ascii="Times New Roman" w:hAnsi="Times New Roman"/>
                <w:b/>
                <w:sz w:val="21"/>
              </w:rPr>
              <w:t>Intitulé du tableau</w:t>
            </w:r>
          </w:p>
        </w:tc>
      </w:tr>
      <w:tr>
        <w:tc>
          <w:tcPr>
            <w:tcW w:type="dxa" w:w="1474"/>
          </w:tcPr>
          <w:p>
            <w:pPr>
              <w:spacing w:after="40" w:before="40" w:line="240" w:lineRule="auto"/>
              <w:jc w:val="left"/>
            </w:pPr>
            <w:r/>
            <w:r>
              <w:rPr>
                <w:rFonts w:ascii="Times New Roman" w:hAnsi="Times New Roman"/>
                <w:b w:val="0"/>
                <w:sz w:val="21"/>
              </w:rPr>
              <w:t>Tableau 1</w:t>
            </w:r>
          </w:p>
        </w:tc>
        <w:tc>
          <w:tcPr>
            <w:tcW w:type="dxa" w:w="7313"/>
          </w:tcPr>
          <w:p>
            <w:pPr>
              <w:spacing w:after="40" w:before="40" w:line="240" w:lineRule="auto"/>
              <w:jc w:val="left"/>
            </w:pPr>
            <w:r/>
            <w:r>
              <w:rPr>
                <w:rFonts w:ascii="Times New Roman" w:hAnsi="Times New Roman"/>
                <w:b w:val="0"/>
                <w:sz w:val="21"/>
              </w:rPr>
              <w:t>Répartition du personnel de l’ENFPE de Notsè selon le statut et le sexe</w:t>
            </w:r>
          </w:p>
        </w:tc>
      </w:tr>
      <w:tr>
        <w:tc>
          <w:tcPr>
            <w:tcW w:type="dxa" w:w="1474"/>
          </w:tcPr>
          <w:p>
            <w:pPr>
              <w:spacing w:after="40" w:before="40" w:line="240" w:lineRule="auto"/>
              <w:jc w:val="left"/>
            </w:pPr>
            <w:r/>
            <w:r>
              <w:rPr>
                <w:rFonts w:ascii="Times New Roman" w:hAnsi="Times New Roman"/>
                <w:b w:val="0"/>
                <w:sz w:val="21"/>
              </w:rPr>
              <w:t>Tableau 2</w:t>
            </w:r>
          </w:p>
        </w:tc>
        <w:tc>
          <w:tcPr>
            <w:tcW w:type="dxa" w:w="7313"/>
          </w:tcPr>
          <w:p>
            <w:pPr>
              <w:spacing w:after="40" w:before="40" w:line="240" w:lineRule="auto"/>
              <w:jc w:val="left"/>
            </w:pPr>
            <w:r/>
            <w:r>
              <w:rPr>
                <w:rFonts w:ascii="Times New Roman" w:hAnsi="Times New Roman"/>
                <w:b w:val="0"/>
                <w:sz w:val="21"/>
              </w:rPr>
              <w:t>Analyse des difficultés du stage de pratique accompagnée 1 (tableau annoncé mais non fourni dans le document source)</w:t>
            </w:r>
          </w:p>
        </w:tc>
      </w:tr>
      <w:tr>
        <w:tc>
          <w:tcPr>
            <w:tcW w:type="dxa" w:w="1474"/>
          </w:tcPr>
          <w:p>
            <w:pPr>
              <w:spacing w:after="40" w:before="40" w:line="240" w:lineRule="auto"/>
              <w:jc w:val="left"/>
            </w:pPr>
            <w:r/>
            <w:r>
              <w:rPr>
                <w:rFonts w:ascii="Times New Roman" w:hAnsi="Times New Roman"/>
                <w:b w:val="0"/>
                <w:sz w:val="21"/>
              </w:rPr>
              <w:t>Tableau 3</w:t>
            </w:r>
          </w:p>
        </w:tc>
        <w:tc>
          <w:tcPr>
            <w:tcW w:type="dxa" w:w="7313"/>
          </w:tcPr>
          <w:p>
            <w:pPr>
              <w:spacing w:after="40" w:before="40" w:line="240" w:lineRule="auto"/>
              <w:jc w:val="left"/>
            </w:pPr>
            <w:r/>
            <w:r>
              <w:rPr>
                <w:rFonts w:ascii="Times New Roman" w:hAnsi="Times New Roman"/>
                <w:b w:val="0"/>
                <w:sz w:val="21"/>
              </w:rPr>
              <w:t>Élèves-professeurs suivis en stage de responsabilité</w:t>
            </w:r>
          </w:p>
        </w:tc>
      </w:tr>
      <w:tr>
        <w:tc>
          <w:tcPr>
            <w:tcW w:type="dxa" w:w="1474"/>
          </w:tcPr>
          <w:p>
            <w:pPr>
              <w:spacing w:after="40" w:before="40" w:line="240" w:lineRule="auto"/>
              <w:jc w:val="left"/>
            </w:pPr>
            <w:r/>
            <w:r>
              <w:rPr>
                <w:rFonts w:ascii="Times New Roman" w:hAnsi="Times New Roman"/>
                <w:b w:val="0"/>
                <w:sz w:val="21"/>
              </w:rPr>
              <w:t>Tableau 4</w:t>
            </w:r>
          </w:p>
        </w:tc>
        <w:tc>
          <w:tcPr>
            <w:tcW w:type="dxa" w:w="7313"/>
          </w:tcPr>
          <w:p>
            <w:pPr>
              <w:spacing w:after="40" w:before="40" w:line="240" w:lineRule="auto"/>
              <w:jc w:val="left"/>
            </w:pPr>
            <w:r/>
            <w:r>
              <w:rPr>
                <w:rFonts w:ascii="Times New Roman" w:hAnsi="Times New Roman"/>
                <w:b w:val="0"/>
                <w:sz w:val="21"/>
              </w:rPr>
              <w:t>Récapitulatif des difficultés relevées par les EPE à l’issue du dépouillement du questionnaire</w:t>
            </w:r>
          </w:p>
        </w:tc>
      </w:tr>
      <w:tr>
        <w:tc>
          <w:tcPr>
            <w:tcW w:type="dxa" w:w="1474"/>
          </w:tcPr>
          <w:p>
            <w:pPr>
              <w:spacing w:after="40" w:before="40" w:line="240" w:lineRule="auto"/>
              <w:jc w:val="left"/>
            </w:pPr>
            <w:r/>
            <w:r>
              <w:rPr>
                <w:rFonts w:ascii="Times New Roman" w:hAnsi="Times New Roman"/>
                <w:b w:val="0"/>
                <w:sz w:val="21"/>
              </w:rPr>
              <w:t>Tableau 5</w:t>
            </w:r>
          </w:p>
        </w:tc>
        <w:tc>
          <w:tcPr>
            <w:tcW w:type="dxa" w:w="7313"/>
          </w:tcPr>
          <w:p>
            <w:pPr>
              <w:spacing w:after="40" w:before="40" w:line="240" w:lineRule="auto"/>
              <w:jc w:val="left"/>
            </w:pPr>
            <w:r/>
            <w:r>
              <w:rPr>
                <w:rFonts w:ascii="Times New Roman" w:hAnsi="Times New Roman"/>
                <w:b w:val="0"/>
                <w:sz w:val="21"/>
              </w:rPr>
              <w:t>Répartition des difficultés chez les non-locuteurs</w:t>
            </w:r>
          </w:p>
        </w:tc>
      </w:tr>
      <w:tr>
        <w:tc>
          <w:tcPr>
            <w:tcW w:type="dxa" w:w="1474"/>
          </w:tcPr>
          <w:p>
            <w:pPr>
              <w:spacing w:after="40" w:before="40" w:line="240" w:lineRule="auto"/>
              <w:jc w:val="left"/>
            </w:pPr>
            <w:r/>
            <w:r>
              <w:rPr>
                <w:rFonts w:ascii="Times New Roman" w:hAnsi="Times New Roman"/>
                <w:b w:val="0"/>
                <w:sz w:val="21"/>
              </w:rPr>
              <w:t>Tableau 6</w:t>
            </w:r>
          </w:p>
        </w:tc>
        <w:tc>
          <w:tcPr>
            <w:tcW w:type="dxa" w:w="7313"/>
          </w:tcPr>
          <w:p>
            <w:pPr>
              <w:spacing w:after="40" w:before="40" w:line="240" w:lineRule="auto"/>
              <w:jc w:val="left"/>
            </w:pPr>
            <w:r/>
            <w:r>
              <w:rPr>
                <w:rFonts w:ascii="Times New Roman" w:hAnsi="Times New Roman"/>
                <w:b w:val="0"/>
                <w:sz w:val="21"/>
              </w:rPr>
              <w:t>Répartition des difficultés chez les locuteurs non catégorisés</w:t>
            </w:r>
          </w:p>
        </w:tc>
      </w:tr>
      <w:tr>
        <w:tc>
          <w:tcPr>
            <w:tcW w:type="dxa" w:w="1474"/>
          </w:tcPr>
          <w:p>
            <w:pPr>
              <w:spacing w:after="40" w:before="40" w:line="240" w:lineRule="auto"/>
              <w:jc w:val="left"/>
            </w:pPr>
            <w:r/>
            <w:r>
              <w:rPr>
                <w:rFonts w:ascii="Times New Roman" w:hAnsi="Times New Roman"/>
                <w:b w:val="0"/>
                <w:sz w:val="21"/>
              </w:rPr>
              <w:t>Tableau 7</w:t>
            </w:r>
          </w:p>
        </w:tc>
        <w:tc>
          <w:tcPr>
            <w:tcW w:type="dxa" w:w="7313"/>
          </w:tcPr>
          <w:p>
            <w:pPr>
              <w:spacing w:after="40" w:before="40" w:line="240" w:lineRule="auto"/>
              <w:jc w:val="left"/>
            </w:pPr>
            <w:r/>
            <w:r>
              <w:rPr>
                <w:rFonts w:ascii="Times New Roman" w:hAnsi="Times New Roman"/>
                <w:b w:val="0"/>
                <w:sz w:val="21"/>
              </w:rPr>
              <w:t>Répartition des difficultés chez les locuteurs non natifs</w:t>
            </w:r>
          </w:p>
        </w:tc>
      </w:tr>
      <w:tr>
        <w:tc>
          <w:tcPr>
            <w:tcW w:type="dxa" w:w="1474"/>
          </w:tcPr>
          <w:p>
            <w:pPr>
              <w:spacing w:after="40" w:before="40" w:line="240" w:lineRule="auto"/>
              <w:jc w:val="left"/>
            </w:pPr>
            <w:r/>
            <w:r>
              <w:rPr>
                <w:rFonts w:ascii="Times New Roman" w:hAnsi="Times New Roman"/>
                <w:b w:val="0"/>
                <w:sz w:val="21"/>
              </w:rPr>
              <w:t>Tableau 8</w:t>
            </w:r>
          </w:p>
        </w:tc>
        <w:tc>
          <w:tcPr>
            <w:tcW w:type="dxa" w:w="7313"/>
          </w:tcPr>
          <w:p>
            <w:pPr>
              <w:spacing w:after="40" w:before="40" w:line="240" w:lineRule="auto"/>
              <w:jc w:val="left"/>
            </w:pPr>
            <w:r/>
            <w:r>
              <w:rPr>
                <w:rFonts w:ascii="Times New Roman" w:hAnsi="Times New Roman"/>
                <w:b w:val="0"/>
                <w:sz w:val="21"/>
              </w:rPr>
              <w:t>Répartition des difficultés chez les locuteurs natifs</w:t>
            </w:r>
          </w:p>
        </w:tc>
      </w:tr>
      <w:tr>
        <w:tc>
          <w:tcPr>
            <w:tcW w:type="dxa" w:w="1474"/>
          </w:tcPr>
          <w:p>
            <w:pPr>
              <w:spacing w:after="40" w:before="40" w:line="240" w:lineRule="auto"/>
              <w:jc w:val="left"/>
            </w:pPr>
            <w:r/>
            <w:r>
              <w:rPr>
                <w:rFonts w:ascii="Times New Roman" w:hAnsi="Times New Roman"/>
                <w:b w:val="0"/>
                <w:sz w:val="21"/>
              </w:rPr>
              <w:t>Tableau 9</w:t>
            </w:r>
          </w:p>
        </w:tc>
        <w:tc>
          <w:tcPr>
            <w:tcW w:type="dxa" w:w="7313"/>
          </w:tcPr>
          <w:p>
            <w:pPr>
              <w:spacing w:after="40" w:before="40" w:line="240" w:lineRule="auto"/>
              <w:jc w:val="left"/>
            </w:pPr>
            <w:r/>
            <w:r>
              <w:rPr>
                <w:rFonts w:ascii="Times New Roman" w:hAnsi="Times New Roman"/>
                <w:b w:val="0"/>
                <w:sz w:val="21"/>
              </w:rPr>
              <w:t>Appréciation du volume horaire par catégorie d’EPE (mentions spontanées)</w:t>
            </w:r>
          </w:p>
        </w:tc>
      </w:tr>
      <w:tr>
        <w:tc>
          <w:tcPr>
            <w:tcW w:type="dxa" w:w="1474"/>
          </w:tcPr>
          <w:p>
            <w:pPr>
              <w:spacing w:after="40" w:before="40" w:line="240" w:lineRule="auto"/>
              <w:jc w:val="left"/>
            </w:pPr>
            <w:r/>
            <w:r>
              <w:rPr>
                <w:rFonts w:ascii="Times New Roman" w:hAnsi="Times New Roman"/>
                <w:b w:val="0"/>
                <w:sz w:val="21"/>
              </w:rPr>
              <w:t>Tableau 10</w:t>
            </w:r>
          </w:p>
        </w:tc>
        <w:tc>
          <w:tcPr>
            <w:tcW w:type="dxa" w:w="7313"/>
          </w:tcPr>
          <w:p>
            <w:pPr>
              <w:spacing w:after="40" w:before="40" w:line="240" w:lineRule="auto"/>
              <w:jc w:val="left"/>
            </w:pPr>
            <w:r/>
            <w:r>
              <w:rPr>
                <w:rFonts w:ascii="Times New Roman" w:hAnsi="Times New Roman"/>
                <w:b w:val="0"/>
                <w:sz w:val="21"/>
              </w:rPr>
              <w:t>Contenu jugé non adapté (mentions spontanées)</w:t>
            </w:r>
          </w:p>
        </w:tc>
      </w:tr>
      <w:tr>
        <w:tc>
          <w:tcPr>
            <w:tcW w:type="dxa" w:w="1474"/>
          </w:tcPr>
          <w:p>
            <w:pPr>
              <w:spacing w:after="40" w:before="40" w:line="240" w:lineRule="auto"/>
              <w:jc w:val="left"/>
            </w:pPr>
            <w:r/>
            <w:r>
              <w:rPr>
                <w:rFonts w:ascii="Times New Roman" w:hAnsi="Times New Roman"/>
                <w:b w:val="0"/>
                <w:sz w:val="21"/>
              </w:rPr>
              <w:t>Tableau 11</w:t>
            </w:r>
          </w:p>
        </w:tc>
        <w:tc>
          <w:tcPr>
            <w:tcW w:type="dxa" w:w="7313"/>
          </w:tcPr>
          <w:p>
            <w:pPr>
              <w:spacing w:after="40" w:before="40" w:line="240" w:lineRule="auto"/>
              <w:jc w:val="left"/>
            </w:pPr>
            <w:r/>
            <w:r>
              <w:rPr>
                <w:rFonts w:ascii="Times New Roman" w:hAnsi="Times New Roman"/>
                <w:b w:val="0"/>
                <w:sz w:val="21"/>
              </w:rPr>
              <w:t>Récapitulatif des EPE ayant suivi un cours d’éwégbé au cours de leur scolarité</w:t>
            </w:r>
          </w:p>
        </w:tc>
      </w:tr>
      <w:tr>
        <w:tc>
          <w:tcPr>
            <w:tcW w:type="dxa" w:w="1474"/>
          </w:tcPr>
          <w:p>
            <w:pPr>
              <w:spacing w:after="40" w:before="40" w:line="240" w:lineRule="auto"/>
              <w:jc w:val="left"/>
            </w:pPr>
            <w:r/>
            <w:r>
              <w:rPr>
                <w:rFonts w:ascii="Times New Roman" w:hAnsi="Times New Roman"/>
                <w:b w:val="0"/>
                <w:sz w:val="21"/>
              </w:rPr>
              <w:t>Tableau 12</w:t>
            </w:r>
          </w:p>
        </w:tc>
        <w:tc>
          <w:tcPr>
            <w:tcW w:type="dxa" w:w="7313"/>
          </w:tcPr>
          <w:p>
            <w:pPr>
              <w:spacing w:after="40" w:before="40" w:line="240" w:lineRule="auto"/>
              <w:jc w:val="left"/>
            </w:pPr>
            <w:r/>
            <w:r>
              <w:rPr>
                <w:rFonts w:ascii="Times New Roman" w:hAnsi="Times New Roman"/>
                <w:b w:val="0"/>
                <w:sz w:val="21"/>
              </w:rPr>
              <w:t>Détail par niveau scolaire des cours d’éwégbé suivis</w:t>
            </w:r>
          </w:p>
        </w:tc>
      </w:tr>
      <w:tr>
        <w:tc>
          <w:tcPr>
            <w:tcW w:type="dxa" w:w="1474"/>
          </w:tcPr>
          <w:p>
            <w:pPr>
              <w:spacing w:after="40" w:before="40" w:line="240" w:lineRule="auto"/>
              <w:jc w:val="left"/>
            </w:pPr>
            <w:r/>
            <w:r>
              <w:rPr>
                <w:rFonts w:ascii="Times New Roman" w:hAnsi="Times New Roman"/>
                <w:b w:val="0"/>
                <w:sz w:val="21"/>
              </w:rPr>
              <w:t>Tableau 13</w:t>
            </w:r>
          </w:p>
        </w:tc>
        <w:tc>
          <w:tcPr>
            <w:tcW w:type="dxa" w:w="7313"/>
          </w:tcPr>
          <w:p>
            <w:pPr>
              <w:spacing w:after="40" w:before="40" w:line="240" w:lineRule="auto"/>
              <w:jc w:val="left"/>
            </w:pPr>
            <w:r/>
            <w:r>
              <w:rPr>
                <w:rFonts w:ascii="Times New Roman" w:hAnsi="Times New Roman"/>
                <w:b w:val="0"/>
                <w:sz w:val="21"/>
              </w:rPr>
              <w:t>EPE n’ayant jamais suivi de cours d’éwégbé</w:t>
            </w:r>
          </w:p>
        </w:tc>
      </w:tr>
      <w:tr>
        <w:tc>
          <w:tcPr>
            <w:tcW w:type="dxa" w:w="1474"/>
          </w:tcPr>
          <w:p>
            <w:pPr>
              <w:spacing w:after="40" w:before="40" w:line="240" w:lineRule="auto"/>
              <w:jc w:val="left"/>
            </w:pPr>
            <w:r/>
            <w:r>
              <w:rPr>
                <w:rFonts w:ascii="Times New Roman" w:hAnsi="Times New Roman"/>
                <w:b w:val="0"/>
                <w:sz w:val="21"/>
              </w:rPr>
              <w:t>Tableau 14</w:t>
            </w:r>
          </w:p>
        </w:tc>
        <w:tc>
          <w:tcPr>
            <w:tcW w:type="dxa" w:w="7313"/>
          </w:tcPr>
          <w:p>
            <w:pPr>
              <w:spacing w:after="40" w:before="40" w:line="240" w:lineRule="auto"/>
              <w:jc w:val="left"/>
            </w:pPr>
            <w:r/>
            <w:r>
              <w:rPr>
                <w:rFonts w:ascii="Times New Roman" w:hAnsi="Times New Roman"/>
                <w:b w:val="0"/>
                <w:sz w:val="21"/>
              </w:rPr>
              <w:t>Volume horaire jugé insuffisant (question fermée)</w:t>
            </w:r>
          </w:p>
        </w:tc>
      </w:tr>
      <w:tr>
        <w:tc>
          <w:tcPr>
            <w:tcW w:type="dxa" w:w="1474"/>
          </w:tcPr>
          <w:p>
            <w:pPr>
              <w:spacing w:after="40" w:before="40" w:line="240" w:lineRule="auto"/>
              <w:jc w:val="left"/>
            </w:pPr>
            <w:r/>
            <w:r>
              <w:rPr>
                <w:rFonts w:ascii="Times New Roman" w:hAnsi="Times New Roman"/>
                <w:b w:val="0"/>
                <w:sz w:val="21"/>
              </w:rPr>
              <w:t>Tableau 15</w:t>
            </w:r>
          </w:p>
        </w:tc>
        <w:tc>
          <w:tcPr>
            <w:tcW w:type="dxa" w:w="7313"/>
          </w:tcPr>
          <w:p>
            <w:pPr>
              <w:spacing w:after="40" w:before="40" w:line="240" w:lineRule="auto"/>
              <w:jc w:val="left"/>
            </w:pPr>
            <w:r/>
            <w:r>
              <w:rPr>
                <w:rFonts w:ascii="Times New Roman" w:hAnsi="Times New Roman"/>
                <w:b w:val="0"/>
                <w:sz w:val="21"/>
              </w:rPr>
              <w:t>Contenu du cours jugé insuffisant (question fermée)</w:t>
            </w:r>
          </w:p>
        </w:tc>
      </w:tr>
      <w:tr>
        <w:tc>
          <w:tcPr>
            <w:tcW w:type="dxa" w:w="1474"/>
          </w:tcPr>
          <w:p>
            <w:pPr>
              <w:spacing w:after="40" w:before="40" w:line="240" w:lineRule="auto"/>
              <w:jc w:val="left"/>
            </w:pPr>
            <w:r/>
            <w:r>
              <w:rPr>
                <w:rFonts w:ascii="Times New Roman" w:hAnsi="Times New Roman"/>
                <w:b w:val="0"/>
                <w:sz w:val="21"/>
              </w:rPr>
              <w:t>Tableau 16</w:t>
            </w:r>
          </w:p>
        </w:tc>
        <w:tc>
          <w:tcPr>
            <w:tcW w:type="dxa" w:w="7313"/>
          </w:tcPr>
          <w:p>
            <w:pPr>
              <w:spacing w:after="40" w:before="40" w:line="240" w:lineRule="auto"/>
              <w:jc w:val="left"/>
            </w:pPr>
            <w:r/>
            <w:r>
              <w:rPr>
                <w:rFonts w:ascii="Times New Roman" w:hAnsi="Times New Roman"/>
                <w:b w:val="0"/>
                <w:sz w:val="21"/>
              </w:rPr>
              <w:t>EPE déclarant comprendre facilement le cours</w:t>
            </w:r>
          </w:p>
        </w:tc>
      </w:tr>
      <w:tr>
        <w:tc>
          <w:tcPr>
            <w:tcW w:type="dxa" w:w="1474"/>
          </w:tcPr>
          <w:p>
            <w:pPr>
              <w:spacing w:after="40" w:before="40" w:line="240" w:lineRule="auto"/>
              <w:jc w:val="left"/>
            </w:pPr>
            <w:r/>
            <w:r>
              <w:rPr>
                <w:rFonts w:ascii="Times New Roman" w:hAnsi="Times New Roman"/>
                <w:b w:val="0"/>
                <w:sz w:val="21"/>
              </w:rPr>
              <w:t>Tableau 17</w:t>
            </w:r>
          </w:p>
        </w:tc>
        <w:tc>
          <w:tcPr>
            <w:tcW w:type="dxa" w:w="7313"/>
          </w:tcPr>
          <w:p>
            <w:pPr>
              <w:spacing w:after="40" w:before="40" w:line="240" w:lineRule="auto"/>
              <w:jc w:val="left"/>
            </w:pPr>
            <w:r/>
            <w:r>
              <w:rPr>
                <w:rFonts w:ascii="Times New Roman" w:hAnsi="Times New Roman"/>
                <w:b w:val="0"/>
                <w:sz w:val="21"/>
              </w:rPr>
              <w:t>EPE trouvant normal que les cours et épreuves d’éwégbé se fassent en français</w:t>
            </w:r>
          </w:p>
        </w:tc>
      </w:tr>
      <w:tr>
        <w:tc>
          <w:tcPr>
            <w:tcW w:type="dxa" w:w="1474"/>
          </w:tcPr>
          <w:p>
            <w:pPr>
              <w:spacing w:after="40" w:before="40" w:line="240" w:lineRule="auto"/>
              <w:jc w:val="left"/>
            </w:pPr>
            <w:r/>
            <w:r>
              <w:rPr>
                <w:rFonts w:ascii="Times New Roman" w:hAnsi="Times New Roman"/>
                <w:b w:val="0"/>
                <w:sz w:val="21"/>
              </w:rPr>
              <w:t>Tableau 18</w:t>
            </w:r>
          </w:p>
        </w:tc>
        <w:tc>
          <w:tcPr>
            <w:tcW w:type="dxa" w:w="7313"/>
          </w:tcPr>
          <w:p>
            <w:pPr>
              <w:spacing w:after="40" w:before="40" w:line="240" w:lineRule="auto"/>
              <w:jc w:val="left"/>
            </w:pPr>
            <w:r/>
            <w:r>
              <w:rPr>
                <w:rFonts w:ascii="Times New Roman" w:hAnsi="Times New Roman"/>
                <w:b w:val="0"/>
                <w:sz w:val="21"/>
              </w:rPr>
              <w:t>Niveau auto-évalué en éwégbé</w:t>
            </w:r>
          </w:p>
        </w:tc>
      </w:tr>
      <w:tr>
        <w:tc>
          <w:tcPr>
            <w:tcW w:type="dxa" w:w="1474"/>
          </w:tcPr>
          <w:p>
            <w:pPr>
              <w:spacing w:after="40" w:before="40" w:line="240" w:lineRule="auto"/>
              <w:jc w:val="left"/>
            </w:pPr>
            <w:r/>
            <w:r>
              <w:rPr>
                <w:rFonts w:ascii="Times New Roman" w:hAnsi="Times New Roman"/>
                <w:b w:val="0"/>
                <w:sz w:val="21"/>
              </w:rPr>
              <w:t>Tableau 19</w:t>
            </w:r>
          </w:p>
        </w:tc>
        <w:tc>
          <w:tcPr>
            <w:tcW w:type="dxa" w:w="7313"/>
          </w:tcPr>
          <w:p>
            <w:pPr>
              <w:spacing w:after="40" w:before="40" w:line="240" w:lineRule="auto"/>
              <w:jc w:val="left"/>
            </w:pPr>
            <w:r/>
            <w:r>
              <w:rPr>
                <w:rFonts w:ascii="Times New Roman" w:hAnsi="Times New Roman"/>
                <w:b w:val="0"/>
                <w:sz w:val="21"/>
              </w:rPr>
              <w:t>Modalités pédagogiques des cours d’éwégbé</w:t>
            </w:r>
          </w:p>
        </w:tc>
      </w:tr>
      <w:tr>
        <w:tc>
          <w:tcPr>
            <w:tcW w:type="dxa" w:w="1474"/>
          </w:tcPr>
          <w:p>
            <w:pPr>
              <w:spacing w:after="40" w:before="40" w:line="240" w:lineRule="auto"/>
              <w:jc w:val="left"/>
            </w:pPr>
            <w:r/>
            <w:r>
              <w:rPr>
                <w:rFonts w:ascii="Times New Roman" w:hAnsi="Times New Roman"/>
                <w:b w:val="0"/>
                <w:sz w:val="21"/>
              </w:rPr>
              <w:t>Tableau 20</w:t>
            </w:r>
          </w:p>
        </w:tc>
        <w:tc>
          <w:tcPr>
            <w:tcW w:type="dxa" w:w="7313"/>
          </w:tcPr>
          <w:p>
            <w:pPr>
              <w:spacing w:after="40" w:before="40" w:line="240" w:lineRule="auto"/>
              <w:jc w:val="left"/>
            </w:pPr>
            <w:r/>
            <w:r>
              <w:rPr>
                <w:rFonts w:ascii="Times New Roman" w:hAnsi="Times New Roman"/>
                <w:b w:val="0"/>
                <w:sz w:val="21"/>
              </w:rPr>
              <w:t>Matrice de cohérence : problématique, questions, hypothèses, objectifs et résultats</w:t>
            </w:r>
          </w:p>
        </w:tc>
      </w:tr>
      <w:tr>
        <w:tc>
          <w:tcPr>
            <w:tcW w:type="dxa" w:w="1474"/>
          </w:tcPr>
          <w:p>
            <w:pPr>
              <w:spacing w:after="40" w:before="40" w:line="240" w:lineRule="auto"/>
              <w:jc w:val="left"/>
            </w:pPr>
            <w:r/>
            <w:r>
              <w:rPr>
                <w:rFonts w:ascii="Times New Roman" w:hAnsi="Times New Roman"/>
                <w:b w:val="0"/>
                <w:sz w:val="21"/>
              </w:rPr>
              <w:t>Tableau 21</w:t>
            </w:r>
          </w:p>
        </w:tc>
        <w:tc>
          <w:tcPr>
            <w:tcW w:type="dxa" w:w="7313"/>
          </w:tcPr>
          <w:p>
            <w:pPr>
              <w:spacing w:after="40" w:before="40" w:line="240" w:lineRule="auto"/>
              <w:jc w:val="left"/>
            </w:pPr>
            <w:r/>
            <w:r>
              <w:rPr>
                <w:rFonts w:ascii="Times New Roman" w:hAnsi="Times New Roman"/>
                <w:b w:val="0"/>
                <w:sz w:val="21"/>
              </w:rPr>
              <w:t>Synthèse de la vérification des hypothèses</w:t>
            </w:r>
          </w:p>
        </w:tc>
      </w:tr>
      <w:tr>
        <w:tc>
          <w:tcPr>
            <w:tcW w:type="dxa" w:w="1474"/>
          </w:tcPr>
          <w:p>
            <w:pPr>
              <w:spacing w:after="40" w:before="40" w:line="240" w:lineRule="auto"/>
              <w:jc w:val="left"/>
            </w:pPr>
            <w:r/>
            <w:r>
              <w:rPr>
                <w:rFonts w:ascii="Times New Roman" w:hAnsi="Times New Roman"/>
                <w:b w:val="0"/>
                <w:sz w:val="21"/>
              </w:rPr>
              <w:t>Tableau 22</w:t>
            </w:r>
          </w:p>
        </w:tc>
        <w:tc>
          <w:tcPr>
            <w:tcW w:type="dxa" w:w="7313"/>
          </w:tcPr>
          <w:p>
            <w:pPr>
              <w:spacing w:after="40" w:before="40" w:line="240" w:lineRule="auto"/>
              <w:jc w:val="left"/>
            </w:pPr>
            <w:r/>
            <w:r>
              <w:rPr>
                <w:rFonts w:ascii="Times New Roman" w:hAnsi="Times New Roman"/>
                <w:b w:val="0"/>
                <w:sz w:val="21"/>
              </w:rPr>
              <w:t>Récapitulatif des recommandations par niveau de responsabilité</w:t>
            </w:r>
          </w:p>
        </w:tc>
      </w:tr>
    </w:tbl>
    <w:p>
      <w:pPr>
        <w:spacing w:after="0"/>
      </w:pPr>
    </w:p>
    <w:p>
      <w:r>
        <w:br w:type="page"/>
      </w:r>
    </w:p>
    <w:p>
      <w:pPr>
        <w:spacing w:after="120"/>
        <w:jc w:val="center"/>
      </w:pPr>
      <w:r>
        <w:rPr>
          <w:rFonts w:ascii="Times New Roman" w:hAnsi="Times New Roman"/>
          <w:b/>
          <w:i w:val="0"/>
          <w:sz w:val="32"/>
        </w:rPr>
        <w:t>RÉSUMÉ</w:t>
      </w:r>
    </w:p>
    <w:p/>
    <w:p>
      <w:pPr>
        <w:spacing w:after="120"/>
        <w:ind w:firstLine="567"/>
        <w:jc w:val="both"/>
      </w:pPr>
      <w:r>
        <w:rPr>
          <w:rFonts w:ascii="Times New Roman" w:hAnsi="Times New Roman"/>
          <w:b w:val="0"/>
          <w:i w:val="0"/>
          <w:sz w:val="24"/>
        </w:rPr>
        <w:t>Cinquante ans après l’ordonnance n° 75-016 du 6 mai 1975 qui a introduit l’éwégbé et le kabiyè dans l’école formelle togolaise, la question de la formation des maîtres à l’enseignement de ces langues demeure très peu documentée. Le présent mémoire analyse le degré d’adéquation entre le dispositif de formation en éwégbé mis en œuvre dans les écoles normales de formation des professeurs d’école (ENFPE) et les exigences d’une politique d’éducation bilingue au cours primaire. L’étude, conduite à l’ENFPE de Notsè au cours d’un stage en responsabilité de trois mois (16 mars – 12 juin 2026), repose sur une approche mixte à dominante qualitative : un questionnaire de treize items administré à cinquante élèves-professeurs d’école de la promotion 3 en fin de formation, des entretiens avec deux formateurs en langues nationales et des observations de classe. Le traitement des données s’appuie sur une typologie en quatre profils sociolinguistiques (non-locuteurs, locuteurs non catégorisés, locuteurs non natifs, locuteurs natifs) et mobilise trois cadres théoriques : la transposition didactique de Chevallard (1985), le modèle d’interdépendance linguistique de Cummins (1981) et la théorie du marché linguistique de Bourdieu (1982), complétée par les représentations sociales de Moscovici (1961).</w:t>
      </w:r>
    </w:p>
    <w:p>
      <w:pPr>
        <w:spacing w:after="120"/>
        <w:ind w:firstLine="567"/>
        <w:jc w:val="both"/>
      </w:pPr>
      <w:r>
        <w:rPr>
          <w:rFonts w:ascii="Times New Roman" w:hAnsi="Times New Roman"/>
          <w:b w:val="0"/>
          <w:i w:val="0"/>
          <w:sz w:val="24"/>
        </w:rPr>
        <w:t>Les résultats établissent que la difficulté dominante se déplace selon le profil du locuteur : le déficit de supports didactiques prévaut chez les non-locuteurs (85,7 %), tandis que les difficultés à l’écrit culminent chez les locuteurs natifs (75 %). Ils révèlent surtout un paradoxe central : la compétence orale native ne garantit nullement la littératie dans la langue, la majorité des natifs n’ayant jamais été alphabétisés en éwégbé. Trois constats sont consensuels dans l’ensemble de l’échantillon : l’insuffisance du volume horaire, l’inadéquation du contenu de formation et l’absence quasi totale de manuels, de dictionnaires et d’œuvres littéraires. Ces éléments confirment l’hypothèse principale de l’étude selon laquelle les insuffisances en ressources humaines, matérielles, horaires et technologiques réduisent l’efficacité du dispositif et limitent la préparation des futurs enseignants à une didactique contextualisée. Le mémoire formule, en conséquence, un ensemble de recommandations hiérarchisées à l’intention du ministère de l’Éducation nationale, de l’INSE, des ENFPE et des formateurs.</w:t>
      </w:r>
    </w:p>
    <w:p/>
    <w:p>
      <w:pPr>
        <w:spacing w:after="120"/>
        <w:jc w:val="both"/>
      </w:pPr>
      <w:r>
        <w:rPr>
          <w:rFonts w:ascii="Times New Roman" w:hAnsi="Times New Roman"/>
          <w:b/>
          <w:i w:val="0"/>
          <w:sz w:val="24"/>
        </w:rPr>
        <w:t>Mots-clés : éwégbé, langues nationales, formation des enseignants, ENFPE, éducation bilingue, transposition didactique, insécurité linguistique, politique linguistique, Togo.</w:t>
      </w:r>
    </w:p>
    <w:p>
      <w:r>
        <w:br w:type="page"/>
      </w:r>
    </w:p>
    <w:p>
      <w:pPr>
        <w:spacing w:after="120"/>
        <w:jc w:val="center"/>
      </w:pPr>
      <w:r>
        <w:rPr>
          <w:rFonts w:ascii="Times New Roman" w:hAnsi="Times New Roman"/>
          <w:b/>
          <w:i w:val="0"/>
          <w:sz w:val="32"/>
        </w:rPr>
        <w:t>ABSTRACT</w:t>
      </w:r>
    </w:p>
    <w:p/>
    <w:p>
      <w:pPr>
        <w:spacing w:after="120"/>
        <w:ind w:firstLine="567"/>
        <w:jc w:val="both"/>
      </w:pPr>
      <w:r>
        <w:rPr>
          <w:rFonts w:ascii="Times New Roman" w:hAnsi="Times New Roman"/>
          <w:b w:val="0"/>
          <w:i w:val="0"/>
          <w:sz w:val="24"/>
        </w:rPr>
        <w:t>Fifty years after Ordinance No. 75-016 of 6 May 1975 introduced Ewe and Kabiye into formal schooling in Togo, teacher preparation for the teaching of these languages remains largely undocumented. This dissertation examines the degree of alignment between the Ewe language training provision in Togolese primary teacher training colleges (ENFPE) and the requirements of a bilingual education policy at primary level. Conducted at the ENFPE of Notsè during a three-month teaching practicum (16 March – 12 June 2026), the study relies on a mixed, predominantly qualitative design: a thirteen-item questionnaire administered to fifty final-year student teachers, interviews with two national-language tutors and classroom observations. Data were processed through a four-way sociolinguistic typology (non-speakers, uncategorised speakers, non-native speakers, native speakers) and analysed through Chevallard’s didactic transposition (1985), Cummins’s linguistic interdependence model (1981) and Bourdieu’s linguistic market theory (1982), supplemented by Moscovici’s social representations (1961).</w:t>
      </w:r>
    </w:p>
    <w:p>
      <w:pPr>
        <w:spacing w:after="120"/>
        <w:ind w:firstLine="567"/>
        <w:jc w:val="both"/>
      </w:pPr>
      <w:r>
        <w:rPr>
          <w:rFonts w:ascii="Times New Roman" w:hAnsi="Times New Roman"/>
          <w:b w:val="0"/>
          <w:i w:val="0"/>
          <w:sz w:val="24"/>
        </w:rPr>
        <w:t>Findings show that the dominant difficulty shifts with the learner’s sociolinguistic profile: lack of teaching materials prevails among non-speakers (85.7 %), whereas written language difficulties peak among native speakers (75 %). The study evidences a central paradox: native oral proficiency in no way guarantees literacy in the language, most native speakers never having been taught to read and write Ewe. Three findings are consensual across the whole sample: insufficient instructional time, inadequate curricular content and the near-total absence of textbooks, dictionaries and literary works. These results confirm the main hypothesis that shortfalls in human, material, temporal and technological resources reduce the effectiveness of the provision and limit student teachers’ preparation for a contextualised didactics. A set of prioritised recommendations is accordingly addressed to the Ministry of National Education, the INSE, the colleges and the tutors.</w:t>
      </w:r>
    </w:p>
    <w:p/>
    <w:p>
      <w:pPr>
        <w:spacing w:after="120"/>
        <w:jc w:val="both"/>
      </w:pPr>
      <w:r>
        <w:rPr>
          <w:rFonts w:ascii="Times New Roman" w:hAnsi="Times New Roman"/>
          <w:b/>
          <w:i w:val="0"/>
          <w:sz w:val="24"/>
        </w:rPr>
        <w:t>Keywords: Ewe, national languages, teacher education, ENFPE, bilingual education, didactic transposition, linguistic insecurity, language policy, Togo.</w:t>
      </w:r>
    </w:p>
    <w:p>
      <w:r>
        <w:br w:type="page"/>
      </w:r>
    </w:p>
    <w:p>
      <w:pPr>
        <w:pStyle w:val="Heading1"/>
        <w:jc w:val="left"/>
      </w:pPr>
      <w:r>
        <w:t>INTRODUCTION GÉNÉRALE</w:t>
      </w:r>
    </w:p>
    <w:p>
      <w:pPr>
        <w:spacing w:after="120"/>
        <w:ind w:firstLine="567"/>
        <w:jc w:val="both"/>
      </w:pPr>
      <w:r>
        <w:rPr>
          <w:rFonts w:ascii="Times New Roman" w:hAnsi="Times New Roman"/>
          <w:b w:val="0"/>
          <w:i w:val="0"/>
          <w:sz w:val="24"/>
        </w:rPr>
        <w:t>Après de longues années de mépris et de marginalisation des langues locales africaines de la part des puissances coloniales européennes, la majorité des nouveaux dirigeants africains, animés par un profond sentiment de nationalisme et par une prise de conscience nouvelle, n’ont pas manqué d’exprimer leur volonté de reconstruire et de revaloriser les patrimoines socioculturels africains. Ce fut le cas du président ghanéen Kwame Nkrumah qui, dès les premières heures de l’indépendance, exprima son vœu de créer les États-Unis d’Afrique. Ce fut également le cas de l’ancien président togolais Sylvanus Olympio qui, dès 1947, avait porté devant le Conseil des Nations unies la question de la réunification des peuples éwé dispersés par les frontières érigées par ces mêmes puissances coloniales, frontières qui mettaient à mal la cohésion de ces peuples.</w:t>
      </w:r>
    </w:p>
    <w:p>
      <w:pPr>
        <w:spacing w:after="120"/>
        <w:ind w:firstLine="567"/>
        <w:jc w:val="both"/>
      </w:pPr>
      <w:r>
        <w:rPr>
          <w:rFonts w:ascii="Times New Roman" w:hAnsi="Times New Roman"/>
          <w:b w:val="0"/>
          <w:i w:val="0"/>
          <w:sz w:val="24"/>
        </w:rPr>
        <w:t>La langue étant le principal vecteur de transmission des valeurs socioculturelles, la marginalisation linguistique subie pendant des décennies a conduit à une désorientation des sociétés africaines, en perte de vitesse et d’identité jusqu’à nos jours, entraînant même la disparition de certaines langues (Afeli, 2003 ; Prah, 2009) et consolidant ainsi l’hégémonie des langues secondes, en particulier celles des anciennes puissances colonisatrices, qui continuent de peser sur les identités locales par le biais de l’assimilation. Cette hégémonie ne relève pas seulement d’un héritage historique : elle se reconduit quotidiennement, dans les salles de classe, par le simple fait qu’une langue soit ou non enseignée, évaluée, certifiée et récompensée.</w:t>
      </w:r>
    </w:p>
    <w:p>
      <w:pPr>
        <w:pStyle w:val="Heading2"/>
        <w:jc w:val="left"/>
      </w:pPr>
      <w:r>
        <w:t>1. Le problème dans la littérature scientifique</w:t>
      </w:r>
    </w:p>
    <w:p>
      <w:pPr>
        <w:spacing w:after="120"/>
        <w:ind w:firstLine="567"/>
        <w:jc w:val="both"/>
      </w:pPr>
      <w:r>
        <w:rPr>
          <w:rFonts w:ascii="Times New Roman" w:hAnsi="Times New Roman"/>
          <w:b w:val="0"/>
          <w:i w:val="0"/>
          <w:sz w:val="24"/>
        </w:rPr>
        <w:t>Plusieurs auteurs ont abordé cette question. Bamgbose (1999), dans « African language development and language planning » (Social Dynamics, 25(1), 13-30), souligne l’écart récurrent entre les déclarations politiques favorables aux langues nationales et leur mise en œuvre effective dans les systèmes éducatifs. Il revient en 2000, dans Language and Exclusion: The Consequences of Language Policies in Africa (Münster/Hambourg/Londres, LIT Verlag), pour montrer combien le maintien des langues européennes comme seules langues de scolarisation avancée produit une exclusion linguistique structurelle, avant de plaider en faveur d’une éducation en langue maternelle comme levier d’inclusion et pour un renforcement de la volonté politique dans la mise en œuvre.</w:t>
      </w:r>
    </w:p>
    <w:p>
      <w:pPr>
        <w:spacing w:after="120"/>
        <w:ind w:firstLine="567"/>
        <w:jc w:val="both"/>
      </w:pPr>
      <w:r>
        <w:rPr>
          <w:rFonts w:ascii="Times New Roman" w:hAnsi="Times New Roman"/>
          <w:b w:val="0"/>
          <w:i w:val="0"/>
          <w:sz w:val="24"/>
        </w:rPr>
        <w:t>Ouane (dir., 1995), dans Vers une culture multilingue de l’éducation (Hambourg, Institut de l’UNESCO pour l’éducation), plaide également pour une transformation profonde des systèmes éducatifs africains afin qu’ils intègrent véritablement une « culture multilingue » plutôt qu’un simple aménagement cosmétique laissant les langues coloniales dominantes. Takougnadi Yoma (2024), dans son article « L’enseignement des langues nationales au Togo : nécessité de changer de paradigmes » (IOSR Journal of Humanities and Social Science, 29(12), 64-70), propose de rendre les langues nationales obligatoires, de créer un véritable corps d’enseignants et d’inspecteurs spécialisés, et d’officialiser les curricula et les manuels. Djité (2008), dans The Sociolinguistics of Development in Africa (Clevedon, Multilingual Matters), rejoint Bamgbose en pointant le fait que le maintien des langues coloniales comme seules langues d’enseignement dans tous les domaines constitue un frein au développement du continent africain.</w:t>
      </w:r>
    </w:p>
    <w:p>
      <w:pPr>
        <w:spacing w:after="120"/>
        <w:ind w:firstLine="567"/>
        <w:jc w:val="both"/>
      </w:pPr>
      <w:r>
        <w:rPr>
          <w:rFonts w:ascii="Times New Roman" w:hAnsi="Times New Roman"/>
          <w:b w:val="0"/>
          <w:i w:val="0"/>
          <w:sz w:val="24"/>
        </w:rPr>
        <w:t>Ces travaux convergent vers un même diagnostic : le problème africain des langues nationales n’est pas d’abord un problème de textes, mais un problème de mise en œuvre. Or, la mise en œuvre passe nécessairement par un maillon que la littérature francophone africaine a jusqu’ici très peu interrogé : la formation initiale des enseignants du primaire. C’est précisément ce maillon que le présent travail se propose d’examiner.</w:t>
      </w:r>
    </w:p>
    <w:p>
      <w:pPr>
        <w:pStyle w:val="Heading2"/>
        <w:jc w:val="left"/>
      </w:pPr>
      <w:r>
        <w:t>2. L’éwégbé dans l’histoire scolaire togolaise</w:t>
      </w:r>
    </w:p>
    <w:p>
      <w:pPr>
        <w:spacing w:after="120"/>
        <w:ind w:firstLine="567"/>
        <w:jc w:val="both"/>
      </w:pPr>
      <w:r>
        <w:rPr>
          <w:rFonts w:ascii="Times New Roman" w:hAnsi="Times New Roman"/>
          <w:b w:val="0"/>
          <w:i w:val="0"/>
          <w:sz w:val="24"/>
        </w:rPr>
        <w:t>Les efforts des Allemands en faveur de la promotion de l’éwégbé s’estompèrent rapidement après la perte du statut de protectorat allemand à l’issue de la Première Guerre mondiale et la mise du Togo sous tutelle française, la France ayant alors renoncé à l’enseignement de cette langue. C’est dans ce contexte de décolonisation culturelle et linguistique en Afrique, et de reconstruction des États postcoloniaux (Takougnadi Yoma, 2024, pp. 64-70), que le Togo, sous la présidence du général Eyadéma Gnassingbé, retint en 1974 l’éwégbé et le kabiyè comme langues nationales à enseigner dans les établissements primaires et secondaires du pays. Cette décision fut concrétisée par la réforme de 1975, promulguée le 6 mai 1975 par l’ordonnance n° 75-016.</w:t>
      </w:r>
    </w:p>
    <w:p>
      <w:pPr>
        <w:spacing w:after="120"/>
        <w:ind w:firstLine="567"/>
        <w:jc w:val="both"/>
      </w:pPr>
      <w:r>
        <w:rPr>
          <w:rFonts w:ascii="Times New Roman" w:hAnsi="Times New Roman"/>
          <w:b w:val="0"/>
          <w:i w:val="0"/>
          <w:sz w:val="24"/>
        </w:rPr>
        <w:t>En se référant à cette même réforme, Jacques Rongier a rappelé l’histoire de l’enseignement de la langue éwé au Togo à partir de 1894, en mettant l’accent sur le découpage selon lequel l’éwégbé devait être enseignée comme première langue dans le sud jusqu’à Blitta, et comme deuxième langue de Blitta à Dapaong. Il relève, dans le même document, qu’en mars 1978 des groupes de langues nationales avaient été constitués à la DIFOP (actuelle DPIP), celui du groupe éwé étant alors chargé des travaux nécessaires à l’enseignement de la langue, en particulier la confection des manuels et la formation des encadreurs et des enseignants.</w:t>
      </w:r>
    </w:p>
    <w:p>
      <w:pPr>
        <w:spacing w:after="120"/>
        <w:ind w:firstLine="567"/>
        <w:jc w:val="both"/>
      </w:pPr>
      <w:r>
        <w:rPr>
          <w:rFonts w:ascii="Times New Roman" w:hAnsi="Times New Roman"/>
          <w:b w:val="0"/>
          <w:i w:val="0"/>
          <w:sz w:val="24"/>
        </w:rPr>
        <w:t>Malgré cette volonté manifeste et les nombreuses tentatives de promotion et d’intégration des langues locales, tant sur le plan national qu’international — à l’instar de la conférence de l’UNESCO tenue à Alger en 1969, où il fut décidé que « les États africains promeuvent la réorientation du système éducatif afin d’intégrer les valeurs des cultures et civilisations africaines, car le système scolaire hérité de la colonisation produit des personnes mal préparées aux besoins et aux réalités des pays africains » (Djité, 2008, p. 49) —, l’enseignement de ces langues demeure un défi majeur dans les écoles togolaises. Dans le même ordre d’idées, une étude menée sur les politiques linguistiques des pays africains par Halaoui (2011), citée par Francis Apasu dans sa thèse de doctorat intitulée « Défis d’intégration effective des langues endogènes dans l’éducation formelle en Afrique : le cas de l’éwé au Sud du Togo » (2024, p. 2), révèle que la majorité des pays africains ne mettent en œuvre que des politiques linguistiques de « confirmation » et/ou de « modification » des langues coloniales, peu nombreux étant ceux qui adoptent des politiques d’« engagement ».</w:t>
      </w:r>
    </w:p>
    <w:p>
      <w:pPr>
        <w:pStyle w:val="Heading2"/>
        <w:jc w:val="left"/>
      </w:pPr>
      <w:r>
        <w:t>3. Le poids démographique et scriptural de l’éwégbé</w:t>
      </w:r>
    </w:p>
    <w:p>
      <w:pPr>
        <w:spacing w:after="120"/>
        <w:ind w:firstLine="567"/>
        <w:jc w:val="both"/>
      </w:pPr>
      <w:r>
        <w:rPr>
          <w:rFonts w:ascii="Times New Roman" w:hAnsi="Times New Roman"/>
          <w:b w:val="0"/>
          <w:i w:val="0"/>
          <w:sz w:val="24"/>
        </w:rPr>
        <w:t>Avec une population estimée à 8,685 millions d’habitants au 1er janvier 2026 selon l’Institut national de la statistique et des études économiques et démographiques (INSEED), lequel n’a publié aucun chiffre précis sur les locuteurs des différentes ethnies, et encore moins sur l’éwégbé, on peut néanmoins affirmer que cette langue est plus fortement implantée dans deux des régions les plus peuplées du Togo, à savoir la Maritime et les Plateaux. Il convient également de mentionner l’usage du guin-mina, l’une des variantes de l’éwégbé, qui tend naturellement à s’imposer comme langue véhiculaire dans la mesure où elle est parlée dans pratiquement toutes les régions du pays.</w:t>
      </w:r>
    </w:p>
    <w:p>
      <w:pPr>
        <w:spacing w:after="120"/>
        <w:ind w:firstLine="567"/>
        <w:jc w:val="both"/>
      </w:pPr>
      <w:r>
        <w:rPr>
          <w:rFonts w:ascii="Times New Roman" w:hAnsi="Times New Roman"/>
          <w:b w:val="0"/>
          <w:i w:val="0"/>
          <w:sz w:val="24"/>
        </w:rPr>
        <w:t>En outre, l’éwégbé était déjà utilisée comme langue d’enseignement par les missionnaires dans leurs écoles dès 1857 (Rongier), bien avant la naissance du Togo. On peut citer, à titre d’exemple, la parution en 1856, soit vingt-huit ans avant la naissance du Togo, du tout premier syllabaire en éwégbé de J. B. Schlegel, intitulé Aongla-Primer, suivi un an plus tard du premier livre de grammaire, intitulé Schlüssel zur Ewe-Sprache. La traduction et l’impression du Nouveau Testament eurent lieu la même année (1857).</w:t>
      </w:r>
    </w:p>
    <w:p>
      <w:pPr>
        <w:spacing w:after="120"/>
        <w:ind w:firstLine="567"/>
        <w:jc w:val="both"/>
      </w:pPr>
      <w:r>
        <w:rPr>
          <w:rFonts w:ascii="Times New Roman" w:hAnsi="Times New Roman"/>
          <w:b w:val="0"/>
          <w:i w:val="0"/>
          <w:sz w:val="24"/>
        </w:rPr>
        <w:t>Il convient également de noter que le choix de la variété anlo (Aŋlɔ) comme éwégbé standard ne fut pas anodin : il s’explique par l’avancement des travaux déjà réalisés dans cette variété. Le Père E. Riebstein publia à son tour une grammaire intitulée Éléments de grammaire éwée, ainsi qu’un dictionnaire, Vocabulaire de la langue éwé, 1re partie : éwé-français, en 1923, suivi d’un second volume, Français-éwé, 2e partie, en 1926. Autrement dit, l’éwégbé ne souffre ni d’un déficit de locuteurs, ni d’un déficit d’ancienneté scripturale : elle dispose d’une tradition écrite plus ancienne que l’État togolais lui-même. Ce constat rend d’autant plus problématique la situation actuelle de son enseignement.</w:t>
      </w:r>
    </w:p>
    <w:p>
      <w:pPr>
        <w:pStyle w:val="Heading2"/>
        <w:jc w:val="left"/>
      </w:pPr>
      <w:r>
        <w:t>4. Un constat de terrain persistant</w:t>
      </w:r>
    </w:p>
    <w:p>
      <w:pPr>
        <w:spacing w:after="120"/>
        <w:ind w:firstLine="567"/>
        <w:jc w:val="both"/>
      </w:pPr>
      <w:r>
        <w:rPr>
          <w:rFonts w:ascii="Times New Roman" w:hAnsi="Times New Roman"/>
          <w:b w:val="0"/>
          <w:i w:val="0"/>
          <w:sz w:val="24"/>
        </w:rPr>
        <w:t>De nos jours, un accent particulier est mis sur l’enseignement des langues nationales, dont l’éwégbé, dans les écoles normales de formation des enseignants, notamment du préscolaire et du primaire. Ce choix s’inscrit dans une logique de valorisation des langues locales, en vue de favoriser une meilleure compréhension des apprentissages chez les apprenants. C’est dans cette perspective que, pour la première fois ou du moins l’une des rares fois, le concours de recrutement des professeurs d’école normale de formation des professeurs d’école, lancé en 2024 par l’arrêté interministériel n° 003/MEPST/MFPTDS du 15 mai 2024, accordait une place aux langues nationales.</w:t>
      </w:r>
    </w:p>
    <w:p>
      <w:pPr>
        <w:spacing w:after="120"/>
        <w:ind w:firstLine="567"/>
        <w:jc w:val="both"/>
      </w:pPr>
      <w:r>
        <w:rPr>
          <w:rFonts w:ascii="Times New Roman" w:hAnsi="Times New Roman"/>
          <w:b w:val="0"/>
          <w:i w:val="0"/>
          <w:sz w:val="24"/>
        </w:rPr>
        <w:t>Avant même l’observation scientifique des aspects précités, le constat demeure clair sur l’ensemble du territoire national : malgré la reconnaissance de l’éwégbé depuis 1974 comme langue nationale à enseigner au primaire et au secondaire, cette langue peine encore à s’imposer dans la pratique. Son enseignement demeure un défi majeur dans les établissements scolaires, pour plusieurs raisons parmi lesquelles le manque de volonté politique, la pénurie d’enseignants, les tensions interethniques, et d’autres facteurs que la recherche n’a pas encore identifiés avec précision.</w:t>
      </w:r>
    </w:p>
    <w:p>
      <w:pPr>
        <w:spacing w:after="120"/>
        <w:ind w:firstLine="567"/>
        <w:jc w:val="both"/>
      </w:pPr>
      <w:r>
        <w:rPr>
          <w:rFonts w:ascii="Times New Roman" w:hAnsi="Times New Roman"/>
          <w:b w:val="0"/>
          <w:i w:val="0"/>
          <w:sz w:val="24"/>
        </w:rPr>
        <w:t>Il convient toutefois de noter que, malgré cette volonté institutionnelle, l’enseignement-apprentissage des langues nationales dont l’éwégbé dans les écoles normales, qui fait l’objet de notre travail, nous paraît confronté à d’importants défis, relatifs notamment au manque criant de supports didactiques, à la formation des formateurs et à l’adaptation des méthodes pédagogiques.</w:t>
      </w:r>
    </w:p>
    <w:p>
      <w:pPr>
        <w:pStyle w:val="Heading2"/>
        <w:jc w:val="left"/>
      </w:pPr>
      <w:r>
        <w:t>5. Question de départ, objectifs et hypothèse</w:t>
      </w:r>
    </w:p>
    <w:p>
      <w:pPr>
        <w:spacing w:after="120"/>
        <w:ind w:firstLine="567"/>
        <w:jc w:val="both"/>
      </w:pPr>
      <w:r>
        <w:rPr>
          <w:rFonts w:ascii="Times New Roman" w:hAnsi="Times New Roman"/>
          <w:b w:val="0"/>
          <w:i w:val="0"/>
          <w:sz w:val="24"/>
        </w:rPr>
        <w:t>C’est ainsi que se pose la question suivante : dans quelle mesure le dispositif d’enseignement-apprentissage de l’éwégbé dans les écoles de formation des professeurs d’école au Togo, dont celle de Notsè, est-il efficace pour assurer aux futurs enseignants une formation adéquate dans cette langue ?</w:t>
      </w:r>
    </w:p>
    <w:p>
      <w:pPr>
        <w:spacing w:after="120"/>
        <w:ind w:firstLine="567"/>
        <w:jc w:val="both"/>
      </w:pPr>
      <w:r>
        <w:rPr>
          <w:rFonts w:ascii="Times New Roman" w:hAnsi="Times New Roman"/>
          <w:b w:val="0"/>
          <w:i w:val="0"/>
          <w:sz w:val="24"/>
        </w:rPr>
        <w:t>L’objectif général de notre étude est donc d’analyser le dispositif d’enseignement-apprentissage de l’éwégbé à l’ENFPE de Notsè. Il s’agira, plus spécifiquement, de décrire ce dispositif, d’en identifier les forces et les faiblesses, d’évaluer les pratiques pédagogiques qui y sont mises en œuvre et de proposer des pistes d’amélioration. Pour atteindre ces objectifs, nous avons formulé l’hypothèse selon laquelle le dispositif actuel présente des insuffisances qui limitent la qualité et l’efficacité de la formation des futurs enseignants.</w:t>
      </w:r>
    </w:p>
    <w:p>
      <w:pPr>
        <w:spacing w:after="120"/>
        <w:ind w:firstLine="567"/>
        <w:jc w:val="both"/>
      </w:pPr>
      <w:r>
        <w:rPr>
          <w:rFonts w:ascii="Times New Roman" w:hAnsi="Times New Roman"/>
          <w:b w:val="0"/>
          <w:i w:val="0"/>
          <w:sz w:val="24"/>
        </w:rPr>
        <w:t>Notre recherche repose sur une approche mixte, combinant des techniques quantitatives et qualitatives, à travers des questionnaires, des entretiens et des observations de terrain. Ce travail devrait permettre, d’une part, d’apporter une contribution à la réflexion scientifique sur la didactique de nos langues, dont l’éwégbé, et, d’autre part, sur le plan pratique, d’améliorer la qualité de la formation des futurs enseignants et, par ricochet, l’efficacité du système éducatif de notre pays.</w:t>
      </w:r>
    </w:p>
    <w:p>
      <w:pPr>
        <w:pStyle w:val="Heading2"/>
        <w:jc w:val="left"/>
      </w:pPr>
      <w:r>
        <w:t>6. Annonce du plan</w:t>
      </w:r>
    </w:p>
    <w:p>
      <w:pPr>
        <w:spacing w:after="120"/>
        <w:ind w:firstLine="567"/>
        <w:jc w:val="both"/>
      </w:pPr>
      <w:r>
        <w:rPr>
          <w:rFonts w:ascii="Times New Roman" w:hAnsi="Times New Roman"/>
          <w:b w:val="0"/>
          <w:i w:val="0"/>
          <w:sz w:val="24"/>
        </w:rPr>
        <w:t>Le présent mémoire est structuré en cinq chapitres. Le premier porte sur le cadre du stage, les activités réalisées, les acquis professionnels et les difficultés rencontrées ; il constitue le socle empirique à partir duquel le problème a émergé. Le deuxième est consacré à la construction du problème de recherche : contexte, justification, énoncé du problème, questions, hypothèses et objectifs. Le troisième aborde l’approche théorique et méthodologique, en présentant l’état de la question, le cadre conceptuel, les trois théories de référence et la démarche de collecte et de traitement des données. Le quatrième présente, analyse, interprète et discute les résultats : c’est le cœur du travail, organisé de manière à ce que chaque tableau soit rapporté explicitement à la question, à l’objectif et à l’hypothèse qu’il documente. Le cinquième et dernier chapitre traite de la contribution professionnelle de la présente recherche et formule les recommandations qui en découlent.</w:t>
      </w:r>
    </w:p>
    <w:p>
      <w:r>
        <w:br w:type="page"/>
      </w:r>
    </w:p>
    <w:p>
      <w:pPr>
        <w:pStyle w:val="Heading1"/>
        <w:jc w:val="left"/>
      </w:pPr>
      <w:r>
        <w:t>CHAPITRE 1 : CADRE DU STAGE, ACTIVITÉS RÉALISÉES, ACQUIS PROFESSIONNELS ET DIFFICULTÉS RENCONTRÉES</w:t>
      </w:r>
    </w:p>
    <w:p>
      <w:pPr>
        <w:spacing w:after="120"/>
        <w:ind w:firstLine="567"/>
        <w:jc w:val="both"/>
      </w:pPr>
      <w:r>
        <w:rPr>
          <w:rFonts w:ascii="Times New Roman" w:hAnsi="Times New Roman"/>
          <w:b w:val="0"/>
          <w:i w:val="0"/>
          <w:sz w:val="24"/>
        </w:rPr>
        <w:t>Ce premier chapitre rend compte du terrain à partir duquel la présente recherche a été conçue. Il ne s’agit pas d’un simple rapport administratif : les activités décrites ici constituent la source directe du problème de recherche exposé au chapitre 2. C’est en corrigeant des copies, en conduisant des séances de remédiation, en dispensant des cours d’éwégbé et en suivant des élèves-professeurs d’école sur leurs lieux de stage que les dysfonctionnements du dispositif se sont imposés à l’observation. Le chapitre est organisé en cinq sections : le cadre du stage, les activités réalisées, les acquis professionnels, les difficultés rencontrées et leur analyse, puis les suggestions.</w:t>
      </w:r>
    </w:p>
    <w:p>
      <w:pPr>
        <w:pStyle w:val="Heading2"/>
        <w:jc w:val="left"/>
      </w:pPr>
      <w:r>
        <w:t>1.1. Cadre du stage</w:t>
      </w:r>
    </w:p>
    <w:p>
      <w:pPr>
        <w:pStyle w:val="Heading3"/>
        <w:jc w:val="left"/>
      </w:pPr>
      <w:r>
        <w:t>1.1.1. Justification et objectifs du stage</w:t>
      </w:r>
    </w:p>
    <w:p>
      <w:pPr>
        <w:spacing w:after="120"/>
        <w:ind w:firstLine="567"/>
        <w:jc w:val="both"/>
      </w:pPr>
      <w:r>
        <w:rPr>
          <w:rFonts w:ascii="Times New Roman" w:hAnsi="Times New Roman"/>
          <w:b w:val="0"/>
          <w:i w:val="0"/>
          <w:sz w:val="24"/>
        </w:rPr>
        <w:t>Dans le cadre de la formation initiale des élèves-professeurs d’école des ENFPE, il est prévu, après le stage d’imprégnation et la validation des unités d’enseignement des semestres 1, 2 et 3, un stage en responsabilité dans l’une des sept écoles normales de formation des professeurs d’école du Togo. Faisant partie intégrante du curriculum de formation et constituant une unité d’enseignement de spécialité, ce stage a pour objectif de placer les élèves-professeurs dans les conditions réelles de l’exercice progressif de leur futur métier.</w:t>
      </w:r>
    </w:p>
    <w:p>
      <w:pPr>
        <w:spacing w:after="120"/>
        <w:ind w:firstLine="567"/>
        <w:jc w:val="both"/>
      </w:pPr>
      <w:r>
        <w:rPr>
          <w:rFonts w:ascii="Times New Roman" w:hAnsi="Times New Roman"/>
          <w:b w:val="0"/>
          <w:i w:val="0"/>
          <w:sz w:val="24"/>
        </w:rPr>
        <w:t>Il s’agit plus spécifiquement, pour les stagiaires, d’observer et de mener des pratiques de classe, de participer à l’organisation, à l’encadrement et à l’accompagnement des élèves-professeurs d’école lors des stages, de prendre part au processus d’évaluation des EPE, et de s’approprier l’organisation administrative et pédagogique des ENFPE. Ce stage permet en outre de faire ressortir les interrogations que suscitent ces réalités et d’en discuter avec les encadreurs, afin d’obtenir des réponses, des explications ou des justifications claires pour chacune d’elles. Il se justifie ainsi par les principes de l’alternance et d’une formation professionnalisante.</w:t>
      </w:r>
    </w:p>
    <w:p>
      <w:pPr>
        <w:spacing w:after="120"/>
        <w:ind w:firstLine="567"/>
        <w:jc w:val="both"/>
      </w:pPr>
      <w:r>
        <w:rPr>
          <w:rFonts w:ascii="Times New Roman" w:hAnsi="Times New Roman"/>
          <w:b w:val="0"/>
          <w:i w:val="0"/>
          <w:sz w:val="24"/>
        </w:rPr>
        <w:t>C’est dans ce cadre que nous, élèves-professeurs d’école normale de formation des professeurs d’école, placés sous l’encadrement des professeurs titulaires, du directeur de l’ENFPE de Notsè et de son adjoint chargé des études (DACE), et sous la supervision du directeur des ressources humaines (DRH) et du directeur de l’Institut national des sciences de l’éducation (INSE), avons effectué un stage en responsabilité du lundi 16 mars au vendredi 12 juin 2026 à l’ENFPE de Notsè, chef-lieu de la préfecture de Haho.</w:t>
      </w:r>
    </w:p>
    <w:p>
      <w:pPr>
        <w:pStyle w:val="Heading3"/>
        <w:jc w:val="left"/>
      </w:pPr>
      <w:r>
        <w:t>1.1.2. Présentation de la structure d’accueil</w:t>
      </w:r>
    </w:p>
    <w:p>
      <w:pPr>
        <w:spacing w:after="120"/>
        <w:ind w:firstLine="567"/>
        <w:jc w:val="both"/>
      </w:pPr>
      <w:r>
        <w:rPr>
          <w:rFonts w:ascii="Times New Roman" w:hAnsi="Times New Roman"/>
          <w:b w:val="0"/>
          <w:i w:val="0"/>
          <w:sz w:val="24"/>
        </w:rPr>
        <w:t>Située dans la préfecture de Haho, dans le canton de Notsè, et plus précisément à l’entrée sud de la ville au bord de la route nationale n° 1, l’École normale de formation des professeurs d’école de Notsè est l’un des tout premiers centres de formation des enseignants du primaire au Togo, connu à l’origine sous l’appellation d’École normale d’instituteurs (ENI) de Notsè. Construite avec le concours financier de la Banque mondiale et réceptionnée en 1983, elle a ouvert ses portes en janvier 1984 et a d’abord servi de cadre à l’enseignement du troisième degré (lycée), avant d’offrir des formations initiales et continues à des milliers de professionnels du secteur de l’éducation nationale.</w:t>
      </w:r>
    </w:p>
    <w:p>
      <w:pPr>
        <w:spacing w:after="120"/>
        <w:ind w:firstLine="567"/>
        <w:jc w:val="both"/>
      </w:pPr>
      <w:r>
        <w:rPr>
          <w:rFonts w:ascii="Times New Roman" w:hAnsi="Times New Roman"/>
          <w:b w:val="0"/>
          <w:i w:val="0"/>
          <w:sz w:val="24"/>
        </w:rPr>
        <w:t>Elle a pris, en 2022, la dénomination d’École normale de formation des professeurs d’école (ENFPE) de Notsè, par l’arrêté interministériel n° 009/MEPSTA/MFPTDS/MEF du 4 novembre de la même année, à la suite des réformes menées dans ce secteur. Ce centre de formation, dirigé par MM. Adanglo Kouami et Eza Agbéko Kossi, respectivement directeur et directeur adjoint chargé des études (DACE), dispose aujourd’hui d’un personnel réparti comme suit :</w:t>
      </w:r>
    </w:p>
    <w:p>
      <w:pPr>
        <w:keepNext/>
        <w:spacing w:before="200" w:after="80"/>
        <w:jc w:val="left"/>
      </w:pPr>
      <w:r>
        <w:rPr>
          <w:rFonts w:ascii="Times New Roman" w:hAnsi="Times New Roman"/>
          <w:b/>
          <w:sz w:val="22"/>
        </w:rPr>
        <w:t>Tableau 1 : Répartition du personnel de l’ENFPE de Notsè selon le statut et le sexe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3685"/>
            <w:shd w:val="clear" w:color="auto" w:fill="D9E2F3"/>
          </w:tcPr>
          <w:p>
            <w:pPr>
              <w:spacing w:after="40" w:before="40" w:line="240" w:lineRule="auto"/>
              <w:jc w:val="center"/>
            </w:pPr>
            <w:r/>
            <w:r>
              <w:rPr>
                <w:rFonts w:ascii="Times New Roman" w:hAnsi="Times New Roman"/>
                <w:b/>
                <w:sz w:val="21"/>
              </w:rPr>
              <w:t>STATUT</w:t>
            </w:r>
          </w:p>
        </w:tc>
        <w:tc>
          <w:tcPr>
            <w:tcW w:type="dxa" w:w="1701"/>
            <w:shd w:val="clear" w:color="auto" w:fill="D9E2F3"/>
          </w:tcPr>
          <w:p>
            <w:pPr>
              <w:spacing w:after="40" w:before="40" w:line="240" w:lineRule="auto"/>
              <w:jc w:val="center"/>
            </w:pPr>
            <w:r/>
            <w:r>
              <w:rPr>
                <w:rFonts w:ascii="Times New Roman" w:hAnsi="Times New Roman"/>
                <w:b/>
                <w:sz w:val="21"/>
              </w:rPr>
              <w:t>HOMME</w:t>
            </w:r>
          </w:p>
        </w:tc>
        <w:tc>
          <w:tcPr>
            <w:tcW w:type="dxa" w:w="1701"/>
            <w:shd w:val="clear" w:color="auto" w:fill="D9E2F3"/>
          </w:tcPr>
          <w:p>
            <w:pPr>
              <w:spacing w:after="40" w:before="40" w:line="240" w:lineRule="auto"/>
              <w:jc w:val="center"/>
            </w:pPr>
            <w:r/>
            <w:r>
              <w:rPr>
                <w:rFonts w:ascii="Times New Roman" w:hAnsi="Times New Roman"/>
                <w:b/>
                <w:sz w:val="21"/>
              </w:rPr>
              <w:t>FEMME</w:t>
            </w:r>
          </w:p>
        </w:tc>
        <w:tc>
          <w:tcPr>
            <w:tcW w:type="dxa" w:w="1701"/>
            <w:shd w:val="clear" w:color="auto" w:fill="D9E2F3"/>
          </w:tcPr>
          <w:p>
            <w:pPr>
              <w:spacing w:after="40" w:before="40" w:line="240" w:lineRule="auto"/>
              <w:jc w:val="center"/>
            </w:pPr>
            <w:r/>
            <w:r>
              <w:rPr>
                <w:rFonts w:ascii="Times New Roman" w:hAnsi="Times New Roman"/>
                <w:b/>
                <w:sz w:val="21"/>
              </w:rPr>
              <w:t>TOTAL</w:t>
            </w:r>
          </w:p>
        </w:tc>
      </w:tr>
      <w:tr>
        <w:tc>
          <w:tcPr>
            <w:tcW w:type="dxa" w:w="3685"/>
          </w:tcPr>
          <w:p>
            <w:pPr>
              <w:spacing w:after="40" w:before="40" w:line="240" w:lineRule="auto"/>
              <w:jc w:val="left"/>
            </w:pPr>
            <w:r/>
            <w:r>
              <w:rPr>
                <w:rFonts w:ascii="Times New Roman" w:hAnsi="Times New Roman"/>
                <w:b w:val="0"/>
                <w:sz w:val="21"/>
              </w:rPr>
              <w:t>Personnel administratif</w:t>
            </w:r>
          </w:p>
        </w:tc>
        <w:tc>
          <w:tcPr>
            <w:tcW w:type="dxa" w:w="1701"/>
          </w:tcPr>
          <w:p>
            <w:pPr>
              <w:spacing w:after="40" w:before="40" w:line="240" w:lineRule="auto"/>
              <w:jc w:val="center"/>
            </w:pPr>
            <w:r/>
            <w:r>
              <w:rPr>
                <w:rFonts w:ascii="Times New Roman" w:hAnsi="Times New Roman"/>
                <w:b w:val="0"/>
                <w:sz w:val="21"/>
              </w:rPr>
              <w:t>09</w:t>
            </w:r>
          </w:p>
        </w:tc>
        <w:tc>
          <w:tcPr>
            <w:tcW w:type="dxa" w:w="1701"/>
          </w:tcPr>
          <w:p>
            <w:pPr>
              <w:spacing w:after="40" w:before="40" w:line="240" w:lineRule="auto"/>
              <w:jc w:val="center"/>
            </w:pPr>
            <w:r/>
            <w:r>
              <w:rPr>
                <w:rFonts w:ascii="Times New Roman" w:hAnsi="Times New Roman"/>
                <w:b w:val="0"/>
                <w:sz w:val="21"/>
              </w:rPr>
              <w:t>02</w:t>
            </w:r>
          </w:p>
        </w:tc>
        <w:tc>
          <w:tcPr>
            <w:tcW w:type="dxa" w:w="1701"/>
          </w:tcPr>
          <w:p>
            <w:pPr>
              <w:spacing w:after="40" w:before="40" w:line="240" w:lineRule="auto"/>
              <w:jc w:val="center"/>
            </w:pPr>
            <w:r/>
            <w:r>
              <w:rPr>
                <w:rFonts w:ascii="Times New Roman" w:hAnsi="Times New Roman"/>
                <w:b w:val="0"/>
                <w:sz w:val="21"/>
              </w:rPr>
              <w:t>11</w:t>
            </w:r>
          </w:p>
        </w:tc>
      </w:tr>
      <w:tr>
        <w:tc>
          <w:tcPr>
            <w:tcW w:type="dxa" w:w="3685"/>
          </w:tcPr>
          <w:p>
            <w:pPr>
              <w:spacing w:after="40" w:before="40" w:line="240" w:lineRule="auto"/>
              <w:jc w:val="left"/>
            </w:pPr>
            <w:r/>
            <w:r>
              <w:rPr>
                <w:rFonts w:ascii="Times New Roman" w:hAnsi="Times New Roman"/>
                <w:b w:val="0"/>
                <w:sz w:val="21"/>
              </w:rPr>
              <w:t>Professeur titulaire (PENI)</w:t>
            </w:r>
          </w:p>
        </w:tc>
        <w:tc>
          <w:tcPr>
            <w:tcW w:type="dxa" w:w="1701"/>
          </w:tcPr>
          <w:p>
            <w:pPr>
              <w:spacing w:after="40" w:before="40" w:line="240" w:lineRule="auto"/>
              <w:jc w:val="center"/>
            </w:pPr>
            <w:r/>
            <w:r>
              <w:rPr>
                <w:rFonts w:ascii="Times New Roman" w:hAnsi="Times New Roman"/>
                <w:b w:val="0"/>
                <w:sz w:val="21"/>
              </w:rPr>
              <w:t>12</w:t>
            </w:r>
          </w:p>
        </w:tc>
        <w:tc>
          <w:tcPr>
            <w:tcW w:type="dxa" w:w="1701"/>
          </w:tcPr>
          <w:p>
            <w:pPr>
              <w:spacing w:after="40" w:before="40" w:line="240" w:lineRule="auto"/>
              <w:jc w:val="center"/>
            </w:pPr>
            <w:r/>
            <w:r>
              <w:rPr>
                <w:rFonts w:ascii="Times New Roman" w:hAnsi="Times New Roman"/>
                <w:b w:val="0"/>
                <w:sz w:val="21"/>
              </w:rPr>
              <w:t>01</w:t>
            </w:r>
          </w:p>
        </w:tc>
        <w:tc>
          <w:tcPr>
            <w:tcW w:type="dxa" w:w="1701"/>
          </w:tcPr>
          <w:p>
            <w:pPr>
              <w:spacing w:after="40" w:before="40" w:line="240" w:lineRule="auto"/>
              <w:jc w:val="center"/>
            </w:pPr>
            <w:r/>
            <w:r>
              <w:rPr>
                <w:rFonts w:ascii="Times New Roman" w:hAnsi="Times New Roman"/>
                <w:b w:val="0"/>
                <w:sz w:val="21"/>
              </w:rPr>
              <w:t>13</w:t>
            </w:r>
          </w:p>
        </w:tc>
      </w:tr>
      <w:tr>
        <w:tc>
          <w:tcPr>
            <w:tcW w:type="dxa" w:w="3685"/>
          </w:tcPr>
          <w:p>
            <w:pPr>
              <w:spacing w:after="40" w:before="40" w:line="240" w:lineRule="auto"/>
              <w:jc w:val="left"/>
            </w:pPr>
            <w:r/>
            <w:r>
              <w:rPr>
                <w:rFonts w:ascii="Times New Roman" w:hAnsi="Times New Roman"/>
                <w:b w:val="0"/>
                <w:sz w:val="21"/>
              </w:rPr>
              <w:t>Professeur associé</w:t>
            </w:r>
          </w:p>
        </w:tc>
        <w:tc>
          <w:tcPr>
            <w:tcW w:type="dxa" w:w="1701"/>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00</w:t>
            </w:r>
          </w:p>
        </w:tc>
        <w:tc>
          <w:tcPr>
            <w:tcW w:type="dxa" w:w="1701"/>
          </w:tcPr>
          <w:p>
            <w:pPr>
              <w:spacing w:after="40" w:before="40" w:line="240" w:lineRule="auto"/>
              <w:jc w:val="center"/>
            </w:pPr>
            <w:r/>
            <w:r>
              <w:rPr>
                <w:rFonts w:ascii="Times New Roman" w:hAnsi="Times New Roman"/>
                <w:b w:val="0"/>
                <w:sz w:val="21"/>
              </w:rPr>
              <w:t>07</w:t>
            </w:r>
          </w:p>
        </w:tc>
      </w:tr>
      <w:tr>
        <w:tc>
          <w:tcPr>
            <w:tcW w:type="dxa" w:w="3685"/>
          </w:tcPr>
          <w:p>
            <w:pPr>
              <w:spacing w:after="40" w:before="40" w:line="240" w:lineRule="auto"/>
              <w:jc w:val="left"/>
            </w:pPr>
            <w:r/>
            <w:r>
              <w:rPr>
                <w:rFonts w:ascii="Times New Roman" w:hAnsi="Times New Roman"/>
                <w:b w:val="0"/>
                <w:sz w:val="21"/>
              </w:rPr>
              <w:t>Total</w:t>
            </w:r>
          </w:p>
        </w:tc>
        <w:tc>
          <w:tcPr>
            <w:tcW w:type="dxa" w:w="1701"/>
          </w:tcPr>
          <w:p>
            <w:pPr>
              <w:spacing w:after="40" w:before="40" w:line="240" w:lineRule="auto"/>
              <w:jc w:val="center"/>
            </w:pPr>
            <w:r/>
            <w:r>
              <w:rPr>
                <w:rFonts w:ascii="Times New Roman" w:hAnsi="Times New Roman"/>
                <w:b w:val="0"/>
                <w:sz w:val="21"/>
              </w:rPr>
              <w:t>28</w:t>
            </w:r>
          </w:p>
        </w:tc>
        <w:tc>
          <w:tcPr>
            <w:tcW w:type="dxa" w:w="1701"/>
          </w:tcPr>
          <w:p>
            <w:pPr>
              <w:spacing w:after="40" w:before="40" w:line="240" w:lineRule="auto"/>
              <w:jc w:val="center"/>
            </w:pPr>
            <w:r/>
            <w:r>
              <w:rPr>
                <w:rFonts w:ascii="Times New Roman" w:hAnsi="Times New Roman"/>
                <w:b w:val="0"/>
                <w:sz w:val="21"/>
              </w:rPr>
              <w:t>03</w:t>
            </w:r>
          </w:p>
        </w:tc>
        <w:tc>
          <w:tcPr>
            <w:tcW w:type="dxa" w:w="1701"/>
          </w:tcPr>
          <w:p>
            <w:pPr>
              <w:spacing w:after="40" w:before="40" w:line="240" w:lineRule="auto"/>
              <w:jc w:val="center"/>
            </w:pPr>
            <w:r/>
            <w:r>
              <w:rPr>
                <w:rFonts w:ascii="Times New Roman" w:hAnsi="Times New Roman"/>
                <w:b w:val="0"/>
                <w:sz w:val="21"/>
              </w:rPr>
              <w:t>31</w:t>
            </w:r>
          </w:p>
        </w:tc>
      </w:tr>
    </w:tbl>
    <w:p>
      <w:pPr>
        <w:spacing w:after="0"/>
      </w:pPr>
    </w:p>
    <w:p>
      <w:pPr>
        <w:spacing w:after="200"/>
        <w:jc w:val="left"/>
      </w:pPr>
      <w:r>
        <w:rPr>
          <w:rFonts w:ascii="Times New Roman" w:hAnsi="Times New Roman"/>
          <w:i/>
          <w:sz w:val="20"/>
        </w:rPr>
        <w:t>Source : administration de l’ENFPE de Notsè, mars 2026.</w:t>
      </w:r>
    </w:p>
    <w:p>
      <w:pPr>
        <w:spacing w:after="120"/>
        <w:ind w:firstLine="567"/>
        <w:jc w:val="both"/>
      </w:pPr>
      <w:r>
        <w:rPr>
          <w:rFonts w:ascii="Times New Roman" w:hAnsi="Times New Roman"/>
          <w:b w:val="0"/>
          <w:i w:val="0"/>
          <w:sz w:val="24"/>
        </w:rPr>
        <w:t>Ce tableau appelle deux remarques qui pèseront sur l’ensemble de notre analyse. D’une part, la répartition par sexe est fortement déséquilibrée : trois femmes seulement pour vingt-huit hommes, soit 9,7 % de l’effectif total. D’autre part, et c’est le point déterminant pour notre objet, ces trente et une personnes encadrent une double cohorte d’environ sept cents élèves-professeurs d’école. Or, comme nous le verrons, l’enseignement de chacune des deux langues nationales y repose sur un seul et unique formateur. Ce rapport numérique constitue déjà, en soi, un élément de réponse à notre première question secondaire relative à la suffisance des ressources humaines.</w:t>
      </w:r>
    </w:p>
    <w:p>
      <w:pPr>
        <w:pStyle w:val="Heading2"/>
        <w:jc w:val="left"/>
      </w:pPr>
      <w:r>
        <w:t>1.2. Activités réalisées</w:t>
      </w:r>
    </w:p>
    <w:p>
      <w:pPr>
        <w:pStyle w:val="Heading3"/>
        <w:jc w:val="left"/>
      </w:pPr>
      <w:r>
        <w:t>1.2.1. Correction, délibération et remédiation</w:t>
      </w:r>
    </w:p>
    <w:p>
      <w:pPr>
        <w:spacing w:after="120"/>
        <w:ind w:firstLine="567"/>
        <w:jc w:val="both"/>
      </w:pPr>
      <w:r>
        <w:rPr>
          <w:rFonts w:ascii="Times New Roman" w:hAnsi="Times New Roman"/>
          <w:b w:val="0"/>
          <w:i w:val="0"/>
          <w:sz w:val="24"/>
        </w:rPr>
        <w:t>Au cours de ce stage, nous avons mené une multitude d’activités relevant de notre nouvelle fonction et concourant au perfectionnement de nos aptitudes professionnelles. Nous pouvons notamment mentionner la correction des copies de l’évaluation du semestre 1 pour la promotion 4. Cette évaluation ayant eu lieu la semaine précédant notre arrivée et la délibération étant prévue pour les 26, 27 et 28 mars, nous avons, dès le premier jour du stage, travaillé sans relâche avec les titulaires encadrants des différentes spécialités afin de respecter le délai imparti.</w:t>
      </w:r>
    </w:p>
    <w:p>
      <w:pPr>
        <w:spacing w:after="120"/>
        <w:ind w:firstLine="567"/>
        <w:jc w:val="both"/>
      </w:pPr>
      <w:r>
        <w:rPr>
          <w:rFonts w:ascii="Times New Roman" w:hAnsi="Times New Roman"/>
          <w:b w:val="0"/>
          <w:i w:val="0"/>
          <w:sz w:val="24"/>
        </w:rPr>
        <w:t>Les travaux de correction se sont achevés le deuxième jour à midi pour la sous-commission Langues nationales à laquelle nous appartenions. Après l’analyse des pourcentages par notion évaluée, les séances de remédiation ont débuté l’après-midi même, de 14 h 30 à 16 h 30, dans l’amphithéâtre de l’ENFPE, regroupant les groupes-classes 1, 2 et 3 sous la conduite de MM. Bidadjou Palakimwé et Atila Komi Agboh, respectivement titulaires de l’UE Langues nationales (kabiyè et éwé). Le troisième jour a d’abord été marqué, en matinée, par un entretien portant sur l’activité menée la veille avec les collègues des spécialités EPS, musique et anglais. Nous avons également assisté, avec l’ensemble des formateurs, à une séance de travail portant sur l’analyse des difficultés rencontrées au cours du stage pratique accompagné 1 de la promotion 4.</w:t>
      </w:r>
    </w:p>
    <w:p>
      <w:pPr>
        <w:keepNext/>
        <w:spacing w:before="200" w:after="80"/>
        <w:jc w:val="left"/>
      </w:pPr>
      <w:r>
        <w:rPr>
          <w:rFonts w:ascii="Times New Roman" w:hAnsi="Times New Roman"/>
          <w:b/>
          <w:sz w:val="22"/>
        </w:rPr>
        <w:t>Tableau 2 : Analyse des difficultés du stage de pratique accompagnée 1 de la promotion 4</w:t>
      </w:r>
    </w:p>
    <w:p>
      <w:pPr>
        <w:spacing w:after="120"/>
        <w:ind w:firstLine="567"/>
        <w:jc w:val="both"/>
      </w:pPr>
      <w:r>
        <w:rPr>
          <w:rFonts w:ascii="Times New Roman" w:hAnsi="Times New Roman"/>
          <w:b w:val="0"/>
          <w:i/>
          <w:sz w:val="22"/>
        </w:rPr>
        <w:t>Note : ce tableau, annoncé dans le document de travail initial, n’a pas été renseigné au moment de la rédaction. Les données de la séance du 18 mars 2026 n’ayant pas été mises à notre disposition sous forme consolidée, nous préférons signaler l’absence de la source plutôt que de produire des chiffres non vérifiés. La numérotation des tableaux suivants a été conservée telle quelle afin de ne pas rompre les renvois internes du mémoire.</w:t>
      </w:r>
    </w:p>
    <w:p>
      <w:pPr>
        <w:pStyle w:val="Heading3"/>
        <w:jc w:val="left"/>
      </w:pPr>
      <w:r>
        <w:t>1.2.2. Conception pédagogique et pratiques de classe</w:t>
      </w:r>
    </w:p>
    <w:p>
      <w:pPr>
        <w:spacing w:after="120"/>
        <w:ind w:firstLine="567"/>
        <w:jc w:val="both"/>
      </w:pPr>
      <w:r>
        <w:rPr>
          <w:rFonts w:ascii="Times New Roman" w:hAnsi="Times New Roman"/>
          <w:b w:val="0"/>
          <w:i w:val="0"/>
          <w:sz w:val="24"/>
        </w:rPr>
        <w:t>Ce fut ensuite l’occasion de poursuivre et d’achever le compte rendu dans les groupes-classes 5 et 6, le jeudi 19 mars, sous la supervision de M. Bidadjou, qui n’a pas manqué d’apporter des éléments allant dans le sens de notre perfectionnement. Il nous a notamment rappelé que l’andragogie étant la méthode d’enseignement retenue dans les ENFPE, il serait judicieux de renvoyer les questions posées par les EPE à l’ensemble du groupe-classe afin d’alimenter les débats et d’approfondir les apprentissages, la synthèse n’intervenant qu’après le recueillement des diverses impressions.</w:t>
      </w:r>
    </w:p>
    <w:p>
      <w:pPr>
        <w:spacing w:after="120"/>
        <w:ind w:firstLine="567"/>
        <w:jc w:val="both"/>
      </w:pPr>
      <w:r>
        <w:rPr>
          <w:rFonts w:ascii="Times New Roman" w:hAnsi="Times New Roman"/>
          <w:b w:val="0"/>
          <w:i w:val="0"/>
          <w:sz w:val="24"/>
        </w:rPr>
        <w:t>La semaine du 23 au 27 mars a également été riche en activités, telles que la conception de fiches pédagogiques suivie d’entretiens avec les formateurs titulaires, par champ disciplinaire ou en dehors de celui-ci. Ce fut le cas d’un cours simulé de « J’apprends à lire », suivi en langue et communication française au CE2, présenté par l’EPE Sogadji Yao Henouvo du groupe-classe 1 sous la supervision du doyen Amoussoukpe Kossivi, le lundi 23 mars 2026 de 14 h 30 à 16 h 30 dans la grande salle de l’ENFPE de Notsè ; le texte étudié, intitulé « Goubi », figurait à la page 35 du manuel de CE2. Dans une perspective de transversalité, nous avons également suivi, le 27 mars, un cours d’éducation physique et sportive (EPS) de 7 h à 10 h dans le GC4, animé par notre collègue Patayodi Somialo et portant sur les avantages de l’EPS pour l’élève du primaire. Nous avons par ailleurs bénéficié, de la part de M. Bidadjou, d’une initiation à la conception d’épreuves d’évaluation à correction automatique en ligne.</w:t>
      </w:r>
    </w:p>
    <w:p>
      <w:pPr>
        <w:spacing w:after="120"/>
        <w:ind w:firstLine="567"/>
        <w:jc w:val="both"/>
      </w:pPr>
      <w:r>
        <w:rPr>
          <w:rFonts w:ascii="Times New Roman" w:hAnsi="Times New Roman"/>
          <w:b w:val="0"/>
          <w:i w:val="0"/>
          <w:sz w:val="24"/>
        </w:rPr>
        <w:t>Cette deuxième semaine a été essentiellement consacrée à l’expédition des activités pédagogiques du semestre 1, marquée également par la visite d’une délégation ministérielle conduite par M. Kolani Fabrice, attaché de cabinet du ministre de l’Éducation nationale. La semaine du 30 mars au 3 avril a, quant à elle, été marquée par le compte rendu de la délibération de l’évaluation du semestre 1 de la promotion 4. Après une brève introduction portant notamment sur la durée du stage à la suite du passage de la délégation ministérielle, le nombre de villas disponibles et leurs modalités de répartition entre collègues désireux d’être logés, l’existence d’une caisse de solidarité au sein de notre ENFPE d’accueil et la célébration du 1er mai, les collègues Ogatcha Pierre, titulaire de cours en sciences humaines, et Awi Abaloutu, stagiaire en option mathématiques, ont eu l’honneur de présenter le compte rendu de la délibération sous la supervision du DACE Eza Kossi Agbéko.</w:t>
      </w:r>
    </w:p>
    <w:p>
      <w:pPr>
        <w:spacing w:after="120"/>
        <w:ind w:firstLine="567"/>
        <w:jc w:val="both"/>
      </w:pPr>
      <w:r>
        <w:rPr>
          <w:rFonts w:ascii="Times New Roman" w:hAnsi="Times New Roman"/>
          <w:b w:val="0"/>
          <w:i w:val="0"/>
          <w:sz w:val="24"/>
        </w:rPr>
        <w:t>Pour rappel, les activités de délibération des sept ENFPE se déroulent à Notsè, et la session à laquelle nous faisons référence a eu lieu les 26, 27 et 28 mars 2026 ; elle marque la fin des activités pédagogiques du semestre 1 et le lancement officiel de celles du semestre 2 pour la promotion 4 (2025-2027). C’est ainsi qu’après des séances d’observation de cours, nous avons administré notre premier cours de langue nationale éwé sous la supervision de notre doyen encadrant, M. Atila Komi Agboh, le lundi 30 mars, dans le groupe-classe 1 (GC1), de 10 h 30 à 12 h 30. Ce dernier n’a pas manqué d’apprécier notre prestation tout en formulant des observations allant dans le sens de la consolidation des acquis des EPE. Le cours portait sur la notion des « salutations d’usage en éwégbé ». Nous avons dispensé le même cours de façon autonome dans le groupe-classe 6 (GC6), le lendemain, de 7 h 30 à 10 h. Dans une perspective de transversalité et selon le tableau de service, nous avons également suivi des collègues d’autres spécialités, notamment en langue nationale kabiyè.</w:t>
      </w:r>
    </w:p>
    <w:p>
      <w:pPr>
        <w:pStyle w:val="Heading3"/>
        <w:jc w:val="left"/>
      </w:pPr>
      <w:r>
        <w:t>1.2.3. Le suivi des élèves-professeurs en stage de responsabilité</w:t>
      </w:r>
    </w:p>
    <w:p>
      <w:pPr>
        <w:spacing w:after="120"/>
        <w:ind w:firstLine="567"/>
        <w:jc w:val="both"/>
      </w:pPr>
      <w:r>
        <w:rPr>
          <w:rFonts w:ascii="Times New Roman" w:hAnsi="Times New Roman"/>
          <w:b w:val="0"/>
          <w:i w:val="0"/>
          <w:sz w:val="24"/>
        </w:rPr>
        <w:t>En prélude au suivi en stage de responsabilité des EPE de la promotion 3, qui devait débuter le lundi 13 avril 2026, des séances d’imprégnation et de préparation ont été organisées avec le personnel de l’ENFPE, donnant lieu à une répartition des formateurs selon les lieux de stage choisis par les EPE. Des séances de présentation des canevas méthodologiques par champ et par discipline ont également été organisées sur plusieurs jours à notre intention. Pour notre première sortie, cinq groupes de quatre formateurs chacun ont été constitués, sous la conduite des formateurs titulaires. Notre groupe a eu l’honneur de suivre l’EPE Mme Pekpessi Abalo Magnim à l’EPP Alinou G/B, au CE1-B, le lundi 13 avril 2026 de 7 h 30 à 9 h 10. Placée sous la supervision de Mme Gbegnon Abravi Nyonoufia, celle-ci a dispensé les cours d’éducation sociale, de « J’apprends à écrire » et de mathématiques en présence de soixante-quatorze élèves, dont trente-huit garçons et trente-six filles.</w:t>
      </w:r>
    </w:p>
    <w:p>
      <w:pPr>
        <w:spacing w:after="120"/>
        <w:ind w:firstLine="567"/>
        <w:jc w:val="both"/>
      </w:pPr>
      <w:r>
        <w:rPr>
          <w:rFonts w:ascii="Times New Roman" w:hAnsi="Times New Roman"/>
          <w:b w:val="0"/>
          <w:i w:val="0"/>
          <w:sz w:val="24"/>
        </w:rPr>
        <w:t>Il convient également de noter le passage d’une délégation de la Banque mondiale, venue assurer le suivi des travaux de réhabilitation réalisés dans les ENFPE dans le cadre du projet PAQEEB. Cet entretien avec le personnel fut pour nous l’occasion de découvrir certaines initiatives prises par les autorités éducatives en vue d’améliorer la qualité de la formation dans le domaine des sciences.</w:t>
      </w:r>
    </w:p>
    <w:p>
      <w:pPr>
        <w:spacing w:after="120"/>
        <w:ind w:firstLine="567"/>
        <w:jc w:val="both"/>
      </w:pPr>
      <w:r>
        <w:rPr>
          <w:rFonts w:ascii="Times New Roman" w:hAnsi="Times New Roman"/>
          <w:b w:val="0"/>
          <w:i w:val="0"/>
          <w:sz w:val="24"/>
        </w:rPr>
        <w:t>Initiés aux activités de suivi des EPE grâce aux exposés théoriques dispensés à l’ENFPE, à l’observation sur le terrain puis aux échanges consécutifs aux entretiens-conseils avec les formateurs titulaires, nous avons eu le privilège, en tant que stagiaires, de nous rendre individuellement dans les établissements qui nous avaient été attribués selon la répartition préalable. Le libre choix de nos zones d’intervention nous a été laissé afin d’alléger nos charges financières, le budget alloué à ces activités ne prenant pas en compte les stagiaires. Nous nous sommes ainsi rendus respectivement à l’EPP CAMP/F et à l’EPP FIDA, toutes deux situées à la périphérie de la ville de Notsè, dans la direction régionale des Plateaux-Est et, plus précisément, dans l’inspection Haho-Sud, la première dirigée par M. Dotse Agbégnigan, et la seconde par Mme Kotché A. Djigbodi.</w:t>
      </w:r>
    </w:p>
    <w:p>
      <w:pPr>
        <w:spacing w:after="120"/>
        <w:ind w:firstLine="567"/>
        <w:jc w:val="both"/>
      </w:pPr>
      <w:r>
        <w:rPr>
          <w:rFonts w:ascii="Times New Roman" w:hAnsi="Times New Roman"/>
          <w:b w:val="0"/>
          <w:i w:val="0"/>
          <w:sz w:val="24"/>
        </w:rPr>
        <w:t>Les cours de la promotion 3 à l’ENFPE étant programmés concomitamment avec le suivi des EPE de cette même promotion sur leurs lieux de stage, nous avons, en dehors de la période qui nous était impartie, mis à profit nos heures creuses pour suivre les treize EPE qui nous revenaient selon la répartition. Des outils de travail tels que la grille de suivi, le formulaire de suivi en stage de responsabilité et une fiche de rapport de suivi nous ont été remis à cet effet. La grille de suivi comporte une trentaine de critères à évaluer lors de la prestation de l’EPE. Le formulaire de suivi renseigne sur l’établissement dans lequel les activités se sont déroulées, l’identité et les contacts du directeur ou de la directrice ainsi que ceux des enseignants encadrants. On y trouve également l’identité, le sexe et les contacts de l’EPE, le groupe-classe, les leçons dispensées par le stagiaire et les appréciations chiffrées proposées par le formateur, le tout accompagné du lieu, de la date et de la signature de ce dernier.</w:t>
      </w:r>
    </w:p>
    <w:p>
      <w:pPr>
        <w:spacing w:after="120"/>
        <w:ind w:firstLine="567"/>
        <w:jc w:val="both"/>
      </w:pPr>
      <w:r>
        <w:rPr>
          <w:rFonts w:ascii="Times New Roman" w:hAnsi="Times New Roman"/>
          <w:b w:val="0"/>
          <w:i w:val="0"/>
          <w:sz w:val="24"/>
        </w:rPr>
        <w:t>La fiche de rapport de suivi mobilise pour sa part des éléments tels que la promotion de l’EPE suivi, le type de stage, l’identité du formateur responsable, le lieu du suivi, la région éducative, l’inspection et le nom de l’établissement, le nombre de stagiaires suivis par sexe, le nombre et les causes des absences, le constat général, les difficultés rencontrées et les suggestions pour l’amélioration des échéances futures. Il convient de noter qu’en plus de ces outils, un ordre de mission dûment signé par le directeur de l’ENFPE nous a été individuellement remis pour servir et valoir ce que de droit ; les décharges relatives à nos entrées et sorties, visées par les responsables des établissements d’accueil, y sont apposées au verso. Pour des raisons administratives, il nous a également été demandé de signaler notre présence à l’inspecteur responsable de notre secteur d’intervention, ce qui fut fait avec l’inspecteur M. Alosse.</w:t>
      </w:r>
    </w:p>
    <w:p>
      <w:pPr>
        <w:spacing w:after="120"/>
        <w:ind w:firstLine="567"/>
        <w:jc w:val="both"/>
      </w:pPr>
      <w:r>
        <w:rPr>
          <w:rFonts w:ascii="Times New Roman" w:hAnsi="Times New Roman"/>
          <w:b w:val="0"/>
          <w:i w:val="0"/>
          <w:sz w:val="24"/>
        </w:rPr>
        <w:t>Les noms des EPE suivis, leurs références ainsi que ceux de leurs professeurs titulaires sont consignés dans le tableau suivant :</w:t>
      </w:r>
    </w:p>
    <w:p>
      <w:pPr>
        <w:keepNext/>
        <w:spacing w:before="200" w:after="80"/>
        <w:jc w:val="left"/>
      </w:pPr>
      <w:r>
        <w:rPr>
          <w:rFonts w:ascii="Times New Roman" w:hAnsi="Times New Roman"/>
          <w:b/>
          <w:sz w:val="22"/>
        </w:rPr>
        <w:t>Tableau 3 : Élèves-professeurs suivis en stage de responsabilité</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567"/>
            <w:shd w:val="clear" w:color="auto" w:fill="D9E2F3"/>
          </w:tcPr>
          <w:p>
            <w:pPr>
              <w:spacing w:after="40" w:before="40" w:line="240" w:lineRule="auto"/>
              <w:jc w:val="center"/>
            </w:pPr>
            <w:r/>
            <w:r>
              <w:rPr>
                <w:rFonts w:ascii="Times New Roman" w:hAnsi="Times New Roman"/>
                <w:b/>
                <w:sz w:val="18"/>
              </w:rPr>
              <w:t>N°</w:t>
            </w:r>
          </w:p>
        </w:tc>
        <w:tc>
          <w:tcPr>
            <w:tcW w:type="dxa" w:w="1928"/>
            <w:shd w:val="clear" w:color="auto" w:fill="D9E2F3"/>
          </w:tcPr>
          <w:p>
            <w:pPr>
              <w:spacing w:after="40" w:before="40" w:line="240" w:lineRule="auto"/>
              <w:jc w:val="center"/>
            </w:pPr>
            <w:r/>
            <w:r>
              <w:rPr>
                <w:rFonts w:ascii="Times New Roman" w:hAnsi="Times New Roman"/>
                <w:b/>
                <w:sz w:val="18"/>
              </w:rPr>
              <w:t>Nom et prénoms</w:t>
            </w:r>
          </w:p>
        </w:tc>
        <w:tc>
          <w:tcPr>
            <w:tcW w:type="dxa" w:w="567"/>
            <w:shd w:val="clear" w:color="auto" w:fill="D9E2F3"/>
          </w:tcPr>
          <w:p>
            <w:pPr>
              <w:spacing w:after="40" w:before="40" w:line="240" w:lineRule="auto"/>
              <w:jc w:val="center"/>
            </w:pPr>
            <w:r/>
            <w:r>
              <w:rPr>
                <w:rFonts w:ascii="Times New Roman" w:hAnsi="Times New Roman"/>
                <w:b/>
                <w:sz w:val="18"/>
              </w:rPr>
              <w:t>Sexe</w:t>
            </w:r>
          </w:p>
        </w:tc>
        <w:tc>
          <w:tcPr>
            <w:tcW w:type="dxa" w:w="567"/>
            <w:shd w:val="clear" w:color="auto" w:fill="D9E2F3"/>
          </w:tcPr>
          <w:p>
            <w:pPr>
              <w:spacing w:after="40" w:before="40" w:line="240" w:lineRule="auto"/>
              <w:jc w:val="center"/>
            </w:pPr>
            <w:r/>
            <w:r>
              <w:rPr>
                <w:rFonts w:ascii="Times New Roman" w:hAnsi="Times New Roman"/>
                <w:b/>
                <w:sz w:val="18"/>
              </w:rPr>
              <w:t>GC</w:t>
            </w:r>
          </w:p>
        </w:tc>
        <w:tc>
          <w:tcPr>
            <w:tcW w:type="dxa" w:w="737"/>
            <w:shd w:val="clear" w:color="auto" w:fill="D9E2F3"/>
          </w:tcPr>
          <w:p>
            <w:pPr>
              <w:spacing w:after="40" w:before="40" w:line="240" w:lineRule="auto"/>
              <w:jc w:val="center"/>
            </w:pPr>
            <w:r/>
            <w:r>
              <w:rPr>
                <w:rFonts w:ascii="Times New Roman" w:hAnsi="Times New Roman"/>
                <w:b/>
                <w:sz w:val="18"/>
              </w:rPr>
              <w:t>Classe</w:t>
            </w:r>
          </w:p>
        </w:tc>
        <w:tc>
          <w:tcPr>
            <w:tcW w:type="dxa" w:w="1928"/>
            <w:shd w:val="clear" w:color="auto" w:fill="D9E2F3"/>
          </w:tcPr>
          <w:p>
            <w:pPr>
              <w:spacing w:after="40" w:before="40" w:line="240" w:lineRule="auto"/>
              <w:jc w:val="center"/>
            </w:pPr>
            <w:r/>
            <w:r>
              <w:rPr>
                <w:rFonts w:ascii="Times New Roman" w:hAnsi="Times New Roman"/>
                <w:b/>
                <w:sz w:val="18"/>
              </w:rPr>
              <w:t>Titulaire de la classe</w:t>
            </w:r>
          </w:p>
        </w:tc>
        <w:tc>
          <w:tcPr>
            <w:tcW w:type="dxa" w:w="2494"/>
            <w:shd w:val="clear" w:color="auto" w:fill="D9E2F3"/>
          </w:tcPr>
          <w:p>
            <w:pPr>
              <w:spacing w:after="40" w:before="40" w:line="240" w:lineRule="auto"/>
              <w:jc w:val="center"/>
            </w:pPr>
            <w:r/>
            <w:r>
              <w:rPr>
                <w:rFonts w:ascii="Times New Roman" w:hAnsi="Times New Roman"/>
                <w:b/>
                <w:sz w:val="18"/>
              </w:rPr>
              <w:t>Leçons faites par les stagiaires</w:t>
            </w:r>
          </w:p>
        </w:tc>
      </w:tr>
      <w:tr>
        <w:tc>
          <w:tcPr>
            <w:tcW w:type="dxa" w:w="2494"/>
            <w:gridSpan w:val="7"/>
            <w:shd w:val="clear" w:color="auto" w:fill="D9E2F3"/>
          </w:tcPr>
          <w:p>
            <w:pPr>
              <w:spacing w:after="40" w:before="40" w:line="240" w:lineRule="auto"/>
              <w:jc w:val="center"/>
            </w:pPr>
            <w:r/>
            <w:r>
              <w:rPr>
                <w:rFonts w:ascii="Times New Roman" w:hAnsi="Times New Roman"/>
                <w:b/>
                <w:sz w:val="18"/>
              </w:rPr>
              <w:t>EPP CAMP/F – NOTSÈ</w:t>
            </w:r>
          </w:p>
        </w:tc>
      </w:tr>
      <w:tr>
        <w:tc>
          <w:tcPr>
            <w:tcW w:type="dxa" w:w="567"/>
          </w:tcPr>
          <w:p>
            <w:pPr>
              <w:spacing w:after="40" w:before="40" w:line="240" w:lineRule="auto"/>
              <w:jc w:val="center"/>
            </w:pPr>
            <w:r/>
            <w:r>
              <w:rPr>
                <w:rFonts w:ascii="Times New Roman" w:hAnsi="Times New Roman"/>
                <w:b w:val="0"/>
                <w:sz w:val="18"/>
              </w:rPr>
              <w:t>1</w:t>
            </w:r>
          </w:p>
        </w:tc>
        <w:tc>
          <w:tcPr>
            <w:tcW w:type="dxa" w:w="1928"/>
          </w:tcPr>
          <w:p>
            <w:pPr>
              <w:spacing w:after="40" w:before="40" w:line="240" w:lineRule="auto"/>
              <w:jc w:val="left"/>
            </w:pPr>
            <w:r/>
            <w:r>
              <w:rPr>
                <w:rFonts w:ascii="Times New Roman" w:hAnsi="Times New Roman"/>
                <w:b w:val="0"/>
                <w:sz w:val="18"/>
              </w:rPr>
              <w:t>ATTIKPO Emmanuella</w:t>
            </w:r>
          </w:p>
        </w:tc>
        <w:tc>
          <w:tcPr>
            <w:tcW w:type="dxa" w:w="567"/>
          </w:tcPr>
          <w:p>
            <w:pPr>
              <w:spacing w:after="40" w:before="40" w:line="240" w:lineRule="auto"/>
              <w:jc w:val="left"/>
            </w:pPr>
            <w:r/>
            <w:r>
              <w:rPr>
                <w:rFonts w:ascii="Times New Roman" w:hAnsi="Times New Roman"/>
                <w:b w:val="0"/>
                <w:sz w:val="18"/>
              </w:rPr>
              <w:t>F</w:t>
            </w:r>
          </w:p>
        </w:tc>
        <w:tc>
          <w:tcPr>
            <w:tcW w:type="dxa" w:w="567"/>
          </w:tcPr>
          <w:p>
            <w:pPr>
              <w:spacing w:after="40" w:before="40" w:line="240" w:lineRule="auto"/>
              <w:jc w:val="center"/>
            </w:pPr>
            <w:r/>
            <w:r>
              <w:rPr>
                <w:rFonts w:ascii="Times New Roman" w:hAnsi="Times New Roman"/>
                <w:b w:val="0"/>
                <w:sz w:val="18"/>
              </w:rPr>
              <w:t>01</w:t>
            </w:r>
          </w:p>
        </w:tc>
        <w:tc>
          <w:tcPr>
            <w:tcW w:type="dxa" w:w="737"/>
          </w:tcPr>
          <w:p>
            <w:pPr>
              <w:spacing w:after="40" w:before="40" w:line="240" w:lineRule="auto"/>
              <w:jc w:val="left"/>
            </w:pPr>
            <w:r/>
            <w:r>
              <w:rPr>
                <w:rFonts w:ascii="Times New Roman" w:hAnsi="Times New Roman"/>
                <w:b w:val="0"/>
                <w:sz w:val="18"/>
              </w:rPr>
              <w:t>CP2</w:t>
            </w:r>
          </w:p>
        </w:tc>
        <w:tc>
          <w:tcPr>
            <w:tcW w:type="dxa" w:w="1928"/>
          </w:tcPr>
          <w:p>
            <w:pPr>
              <w:spacing w:after="40" w:before="40" w:line="240" w:lineRule="auto"/>
              <w:jc w:val="left"/>
            </w:pPr>
            <w:r/>
            <w:r>
              <w:rPr>
                <w:rFonts w:ascii="Times New Roman" w:hAnsi="Times New Roman"/>
                <w:b w:val="0"/>
                <w:sz w:val="18"/>
              </w:rPr>
              <w:t>Mme GADEME Abra</w:t>
            </w:r>
          </w:p>
        </w:tc>
        <w:tc>
          <w:tcPr>
            <w:tcW w:type="dxa" w:w="2494"/>
          </w:tcPr>
          <w:p>
            <w:pPr>
              <w:spacing w:after="40" w:before="40" w:line="240" w:lineRule="auto"/>
              <w:jc w:val="left"/>
            </w:pPr>
            <w:r/>
            <w:r>
              <w:rPr>
                <w:rFonts w:ascii="Times New Roman" w:hAnsi="Times New Roman"/>
                <w:b w:val="0"/>
                <w:sz w:val="18"/>
              </w:rPr>
              <w:t>Éducation sociale ; J’apprends à lire</w:t>
            </w:r>
          </w:p>
        </w:tc>
      </w:tr>
      <w:tr>
        <w:tc>
          <w:tcPr>
            <w:tcW w:type="dxa" w:w="567"/>
          </w:tcPr>
          <w:p>
            <w:pPr>
              <w:spacing w:after="40" w:before="40" w:line="240" w:lineRule="auto"/>
              <w:jc w:val="center"/>
            </w:pPr>
            <w:r/>
            <w:r>
              <w:rPr>
                <w:rFonts w:ascii="Times New Roman" w:hAnsi="Times New Roman"/>
                <w:b w:val="0"/>
                <w:sz w:val="18"/>
              </w:rPr>
              <w:t>2</w:t>
            </w:r>
          </w:p>
        </w:tc>
        <w:tc>
          <w:tcPr>
            <w:tcW w:type="dxa" w:w="1928"/>
          </w:tcPr>
          <w:p>
            <w:pPr>
              <w:spacing w:after="40" w:before="40" w:line="240" w:lineRule="auto"/>
              <w:jc w:val="left"/>
            </w:pPr>
            <w:r/>
            <w:r>
              <w:rPr>
                <w:rFonts w:ascii="Times New Roman" w:hAnsi="Times New Roman"/>
                <w:b w:val="0"/>
                <w:sz w:val="18"/>
              </w:rPr>
              <w:t>TCHA Lanhoulmiè</w:t>
            </w:r>
          </w:p>
        </w:tc>
        <w:tc>
          <w:tcPr>
            <w:tcW w:type="dxa" w:w="567"/>
          </w:tcPr>
          <w:p>
            <w:pPr>
              <w:spacing w:after="40" w:before="40" w:line="240" w:lineRule="auto"/>
              <w:jc w:val="left"/>
            </w:pPr>
            <w:r/>
            <w:r>
              <w:rPr>
                <w:rFonts w:ascii="Times New Roman" w:hAnsi="Times New Roman"/>
                <w:b w:val="0"/>
                <w:sz w:val="18"/>
              </w:rPr>
              <w:t>F</w:t>
            </w:r>
          </w:p>
        </w:tc>
        <w:tc>
          <w:tcPr>
            <w:tcW w:type="dxa" w:w="567"/>
          </w:tcPr>
          <w:p>
            <w:pPr>
              <w:spacing w:after="40" w:before="40" w:line="240" w:lineRule="auto"/>
              <w:jc w:val="center"/>
            </w:pPr>
            <w:r/>
            <w:r>
              <w:rPr>
                <w:rFonts w:ascii="Times New Roman" w:hAnsi="Times New Roman"/>
                <w:b w:val="0"/>
                <w:sz w:val="18"/>
              </w:rPr>
              <w:t>04</w:t>
            </w:r>
          </w:p>
        </w:tc>
        <w:tc>
          <w:tcPr>
            <w:tcW w:type="dxa" w:w="737"/>
          </w:tcPr>
          <w:p>
            <w:pPr>
              <w:spacing w:after="40" w:before="40" w:line="240" w:lineRule="auto"/>
              <w:jc w:val="left"/>
            </w:pPr>
            <w:r/>
            <w:r>
              <w:rPr>
                <w:rFonts w:ascii="Times New Roman" w:hAnsi="Times New Roman"/>
                <w:b w:val="0"/>
                <w:sz w:val="18"/>
              </w:rPr>
              <w:t>CE1</w:t>
            </w:r>
          </w:p>
        </w:tc>
        <w:tc>
          <w:tcPr>
            <w:tcW w:type="dxa" w:w="1928"/>
          </w:tcPr>
          <w:p>
            <w:pPr>
              <w:spacing w:after="40" w:before="40" w:line="240" w:lineRule="auto"/>
              <w:jc w:val="left"/>
            </w:pPr>
            <w:r/>
            <w:r>
              <w:rPr>
                <w:rFonts w:ascii="Times New Roman" w:hAnsi="Times New Roman"/>
                <w:b w:val="0"/>
                <w:sz w:val="18"/>
              </w:rPr>
              <w:t>M. KEWENDEYE Palouh</w:t>
            </w:r>
          </w:p>
        </w:tc>
        <w:tc>
          <w:tcPr>
            <w:tcW w:type="dxa" w:w="2494"/>
          </w:tcPr>
          <w:p>
            <w:pPr>
              <w:spacing w:after="40" w:before="40" w:line="240" w:lineRule="auto"/>
              <w:jc w:val="left"/>
            </w:pPr>
            <w:r/>
            <w:r>
              <w:rPr>
                <w:rFonts w:ascii="Times New Roman" w:hAnsi="Times New Roman"/>
                <w:b w:val="0"/>
                <w:sz w:val="18"/>
              </w:rPr>
              <w:t>Sciences humaines 2 ; Sciences et technologies</w:t>
            </w:r>
          </w:p>
        </w:tc>
      </w:tr>
      <w:tr>
        <w:tc>
          <w:tcPr>
            <w:tcW w:type="dxa" w:w="567"/>
          </w:tcPr>
          <w:p>
            <w:pPr>
              <w:spacing w:after="40" w:before="40" w:line="240" w:lineRule="auto"/>
              <w:jc w:val="center"/>
            </w:pPr>
            <w:r/>
            <w:r>
              <w:rPr>
                <w:rFonts w:ascii="Times New Roman" w:hAnsi="Times New Roman"/>
                <w:b w:val="0"/>
                <w:sz w:val="18"/>
              </w:rPr>
              <w:t>3</w:t>
            </w:r>
          </w:p>
        </w:tc>
        <w:tc>
          <w:tcPr>
            <w:tcW w:type="dxa" w:w="1928"/>
          </w:tcPr>
          <w:p>
            <w:pPr>
              <w:spacing w:after="40" w:before="40" w:line="240" w:lineRule="auto"/>
              <w:jc w:val="left"/>
            </w:pPr>
            <w:r/>
            <w:r>
              <w:rPr>
                <w:rFonts w:ascii="Times New Roman" w:hAnsi="Times New Roman"/>
                <w:b w:val="0"/>
                <w:sz w:val="18"/>
              </w:rPr>
              <w:t>TCHIOU Solim José</w:t>
            </w:r>
          </w:p>
        </w:tc>
        <w:tc>
          <w:tcPr>
            <w:tcW w:type="dxa" w:w="567"/>
          </w:tcPr>
          <w:p>
            <w:pPr>
              <w:spacing w:after="40" w:before="40" w:line="240" w:lineRule="auto"/>
              <w:jc w:val="left"/>
            </w:pPr>
            <w:r/>
            <w:r>
              <w:rPr>
                <w:rFonts w:ascii="Times New Roman" w:hAnsi="Times New Roman"/>
                <w:b w:val="0"/>
                <w:sz w:val="18"/>
              </w:rPr>
              <w:t>F</w:t>
            </w:r>
          </w:p>
        </w:tc>
        <w:tc>
          <w:tcPr>
            <w:tcW w:type="dxa" w:w="567"/>
          </w:tcPr>
          <w:p>
            <w:pPr>
              <w:spacing w:after="40" w:before="40" w:line="240" w:lineRule="auto"/>
              <w:jc w:val="center"/>
            </w:pPr>
            <w:r/>
            <w:r>
              <w:rPr>
                <w:rFonts w:ascii="Times New Roman" w:hAnsi="Times New Roman"/>
                <w:b w:val="0"/>
                <w:sz w:val="18"/>
              </w:rPr>
              <w:t>04</w:t>
            </w:r>
          </w:p>
        </w:tc>
        <w:tc>
          <w:tcPr>
            <w:tcW w:type="dxa" w:w="737"/>
          </w:tcPr>
          <w:p>
            <w:pPr>
              <w:spacing w:after="40" w:before="40" w:line="240" w:lineRule="auto"/>
              <w:jc w:val="left"/>
            </w:pPr>
            <w:r/>
            <w:r>
              <w:rPr>
                <w:rFonts w:ascii="Times New Roman" w:hAnsi="Times New Roman"/>
                <w:b w:val="0"/>
                <w:sz w:val="18"/>
              </w:rPr>
              <w:t>CM1</w:t>
            </w:r>
          </w:p>
        </w:tc>
        <w:tc>
          <w:tcPr>
            <w:tcW w:type="dxa" w:w="1928"/>
          </w:tcPr>
          <w:p>
            <w:pPr>
              <w:spacing w:after="40" w:before="40" w:line="240" w:lineRule="auto"/>
              <w:jc w:val="left"/>
            </w:pPr>
            <w:r/>
            <w:r>
              <w:rPr>
                <w:rFonts w:ascii="Times New Roman" w:hAnsi="Times New Roman"/>
                <w:b w:val="0"/>
                <w:sz w:val="18"/>
              </w:rPr>
              <w:t>M. ATSOU Kokouvi</w:t>
            </w:r>
          </w:p>
        </w:tc>
        <w:tc>
          <w:tcPr>
            <w:tcW w:type="dxa" w:w="2494"/>
          </w:tcPr>
          <w:p>
            <w:pPr>
              <w:spacing w:after="40" w:before="40" w:line="240" w:lineRule="auto"/>
              <w:jc w:val="left"/>
            </w:pPr>
            <w:r/>
            <w:r>
              <w:rPr>
                <w:rFonts w:ascii="Times New Roman" w:hAnsi="Times New Roman"/>
                <w:b w:val="0"/>
                <w:sz w:val="18"/>
              </w:rPr>
              <w:t>Éducation sociale ; J’apprends à lire</w:t>
            </w:r>
          </w:p>
        </w:tc>
      </w:tr>
      <w:tr>
        <w:tc>
          <w:tcPr>
            <w:tcW w:type="dxa" w:w="567"/>
          </w:tcPr>
          <w:p>
            <w:pPr>
              <w:spacing w:after="40" w:before="40" w:line="240" w:lineRule="auto"/>
              <w:jc w:val="center"/>
            </w:pPr>
            <w:r/>
            <w:r>
              <w:rPr>
                <w:rFonts w:ascii="Times New Roman" w:hAnsi="Times New Roman"/>
                <w:b w:val="0"/>
                <w:sz w:val="18"/>
              </w:rPr>
              <w:t>4</w:t>
            </w:r>
          </w:p>
        </w:tc>
        <w:tc>
          <w:tcPr>
            <w:tcW w:type="dxa" w:w="1928"/>
          </w:tcPr>
          <w:p>
            <w:pPr>
              <w:spacing w:after="40" w:before="40" w:line="240" w:lineRule="auto"/>
              <w:jc w:val="left"/>
            </w:pPr>
            <w:r/>
            <w:r>
              <w:rPr>
                <w:rFonts w:ascii="Times New Roman" w:hAnsi="Times New Roman"/>
                <w:b w:val="0"/>
                <w:sz w:val="18"/>
              </w:rPr>
              <w:t>VONDOLY Atsoupé</w:t>
            </w:r>
          </w:p>
        </w:tc>
        <w:tc>
          <w:tcPr>
            <w:tcW w:type="dxa" w:w="567"/>
          </w:tcPr>
          <w:p>
            <w:pPr>
              <w:spacing w:after="40" w:before="40" w:line="240" w:lineRule="auto"/>
              <w:jc w:val="left"/>
            </w:pPr>
            <w:r/>
            <w:r>
              <w:rPr>
                <w:rFonts w:ascii="Times New Roman" w:hAnsi="Times New Roman"/>
                <w:b w:val="0"/>
                <w:sz w:val="18"/>
              </w:rPr>
              <w:t>F</w:t>
            </w:r>
          </w:p>
        </w:tc>
        <w:tc>
          <w:tcPr>
            <w:tcW w:type="dxa" w:w="567"/>
          </w:tcPr>
          <w:p>
            <w:pPr>
              <w:spacing w:after="40" w:before="40" w:line="240" w:lineRule="auto"/>
              <w:jc w:val="center"/>
            </w:pPr>
            <w:r/>
            <w:r>
              <w:rPr>
                <w:rFonts w:ascii="Times New Roman" w:hAnsi="Times New Roman"/>
                <w:b w:val="0"/>
                <w:sz w:val="18"/>
              </w:rPr>
              <w:t>07</w:t>
            </w:r>
          </w:p>
        </w:tc>
        <w:tc>
          <w:tcPr>
            <w:tcW w:type="dxa" w:w="737"/>
          </w:tcPr>
          <w:p>
            <w:pPr>
              <w:spacing w:after="40" w:before="40" w:line="240" w:lineRule="auto"/>
              <w:jc w:val="left"/>
            </w:pPr>
            <w:r/>
            <w:r>
              <w:rPr>
                <w:rFonts w:ascii="Times New Roman" w:hAnsi="Times New Roman"/>
                <w:b w:val="0"/>
                <w:sz w:val="18"/>
              </w:rPr>
              <w:t>CP1</w:t>
            </w:r>
          </w:p>
        </w:tc>
        <w:tc>
          <w:tcPr>
            <w:tcW w:type="dxa" w:w="1928"/>
          </w:tcPr>
          <w:p>
            <w:pPr>
              <w:spacing w:after="40" w:before="40" w:line="240" w:lineRule="auto"/>
              <w:jc w:val="left"/>
            </w:pPr>
            <w:r/>
            <w:r>
              <w:rPr>
                <w:rFonts w:ascii="Times New Roman" w:hAnsi="Times New Roman"/>
                <w:b w:val="0"/>
                <w:sz w:val="18"/>
              </w:rPr>
              <w:t>Mme MIHESSO Abla</w:t>
            </w:r>
          </w:p>
        </w:tc>
        <w:tc>
          <w:tcPr>
            <w:tcW w:type="dxa" w:w="2494"/>
          </w:tcPr>
          <w:p>
            <w:pPr>
              <w:spacing w:after="40" w:before="40" w:line="240" w:lineRule="auto"/>
              <w:jc w:val="left"/>
            </w:pPr>
            <w:r/>
            <w:r>
              <w:rPr>
                <w:rFonts w:ascii="Times New Roman" w:hAnsi="Times New Roman"/>
                <w:b w:val="0"/>
                <w:sz w:val="18"/>
              </w:rPr>
              <w:t>J’apprends à écrire ; Mathématiques</w:t>
            </w:r>
          </w:p>
        </w:tc>
      </w:tr>
      <w:tr>
        <w:tc>
          <w:tcPr>
            <w:tcW w:type="dxa" w:w="567"/>
          </w:tcPr>
          <w:p>
            <w:pPr>
              <w:spacing w:after="40" w:before="40" w:line="240" w:lineRule="auto"/>
              <w:jc w:val="center"/>
            </w:pPr>
            <w:r/>
            <w:r>
              <w:rPr>
                <w:rFonts w:ascii="Times New Roman" w:hAnsi="Times New Roman"/>
                <w:b w:val="0"/>
                <w:sz w:val="18"/>
              </w:rPr>
              <w:t>5</w:t>
            </w:r>
          </w:p>
        </w:tc>
        <w:tc>
          <w:tcPr>
            <w:tcW w:type="dxa" w:w="1928"/>
          </w:tcPr>
          <w:p>
            <w:pPr>
              <w:spacing w:after="40" w:before="40" w:line="240" w:lineRule="auto"/>
              <w:jc w:val="left"/>
            </w:pPr>
            <w:r/>
            <w:r>
              <w:rPr>
                <w:rFonts w:ascii="Times New Roman" w:hAnsi="Times New Roman"/>
                <w:b w:val="0"/>
                <w:sz w:val="18"/>
              </w:rPr>
              <w:t>YEBOU Agbessi</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05</w:t>
            </w:r>
          </w:p>
        </w:tc>
        <w:tc>
          <w:tcPr>
            <w:tcW w:type="dxa" w:w="737"/>
          </w:tcPr>
          <w:p>
            <w:pPr>
              <w:spacing w:after="40" w:before="40" w:line="240" w:lineRule="auto"/>
              <w:jc w:val="left"/>
            </w:pPr>
            <w:r/>
            <w:r>
              <w:rPr>
                <w:rFonts w:ascii="Times New Roman" w:hAnsi="Times New Roman"/>
                <w:b w:val="0"/>
                <w:sz w:val="18"/>
              </w:rPr>
              <w:t>CM1</w:t>
            </w:r>
          </w:p>
        </w:tc>
        <w:tc>
          <w:tcPr>
            <w:tcW w:type="dxa" w:w="1928"/>
          </w:tcPr>
          <w:p>
            <w:pPr>
              <w:spacing w:after="40" w:before="40" w:line="240" w:lineRule="auto"/>
              <w:jc w:val="left"/>
            </w:pPr>
            <w:r/>
            <w:r>
              <w:rPr>
                <w:rFonts w:ascii="Times New Roman" w:hAnsi="Times New Roman"/>
                <w:b w:val="0"/>
                <w:sz w:val="18"/>
              </w:rPr>
              <w:t>M. ATSOU Kokouvi</w:t>
            </w:r>
          </w:p>
        </w:tc>
        <w:tc>
          <w:tcPr>
            <w:tcW w:type="dxa" w:w="2494"/>
          </w:tcPr>
          <w:p>
            <w:pPr>
              <w:spacing w:after="40" w:before="40" w:line="240" w:lineRule="auto"/>
              <w:jc w:val="left"/>
            </w:pPr>
            <w:r/>
            <w:r>
              <w:rPr>
                <w:rFonts w:ascii="Times New Roman" w:hAnsi="Times New Roman"/>
                <w:b w:val="0"/>
                <w:sz w:val="18"/>
              </w:rPr>
              <w:t>Mathématiques ; J’apprends à parler</w:t>
            </w:r>
          </w:p>
        </w:tc>
      </w:tr>
      <w:tr>
        <w:tc>
          <w:tcPr>
            <w:tcW w:type="dxa" w:w="567"/>
          </w:tcPr>
          <w:p>
            <w:pPr>
              <w:spacing w:after="40" w:before="40" w:line="240" w:lineRule="auto"/>
              <w:jc w:val="center"/>
            </w:pPr>
            <w:r/>
            <w:r>
              <w:rPr>
                <w:rFonts w:ascii="Times New Roman" w:hAnsi="Times New Roman"/>
                <w:b w:val="0"/>
                <w:sz w:val="18"/>
              </w:rPr>
              <w:t>6</w:t>
            </w:r>
          </w:p>
        </w:tc>
        <w:tc>
          <w:tcPr>
            <w:tcW w:type="dxa" w:w="1928"/>
          </w:tcPr>
          <w:p>
            <w:pPr>
              <w:spacing w:after="40" w:before="40" w:line="240" w:lineRule="auto"/>
              <w:jc w:val="left"/>
            </w:pPr>
            <w:r/>
            <w:r>
              <w:rPr>
                <w:rFonts w:ascii="Times New Roman" w:hAnsi="Times New Roman"/>
                <w:b w:val="0"/>
                <w:sz w:val="18"/>
              </w:rPr>
              <w:t>AYISSAN Kokouvi</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02</w:t>
            </w:r>
          </w:p>
        </w:tc>
        <w:tc>
          <w:tcPr>
            <w:tcW w:type="dxa" w:w="737"/>
          </w:tcPr>
          <w:p>
            <w:pPr>
              <w:spacing w:after="40" w:before="40" w:line="240" w:lineRule="auto"/>
              <w:jc w:val="left"/>
            </w:pPr>
            <w:r/>
            <w:r>
              <w:rPr>
                <w:rFonts w:ascii="Times New Roman" w:hAnsi="Times New Roman"/>
                <w:b w:val="0"/>
                <w:sz w:val="18"/>
              </w:rPr>
              <w:t>CE2</w:t>
            </w:r>
          </w:p>
        </w:tc>
        <w:tc>
          <w:tcPr>
            <w:tcW w:type="dxa" w:w="1928"/>
          </w:tcPr>
          <w:p>
            <w:pPr>
              <w:spacing w:after="40" w:before="40" w:line="240" w:lineRule="auto"/>
              <w:jc w:val="left"/>
            </w:pPr>
            <w:r/>
            <w:r>
              <w:rPr>
                <w:rFonts w:ascii="Times New Roman" w:hAnsi="Times New Roman"/>
                <w:b w:val="0"/>
                <w:sz w:val="18"/>
              </w:rPr>
              <w:t>M. KOUKOU Amégno</w:t>
            </w:r>
          </w:p>
        </w:tc>
        <w:tc>
          <w:tcPr>
            <w:tcW w:type="dxa" w:w="2494"/>
          </w:tcPr>
          <w:p>
            <w:pPr>
              <w:spacing w:after="40" w:before="40" w:line="240" w:lineRule="auto"/>
              <w:jc w:val="left"/>
            </w:pPr>
            <w:r/>
            <w:r>
              <w:rPr>
                <w:rFonts w:ascii="Times New Roman" w:hAnsi="Times New Roman"/>
                <w:b w:val="0"/>
                <w:sz w:val="18"/>
              </w:rPr>
              <w:t>J’apprends à lire ; Je manipule les phrases 2</w:t>
            </w:r>
          </w:p>
        </w:tc>
      </w:tr>
      <w:tr>
        <w:tc>
          <w:tcPr>
            <w:tcW w:type="dxa" w:w="2494"/>
            <w:gridSpan w:val="7"/>
            <w:shd w:val="clear" w:color="auto" w:fill="D9E2F3"/>
          </w:tcPr>
          <w:p>
            <w:pPr>
              <w:spacing w:after="40" w:before="40" w:line="240" w:lineRule="auto"/>
              <w:jc w:val="center"/>
            </w:pPr>
            <w:r/>
            <w:r>
              <w:rPr>
                <w:rFonts w:ascii="Times New Roman" w:hAnsi="Times New Roman"/>
                <w:b/>
                <w:sz w:val="18"/>
              </w:rPr>
              <w:t>EPP FIDA – NOTSÈ</w:t>
            </w:r>
          </w:p>
        </w:tc>
      </w:tr>
      <w:tr>
        <w:tc>
          <w:tcPr>
            <w:tcW w:type="dxa" w:w="567"/>
          </w:tcPr>
          <w:p>
            <w:pPr>
              <w:spacing w:after="40" w:before="40" w:line="240" w:lineRule="auto"/>
              <w:jc w:val="center"/>
            </w:pPr>
            <w:r/>
            <w:r>
              <w:rPr>
                <w:rFonts w:ascii="Times New Roman" w:hAnsi="Times New Roman"/>
                <w:b w:val="0"/>
                <w:sz w:val="18"/>
              </w:rPr>
              <w:t>7</w:t>
            </w:r>
          </w:p>
        </w:tc>
        <w:tc>
          <w:tcPr>
            <w:tcW w:type="dxa" w:w="1928"/>
          </w:tcPr>
          <w:p>
            <w:pPr>
              <w:spacing w:after="40" w:before="40" w:line="240" w:lineRule="auto"/>
              <w:jc w:val="left"/>
            </w:pPr>
            <w:r/>
            <w:r>
              <w:rPr>
                <w:rFonts w:ascii="Times New Roman" w:hAnsi="Times New Roman"/>
                <w:b w:val="0"/>
                <w:sz w:val="18"/>
              </w:rPr>
              <w:t>DOTO Kossi Mathias</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01</w:t>
            </w:r>
          </w:p>
        </w:tc>
        <w:tc>
          <w:tcPr>
            <w:tcW w:type="dxa" w:w="737"/>
          </w:tcPr>
          <w:p>
            <w:pPr>
              <w:spacing w:after="40" w:before="40" w:line="240" w:lineRule="auto"/>
              <w:jc w:val="left"/>
            </w:pPr>
            <w:r/>
            <w:r>
              <w:rPr>
                <w:rFonts w:ascii="Times New Roman" w:hAnsi="Times New Roman"/>
                <w:b w:val="0"/>
                <w:sz w:val="18"/>
              </w:rPr>
              <w:t>CE2</w:t>
            </w:r>
          </w:p>
        </w:tc>
        <w:tc>
          <w:tcPr>
            <w:tcW w:type="dxa" w:w="1928"/>
          </w:tcPr>
          <w:p>
            <w:pPr>
              <w:spacing w:after="40" w:before="40" w:line="240" w:lineRule="auto"/>
              <w:jc w:val="left"/>
            </w:pPr>
            <w:r/>
            <w:r>
              <w:rPr>
                <w:rFonts w:ascii="Times New Roman" w:hAnsi="Times New Roman"/>
                <w:b w:val="0"/>
                <w:sz w:val="18"/>
              </w:rPr>
              <w:t>Mme SODEGLA Akouyo C.</w:t>
            </w:r>
          </w:p>
        </w:tc>
        <w:tc>
          <w:tcPr>
            <w:tcW w:type="dxa" w:w="2494"/>
          </w:tcPr>
          <w:p>
            <w:pPr>
              <w:spacing w:after="40" w:before="40" w:line="240" w:lineRule="auto"/>
              <w:jc w:val="left"/>
            </w:pPr>
            <w:r/>
            <w:r>
              <w:rPr>
                <w:rFonts w:ascii="Times New Roman" w:hAnsi="Times New Roman"/>
                <w:b w:val="0"/>
                <w:sz w:val="18"/>
              </w:rPr>
              <w:t>J’apprends à lire ; J’utilise les mots nouveaux</w:t>
            </w:r>
          </w:p>
        </w:tc>
      </w:tr>
      <w:tr>
        <w:tc>
          <w:tcPr>
            <w:tcW w:type="dxa" w:w="567"/>
          </w:tcPr>
          <w:p>
            <w:pPr>
              <w:spacing w:after="40" w:before="40" w:line="240" w:lineRule="auto"/>
              <w:jc w:val="center"/>
            </w:pPr>
            <w:r/>
            <w:r>
              <w:rPr>
                <w:rFonts w:ascii="Times New Roman" w:hAnsi="Times New Roman"/>
                <w:b w:val="0"/>
                <w:sz w:val="18"/>
              </w:rPr>
              <w:t>8</w:t>
            </w:r>
          </w:p>
        </w:tc>
        <w:tc>
          <w:tcPr>
            <w:tcW w:type="dxa" w:w="1928"/>
          </w:tcPr>
          <w:p>
            <w:pPr>
              <w:spacing w:after="40" w:before="40" w:line="240" w:lineRule="auto"/>
              <w:jc w:val="left"/>
            </w:pPr>
            <w:r/>
            <w:r>
              <w:rPr>
                <w:rFonts w:ascii="Times New Roman" w:hAnsi="Times New Roman"/>
                <w:b w:val="0"/>
                <w:sz w:val="18"/>
              </w:rPr>
              <w:t>SAMBIANI Blatia</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08</w:t>
            </w:r>
          </w:p>
        </w:tc>
        <w:tc>
          <w:tcPr>
            <w:tcW w:type="dxa" w:w="737"/>
          </w:tcPr>
          <w:p>
            <w:pPr>
              <w:spacing w:after="40" w:before="40" w:line="240" w:lineRule="auto"/>
              <w:jc w:val="left"/>
            </w:pPr>
            <w:r/>
            <w:r>
              <w:rPr>
                <w:rFonts w:ascii="Times New Roman" w:hAnsi="Times New Roman"/>
                <w:b w:val="0"/>
                <w:sz w:val="18"/>
              </w:rPr>
              <w:t>CP2</w:t>
            </w:r>
          </w:p>
        </w:tc>
        <w:tc>
          <w:tcPr>
            <w:tcW w:type="dxa" w:w="1928"/>
          </w:tcPr>
          <w:p>
            <w:pPr>
              <w:spacing w:after="40" w:before="40" w:line="240" w:lineRule="auto"/>
              <w:jc w:val="left"/>
            </w:pPr>
            <w:r/>
            <w:r>
              <w:rPr>
                <w:rFonts w:ascii="Times New Roman" w:hAnsi="Times New Roman"/>
                <w:b w:val="0"/>
                <w:sz w:val="18"/>
              </w:rPr>
              <w:t>Mme KEDOUH Magnouedéou</w:t>
            </w:r>
          </w:p>
        </w:tc>
        <w:tc>
          <w:tcPr>
            <w:tcW w:type="dxa" w:w="2494"/>
          </w:tcPr>
          <w:p>
            <w:pPr>
              <w:spacing w:after="40" w:before="40" w:line="240" w:lineRule="auto"/>
              <w:jc w:val="left"/>
            </w:pPr>
            <w:r/>
            <w:r>
              <w:rPr>
                <w:rFonts w:ascii="Times New Roman" w:hAnsi="Times New Roman"/>
                <w:b w:val="0"/>
                <w:sz w:val="18"/>
              </w:rPr>
              <w:t>J’apprends à lire (2e jour) ; J’apprends à écrire</w:t>
            </w:r>
          </w:p>
        </w:tc>
      </w:tr>
      <w:tr>
        <w:tc>
          <w:tcPr>
            <w:tcW w:type="dxa" w:w="567"/>
          </w:tcPr>
          <w:p>
            <w:pPr>
              <w:spacing w:after="40" w:before="40" w:line="240" w:lineRule="auto"/>
              <w:jc w:val="center"/>
            </w:pPr>
            <w:r/>
            <w:r>
              <w:rPr>
                <w:rFonts w:ascii="Times New Roman" w:hAnsi="Times New Roman"/>
                <w:b w:val="0"/>
                <w:sz w:val="18"/>
              </w:rPr>
              <w:t>9</w:t>
            </w:r>
          </w:p>
        </w:tc>
        <w:tc>
          <w:tcPr>
            <w:tcW w:type="dxa" w:w="1928"/>
          </w:tcPr>
          <w:p>
            <w:pPr>
              <w:spacing w:after="40" w:before="40" w:line="240" w:lineRule="auto"/>
              <w:jc w:val="left"/>
            </w:pPr>
            <w:r/>
            <w:r>
              <w:rPr>
                <w:rFonts w:ascii="Times New Roman" w:hAnsi="Times New Roman"/>
                <w:b w:val="0"/>
                <w:sz w:val="18"/>
              </w:rPr>
              <w:t>KETY Atsu Komi Antoine</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09</w:t>
            </w:r>
          </w:p>
        </w:tc>
        <w:tc>
          <w:tcPr>
            <w:tcW w:type="dxa" w:w="737"/>
          </w:tcPr>
          <w:p>
            <w:pPr>
              <w:spacing w:after="40" w:before="40" w:line="240" w:lineRule="auto"/>
              <w:jc w:val="left"/>
            </w:pPr>
            <w:r/>
            <w:r>
              <w:rPr>
                <w:rFonts w:ascii="Times New Roman" w:hAnsi="Times New Roman"/>
                <w:b w:val="0"/>
                <w:sz w:val="18"/>
              </w:rPr>
              <w:t>CP1</w:t>
            </w:r>
          </w:p>
        </w:tc>
        <w:tc>
          <w:tcPr>
            <w:tcW w:type="dxa" w:w="1928"/>
          </w:tcPr>
          <w:p>
            <w:pPr>
              <w:spacing w:after="40" w:before="40" w:line="240" w:lineRule="auto"/>
              <w:jc w:val="left"/>
            </w:pPr>
            <w:r/>
            <w:r>
              <w:rPr>
                <w:rFonts w:ascii="Times New Roman" w:hAnsi="Times New Roman"/>
                <w:b w:val="0"/>
                <w:sz w:val="18"/>
              </w:rPr>
              <w:t>Mme KOTCHE A. Djigbodi</w:t>
            </w:r>
          </w:p>
        </w:tc>
        <w:tc>
          <w:tcPr>
            <w:tcW w:type="dxa" w:w="2494"/>
          </w:tcPr>
          <w:p>
            <w:pPr>
              <w:spacing w:after="40" w:before="40" w:line="240" w:lineRule="auto"/>
              <w:jc w:val="left"/>
            </w:pPr>
            <w:r/>
            <w:r>
              <w:rPr>
                <w:rFonts w:ascii="Times New Roman" w:hAnsi="Times New Roman"/>
                <w:b w:val="0"/>
                <w:sz w:val="18"/>
              </w:rPr>
              <w:t>J’apprends à parler ; J’apprends à lire</w:t>
            </w:r>
          </w:p>
        </w:tc>
      </w:tr>
      <w:tr>
        <w:tc>
          <w:tcPr>
            <w:tcW w:type="dxa" w:w="567"/>
          </w:tcPr>
          <w:p>
            <w:pPr>
              <w:spacing w:after="40" w:before="40" w:line="240" w:lineRule="auto"/>
              <w:jc w:val="center"/>
            </w:pPr>
            <w:r/>
            <w:r>
              <w:rPr>
                <w:rFonts w:ascii="Times New Roman" w:hAnsi="Times New Roman"/>
                <w:b w:val="0"/>
                <w:sz w:val="18"/>
              </w:rPr>
              <w:t>10</w:t>
            </w:r>
          </w:p>
        </w:tc>
        <w:tc>
          <w:tcPr>
            <w:tcW w:type="dxa" w:w="1928"/>
          </w:tcPr>
          <w:p>
            <w:pPr>
              <w:spacing w:after="40" w:before="40" w:line="240" w:lineRule="auto"/>
              <w:jc w:val="left"/>
            </w:pPr>
            <w:r/>
            <w:r>
              <w:rPr>
                <w:rFonts w:ascii="Times New Roman" w:hAnsi="Times New Roman"/>
                <w:b w:val="0"/>
                <w:sz w:val="18"/>
              </w:rPr>
              <w:t>KOMBATE Josué</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06</w:t>
            </w:r>
          </w:p>
        </w:tc>
        <w:tc>
          <w:tcPr>
            <w:tcW w:type="dxa" w:w="737"/>
          </w:tcPr>
          <w:p>
            <w:pPr>
              <w:spacing w:after="40" w:before="40" w:line="240" w:lineRule="auto"/>
              <w:jc w:val="left"/>
            </w:pPr>
            <w:r/>
            <w:r>
              <w:rPr>
                <w:rFonts w:ascii="Times New Roman" w:hAnsi="Times New Roman"/>
                <w:b w:val="0"/>
                <w:sz w:val="18"/>
              </w:rPr>
              <w:t>CM1</w:t>
            </w:r>
          </w:p>
        </w:tc>
        <w:tc>
          <w:tcPr>
            <w:tcW w:type="dxa" w:w="1928"/>
          </w:tcPr>
          <w:p>
            <w:pPr>
              <w:spacing w:after="40" w:before="40" w:line="240" w:lineRule="auto"/>
              <w:jc w:val="left"/>
            </w:pPr>
            <w:r/>
            <w:r>
              <w:rPr>
                <w:rFonts w:ascii="Times New Roman" w:hAnsi="Times New Roman"/>
                <w:b w:val="0"/>
                <w:sz w:val="18"/>
              </w:rPr>
              <w:t>M. ABIYOU Kossi</w:t>
            </w:r>
          </w:p>
        </w:tc>
        <w:tc>
          <w:tcPr>
            <w:tcW w:type="dxa" w:w="2494"/>
          </w:tcPr>
          <w:p>
            <w:pPr>
              <w:spacing w:after="40" w:before="40" w:line="240" w:lineRule="auto"/>
              <w:jc w:val="left"/>
            </w:pPr>
            <w:r/>
            <w:r>
              <w:rPr>
                <w:rFonts w:ascii="Times New Roman" w:hAnsi="Times New Roman"/>
                <w:b w:val="0"/>
                <w:sz w:val="18"/>
              </w:rPr>
              <w:t>Éducation sociale ; Mathématiques</w:t>
            </w:r>
          </w:p>
        </w:tc>
      </w:tr>
      <w:tr>
        <w:tc>
          <w:tcPr>
            <w:tcW w:type="dxa" w:w="567"/>
          </w:tcPr>
          <w:p>
            <w:pPr>
              <w:spacing w:after="40" w:before="40" w:line="240" w:lineRule="auto"/>
              <w:jc w:val="center"/>
            </w:pPr>
            <w:r/>
            <w:r>
              <w:rPr>
                <w:rFonts w:ascii="Times New Roman" w:hAnsi="Times New Roman"/>
                <w:b w:val="0"/>
                <w:sz w:val="18"/>
              </w:rPr>
              <w:t>11</w:t>
            </w:r>
          </w:p>
        </w:tc>
        <w:tc>
          <w:tcPr>
            <w:tcW w:type="dxa" w:w="1928"/>
          </w:tcPr>
          <w:p>
            <w:pPr>
              <w:spacing w:after="40" w:before="40" w:line="240" w:lineRule="auto"/>
              <w:jc w:val="left"/>
            </w:pPr>
            <w:r/>
            <w:r>
              <w:rPr>
                <w:rFonts w:ascii="Times New Roman" w:hAnsi="Times New Roman"/>
                <w:b w:val="0"/>
                <w:sz w:val="18"/>
              </w:rPr>
              <w:t>KOUSSOLMA Gorébéa</w:t>
            </w:r>
          </w:p>
        </w:tc>
        <w:tc>
          <w:tcPr>
            <w:tcW w:type="dxa" w:w="567"/>
          </w:tcPr>
          <w:p>
            <w:pPr>
              <w:spacing w:after="40" w:before="40" w:line="240" w:lineRule="auto"/>
              <w:jc w:val="left"/>
            </w:pPr>
            <w:r/>
            <w:r>
              <w:rPr>
                <w:rFonts w:ascii="Times New Roman" w:hAnsi="Times New Roman"/>
                <w:b w:val="0"/>
                <w:sz w:val="18"/>
              </w:rPr>
              <w:t>F</w:t>
            </w:r>
          </w:p>
        </w:tc>
        <w:tc>
          <w:tcPr>
            <w:tcW w:type="dxa" w:w="567"/>
          </w:tcPr>
          <w:p>
            <w:pPr>
              <w:spacing w:after="40" w:before="40" w:line="240" w:lineRule="auto"/>
              <w:jc w:val="center"/>
            </w:pPr>
            <w:r/>
            <w:r>
              <w:rPr>
                <w:rFonts w:ascii="Times New Roman" w:hAnsi="Times New Roman"/>
                <w:b w:val="0"/>
                <w:sz w:val="18"/>
              </w:rPr>
              <w:t>02</w:t>
            </w:r>
          </w:p>
        </w:tc>
        <w:tc>
          <w:tcPr>
            <w:tcW w:type="dxa" w:w="737"/>
          </w:tcPr>
          <w:p>
            <w:pPr>
              <w:spacing w:after="40" w:before="40" w:line="240" w:lineRule="auto"/>
              <w:jc w:val="left"/>
            </w:pPr>
            <w:r/>
            <w:r>
              <w:rPr>
                <w:rFonts w:ascii="Times New Roman" w:hAnsi="Times New Roman"/>
                <w:b w:val="0"/>
                <w:sz w:val="18"/>
              </w:rPr>
              <w:t>CM2</w:t>
            </w:r>
          </w:p>
        </w:tc>
        <w:tc>
          <w:tcPr>
            <w:tcW w:type="dxa" w:w="1928"/>
          </w:tcPr>
          <w:p>
            <w:pPr>
              <w:spacing w:after="40" w:before="40" w:line="240" w:lineRule="auto"/>
              <w:jc w:val="left"/>
            </w:pPr>
            <w:r/>
            <w:r>
              <w:rPr>
                <w:rFonts w:ascii="Times New Roman" w:hAnsi="Times New Roman"/>
                <w:b w:val="0"/>
                <w:sz w:val="18"/>
              </w:rPr>
              <w:t>M. KALENSOU Yao O.</w:t>
            </w:r>
          </w:p>
        </w:tc>
        <w:tc>
          <w:tcPr>
            <w:tcW w:type="dxa" w:w="2494"/>
          </w:tcPr>
          <w:p>
            <w:pPr>
              <w:spacing w:after="40" w:before="40" w:line="240" w:lineRule="auto"/>
              <w:jc w:val="left"/>
            </w:pPr>
            <w:r/>
            <w:r>
              <w:rPr>
                <w:rFonts w:ascii="Times New Roman" w:hAnsi="Times New Roman"/>
                <w:b w:val="0"/>
                <w:sz w:val="18"/>
              </w:rPr>
              <w:t>Sciences humaines</w:t>
            </w:r>
          </w:p>
        </w:tc>
      </w:tr>
      <w:tr>
        <w:tc>
          <w:tcPr>
            <w:tcW w:type="dxa" w:w="567"/>
          </w:tcPr>
          <w:p>
            <w:pPr>
              <w:spacing w:after="40" w:before="40" w:line="240" w:lineRule="auto"/>
              <w:jc w:val="center"/>
            </w:pPr>
            <w:r/>
            <w:r>
              <w:rPr>
                <w:rFonts w:ascii="Times New Roman" w:hAnsi="Times New Roman"/>
                <w:b w:val="0"/>
                <w:sz w:val="18"/>
              </w:rPr>
              <w:t>12</w:t>
            </w:r>
          </w:p>
        </w:tc>
        <w:tc>
          <w:tcPr>
            <w:tcW w:type="dxa" w:w="1928"/>
          </w:tcPr>
          <w:p>
            <w:pPr>
              <w:spacing w:after="40" w:before="40" w:line="240" w:lineRule="auto"/>
              <w:jc w:val="left"/>
            </w:pPr>
            <w:r/>
            <w:r>
              <w:rPr>
                <w:rFonts w:ascii="Times New Roman" w:hAnsi="Times New Roman"/>
                <w:b w:val="0"/>
                <w:sz w:val="18"/>
              </w:rPr>
              <w:t>POUTOULI Manèya</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03</w:t>
            </w:r>
          </w:p>
        </w:tc>
        <w:tc>
          <w:tcPr>
            <w:tcW w:type="dxa" w:w="737"/>
          </w:tcPr>
          <w:p>
            <w:pPr>
              <w:spacing w:after="40" w:before="40" w:line="240" w:lineRule="auto"/>
              <w:jc w:val="left"/>
            </w:pPr>
            <w:r/>
            <w:r>
              <w:rPr>
                <w:rFonts w:ascii="Times New Roman" w:hAnsi="Times New Roman"/>
                <w:b w:val="0"/>
                <w:sz w:val="18"/>
              </w:rPr>
              <w:t>CE1</w:t>
            </w:r>
          </w:p>
        </w:tc>
        <w:tc>
          <w:tcPr>
            <w:tcW w:type="dxa" w:w="1928"/>
          </w:tcPr>
          <w:p>
            <w:pPr>
              <w:spacing w:after="40" w:before="40" w:line="240" w:lineRule="auto"/>
              <w:jc w:val="left"/>
            </w:pPr>
            <w:r/>
            <w:r>
              <w:rPr>
                <w:rFonts w:ascii="Times New Roman" w:hAnsi="Times New Roman"/>
                <w:b w:val="0"/>
                <w:sz w:val="18"/>
              </w:rPr>
              <w:t>M. BATABA Nakou</w:t>
            </w:r>
          </w:p>
        </w:tc>
        <w:tc>
          <w:tcPr>
            <w:tcW w:type="dxa" w:w="2494"/>
          </w:tcPr>
          <w:p>
            <w:pPr>
              <w:spacing w:after="40" w:before="40" w:line="240" w:lineRule="auto"/>
              <w:jc w:val="left"/>
            </w:pPr>
            <w:r/>
            <w:r>
              <w:rPr>
                <w:rFonts w:ascii="Times New Roman" w:hAnsi="Times New Roman"/>
                <w:b w:val="0"/>
                <w:sz w:val="18"/>
              </w:rPr>
              <w:t>Mathématiques ; Je sais parler</w:t>
            </w:r>
          </w:p>
        </w:tc>
      </w:tr>
      <w:tr>
        <w:tc>
          <w:tcPr>
            <w:tcW w:type="dxa" w:w="567"/>
          </w:tcPr>
          <w:p>
            <w:pPr>
              <w:spacing w:after="40" w:before="40" w:line="240" w:lineRule="auto"/>
              <w:jc w:val="center"/>
            </w:pPr>
            <w:r/>
            <w:r>
              <w:rPr>
                <w:rFonts w:ascii="Times New Roman" w:hAnsi="Times New Roman"/>
                <w:b w:val="0"/>
                <w:sz w:val="18"/>
              </w:rPr>
              <w:t>13</w:t>
            </w:r>
          </w:p>
        </w:tc>
        <w:tc>
          <w:tcPr>
            <w:tcW w:type="dxa" w:w="1928"/>
          </w:tcPr>
          <w:p>
            <w:pPr>
              <w:spacing w:after="40" w:before="40" w:line="240" w:lineRule="auto"/>
              <w:jc w:val="left"/>
            </w:pPr>
            <w:r/>
            <w:r>
              <w:rPr>
                <w:rFonts w:ascii="Times New Roman" w:hAnsi="Times New Roman"/>
                <w:b w:val="0"/>
                <w:sz w:val="18"/>
              </w:rPr>
              <w:t>SOHOUDJI Kossivi</w:t>
            </w:r>
          </w:p>
        </w:tc>
        <w:tc>
          <w:tcPr>
            <w:tcW w:type="dxa" w:w="567"/>
          </w:tcPr>
          <w:p>
            <w:pPr>
              <w:spacing w:after="40" w:before="40" w:line="240" w:lineRule="auto"/>
              <w:jc w:val="left"/>
            </w:pPr>
            <w:r/>
            <w:r>
              <w:rPr>
                <w:rFonts w:ascii="Times New Roman" w:hAnsi="Times New Roman"/>
                <w:b w:val="0"/>
                <w:sz w:val="18"/>
              </w:rPr>
              <w:t>M</w:t>
            </w:r>
          </w:p>
        </w:tc>
        <w:tc>
          <w:tcPr>
            <w:tcW w:type="dxa" w:w="567"/>
          </w:tcPr>
          <w:p>
            <w:pPr>
              <w:spacing w:after="40" w:before="40" w:line="240" w:lineRule="auto"/>
              <w:jc w:val="center"/>
            </w:pPr>
            <w:r/>
            <w:r>
              <w:rPr>
                <w:rFonts w:ascii="Times New Roman" w:hAnsi="Times New Roman"/>
                <w:b w:val="0"/>
                <w:sz w:val="18"/>
              </w:rPr>
              <w:t>06</w:t>
            </w:r>
          </w:p>
        </w:tc>
        <w:tc>
          <w:tcPr>
            <w:tcW w:type="dxa" w:w="737"/>
          </w:tcPr>
          <w:p>
            <w:pPr>
              <w:spacing w:after="40" w:before="40" w:line="240" w:lineRule="auto"/>
              <w:jc w:val="left"/>
            </w:pPr>
            <w:r/>
            <w:r>
              <w:rPr>
                <w:rFonts w:ascii="Times New Roman" w:hAnsi="Times New Roman"/>
                <w:b w:val="0"/>
                <w:sz w:val="18"/>
              </w:rPr>
              <w:t>CM2</w:t>
            </w:r>
          </w:p>
        </w:tc>
        <w:tc>
          <w:tcPr>
            <w:tcW w:type="dxa" w:w="1928"/>
          </w:tcPr>
          <w:p>
            <w:pPr>
              <w:spacing w:after="40" w:before="40" w:line="240" w:lineRule="auto"/>
              <w:jc w:val="left"/>
            </w:pPr>
            <w:r/>
            <w:r>
              <w:rPr>
                <w:rFonts w:ascii="Times New Roman" w:hAnsi="Times New Roman"/>
                <w:b w:val="0"/>
                <w:sz w:val="18"/>
              </w:rPr>
              <w:t>M. KALENSOU Yao O.</w:t>
            </w:r>
          </w:p>
        </w:tc>
        <w:tc>
          <w:tcPr>
            <w:tcW w:type="dxa" w:w="2494"/>
          </w:tcPr>
          <w:p>
            <w:pPr>
              <w:spacing w:after="40" w:before="40" w:line="240" w:lineRule="auto"/>
              <w:jc w:val="left"/>
            </w:pPr>
            <w:r/>
            <w:r>
              <w:rPr>
                <w:rFonts w:ascii="Times New Roman" w:hAnsi="Times New Roman"/>
                <w:b w:val="0"/>
                <w:sz w:val="18"/>
              </w:rPr>
              <w:t>Compte rendu du CEPD blanc ; Révisions</w:t>
            </w:r>
          </w:p>
        </w:tc>
      </w:tr>
    </w:tbl>
    <w:p>
      <w:pPr>
        <w:spacing w:after="0"/>
      </w:pPr>
    </w:p>
    <w:p>
      <w:pPr>
        <w:spacing w:after="200"/>
        <w:jc w:val="left"/>
      </w:pPr>
      <w:r>
        <w:rPr>
          <w:rFonts w:ascii="Times New Roman" w:hAnsi="Times New Roman"/>
          <w:i/>
          <w:sz w:val="20"/>
        </w:rPr>
        <w:t>Source : fiches de suivi en stage de responsabilité, avril-mai 2026.</w:t>
      </w:r>
    </w:p>
    <w:p>
      <w:pPr>
        <w:spacing w:after="120"/>
        <w:ind w:firstLine="567"/>
        <w:jc w:val="both"/>
      </w:pPr>
      <w:r>
        <w:rPr>
          <w:rFonts w:ascii="Times New Roman" w:hAnsi="Times New Roman"/>
          <w:b w:val="0"/>
          <w:i w:val="0"/>
          <w:sz w:val="24"/>
        </w:rPr>
        <w:t>La lecture de ce tableau fournit un premier résultat qui anticipe sur le chapitre 4 et qui mérite d’être souligné dès à présent : sur les vingt-six leçons dispensées par les treize élèves-professeurs d’école que nous avons suivis, dans neuf classes différentes allant du CP1 au CM2, aucune ne relève de l’enseignement d’une langue nationale. Les disciplines représentées sont la lecture et l’écriture en français, les mathématiques, l’éducation sociale, les sciences humaines et les sciences et technologies. Ce constat, obtenu sans aucune intention démonstrative puisqu’il découle simplement des tableaux de service des écoles d’application, documente directement notre sixième question secondaire, relative au transfert des acquis de la formation dans les pratiques de classe au primaire. Nous y reviendrons en détail au point 4.6.</w:t>
      </w:r>
    </w:p>
    <w:p>
      <w:pPr>
        <w:pStyle w:val="Heading3"/>
        <w:jc w:val="left"/>
      </w:pPr>
      <w:r>
        <w:t>1.2.4. Entretiens, échanges professionnels et entretien-conseil</w:t>
      </w:r>
    </w:p>
    <w:p>
      <w:pPr>
        <w:spacing w:after="120"/>
        <w:ind w:firstLine="567"/>
        <w:jc w:val="both"/>
      </w:pPr>
      <w:r>
        <w:rPr>
          <w:rFonts w:ascii="Times New Roman" w:hAnsi="Times New Roman"/>
          <w:b w:val="0"/>
          <w:i w:val="0"/>
          <w:sz w:val="24"/>
        </w:rPr>
        <w:t>En dehors de la tenue effective des classes, plusieurs séances d’entretien et d’échanges ont également marqué les activités menées, notamment au cours du mois de mai. Elles ont essentiellement porté sur les nouvelles codifications des UE, l’organisation de la classe et l’animation pédagogique, la conception du tableau de service, l’entretien-conseil, la promotion de l’interdisciplinarité à travers la concertation avec les collègues d’autres champs disciplinaires, l’utilisation des techniques de pédagogie active, la soutenance des rapports de stage en responsabilité par les EPE, l’appropriation des outils de correction de ces rapports, ainsi que des échanges avec les EPE de la promotion 3 sur leur propre stage en responsabilité.</w:t>
      </w:r>
    </w:p>
    <w:p>
      <w:pPr>
        <w:spacing w:after="120"/>
        <w:ind w:firstLine="567"/>
        <w:jc w:val="both"/>
      </w:pPr>
      <w:r>
        <w:rPr>
          <w:rFonts w:ascii="Times New Roman" w:hAnsi="Times New Roman"/>
          <w:b w:val="0"/>
          <w:i w:val="0"/>
          <w:sz w:val="24"/>
        </w:rPr>
        <w:t>Ces derniers étant au semestre 4, consacré aux UE libres, nous avons également observé des séances de cours théoriques et pratiques portant sur la musique et les chants choraux, les plantes médicinales, le jardin potager, les arts scéniques, les règles de jeu et les techniques de tracé de terrain en EPS. Nous avons par ailleurs pris part à la surveillance des épreuves d’évaluation.</w:t>
      </w:r>
    </w:p>
    <w:p>
      <w:pPr>
        <w:spacing w:after="120"/>
        <w:ind w:firstLine="567"/>
        <w:jc w:val="both"/>
      </w:pPr>
      <w:r>
        <w:rPr>
          <w:rFonts w:ascii="Times New Roman" w:hAnsi="Times New Roman"/>
          <w:b w:val="0"/>
          <w:i w:val="0"/>
          <w:sz w:val="24"/>
        </w:rPr>
        <w:t>Un accent particulier a été mis, lors des échanges, sur l’entretien-conseil qui, loin d’être une évaluation sanctionnante, constitue une activité d’échanges autour d’une leçon dispensée en classe par le stagiaire, visant à améliorer ses pratiques pédagogiques. Il implique le stagiaire, ses encadrants dont le directeur d’école, ainsi que ses formateurs de l’ENFPE. Organisé en quatre temps au cours de la formation — les leçons de simulation entre pairs sous la supervision d’un formateur à l’ENFPE, les leçons d’essai dans les écoles d’application, les stages de pratiques accompagnées (SPA) 1 et 2, puis le stage en responsabilité —, l’entretien-conseil se veut une activité à la fois bienveillante et exigeante sur le plan professionnel. Il se déroule fondamentalement en cinq étapes :</w:t>
      </w:r>
    </w:p>
    <w:p>
      <w:pPr>
        <w:spacing w:after="80"/>
        <w:ind w:left="567" w:hanging="283"/>
        <w:jc w:val="both"/>
      </w:pPr>
      <w:r>
        <w:rPr>
          <w:rFonts w:ascii="Times New Roman" w:hAnsi="Times New Roman"/>
          <w:sz w:val="24"/>
        </w:rPr>
        <w:t>• La mise en confiance : cette première phase, qui ouvre la séance, permet aux évaluateurs de rassurer le stagiaire et de créer ainsi un climat favorable à sa performance.</w:t>
      </w:r>
    </w:p>
    <w:p>
      <w:pPr>
        <w:spacing w:after="80"/>
        <w:ind w:left="567" w:hanging="283"/>
        <w:jc w:val="both"/>
      </w:pPr>
      <w:r>
        <w:rPr>
          <w:rFonts w:ascii="Times New Roman" w:hAnsi="Times New Roman"/>
          <w:sz w:val="24"/>
        </w:rPr>
        <w:t>• L’autocritique du stagiaire : à ce niveau, la parole est donnée au stagiaire, qui revient sur les objectifs qu’il s’était fixés pour la leçon, ses impressions sur l’atteinte de ces objectifs, les étapes suivies lors de sa leçon, puis les difficultés rencontrées lors de sa prestation, sans passer sous silence leurs éventuelles causes.</w:t>
      </w:r>
    </w:p>
    <w:p>
      <w:pPr>
        <w:spacing w:after="80"/>
        <w:ind w:left="567" w:hanging="283"/>
        <w:jc w:val="both"/>
      </w:pPr>
      <w:r>
        <w:rPr>
          <w:rFonts w:ascii="Times New Roman" w:hAnsi="Times New Roman"/>
          <w:sz w:val="24"/>
        </w:rPr>
        <w:t>• L’intervention des formateurs : ces derniers, tout en relevant les aspects positifs et les aspects à améliorer et en proposant une régulation pour chaque cas, abordent systématiquement des points tels que la préparation de la classe, la conduite de la leçon, l’apprentissage des élèves, le travail quotidien et la conduite du stagiaire.</w:t>
      </w:r>
    </w:p>
    <w:p>
      <w:pPr>
        <w:spacing w:after="80"/>
        <w:ind w:left="567" w:hanging="283"/>
        <w:jc w:val="both"/>
      </w:pPr>
      <w:r>
        <w:rPr>
          <w:rFonts w:ascii="Times New Roman" w:hAnsi="Times New Roman"/>
          <w:sz w:val="24"/>
        </w:rPr>
        <w:t>• La synthèse par le stagiaire : il s’agit, pour le stagiaire, de reprendre de manière structurée l’essentiel des remarques formulées par les formateurs, afin de leur permettre de s’assurer qu’il a bien pris note et compris les points relevés.</w:t>
      </w:r>
    </w:p>
    <w:p>
      <w:pPr>
        <w:spacing w:after="80"/>
        <w:ind w:left="567" w:hanging="283"/>
        <w:jc w:val="both"/>
      </w:pPr>
      <w:r>
        <w:rPr>
          <w:rFonts w:ascii="Times New Roman" w:hAnsi="Times New Roman"/>
          <w:sz w:val="24"/>
        </w:rPr>
        <w:t>• L’appréciation générale : en guise de clôture de l’entretien, le formateur donne ses impressions générales sur le travail du stagiaire, de même que sur la qualité de l’encadrement effectué par le directeur d’école.</w:t>
      </w:r>
    </w:p>
    <w:p>
      <w:pPr>
        <w:pStyle w:val="Heading2"/>
        <w:jc w:val="left"/>
      </w:pPr>
      <w:r>
        <w:t>1.3. Acquis professionnels</w:t>
      </w:r>
    </w:p>
    <w:p>
      <w:pPr>
        <w:pStyle w:val="Heading3"/>
        <w:jc w:val="left"/>
      </w:pPr>
      <w:r>
        <w:t>1.3.1. L’architecture de l’évaluation dans les ENFPE</w:t>
      </w:r>
    </w:p>
    <w:p>
      <w:pPr>
        <w:spacing w:after="120"/>
        <w:ind w:firstLine="567"/>
        <w:jc w:val="both"/>
      </w:pPr>
      <w:r>
        <w:rPr>
          <w:rFonts w:ascii="Times New Roman" w:hAnsi="Times New Roman"/>
          <w:b w:val="0"/>
          <w:i w:val="0"/>
          <w:sz w:val="24"/>
        </w:rPr>
        <w:t>Ces différentes activités nous ont permis d’avoir un regard plus clair et plus approfondi sur les réalités que recouvrent les pratiques de classe lors de l’enseignement-apprentissage dans les écoles normales de formation des professeurs d’école ; ces réalités sont de différents ordres. Les séances de correction, ponctuées d’échanges avec les titulaires, nous ont permis de cerner l’architecture d’une épreuve d’évaluation dans les ENFPE : celle-ci est subdivisée en deux grandes parties, la première portant sur le domaine cognitif et notée sur huit points, la seconde sur l’aspect psychomoteur et notée sur douze points.</w:t>
      </w:r>
    </w:p>
    <w:p>
      <w:pPr>
        <w:spacing w:after="120"/>
        <w:ind w:firstLine="567"/>
        <w:jc w:val="both"/>
      </w:pPr>
      <w:r>
        <w:rPr>
          <w:rFonts w:ascii="Times New Roman" w:hAnsi="Times New Roman"/>
          <w:b w:val="0"/>
          <w:i w:val="0"/>
          <w:sz w:val="24"/>
        </w:rPr>
        <w:t>Une épreuve d’évaluation doit comporter au moins trois et au plus cinq notions à évaluer, codées A, B, C, etc., et pouvant être éclatées en sous-notions (A1, A2, A3…, B1, B2, B3…) selon le nombre de questions par notion. Chaque code représente une leçon ou des portions de leçons évaluées par le formateur. Une analyse de la production des EPE par notion évaluée est réalisée par le formateur afin de relever les difficultés rencontrées et de planifier une remédiation efficace. Les candidats n’ayant pas obtenu une note égale ou supérieure à 12 sur 20 sont alors astreints à la remédiation et au rattrapage.</w:t>
      </w:r>
    </w:p>
    <w:p>
      <w:pPr>
        <w:spacing w:after="120"/>
        <w:ind w:firstLine="567"/>
        <w:jc w:val="both"/>
      </w:pPr>
      <w:r>
        <w:rPr>
          <w:rFonts w:ascii="Times New Roman" w:hAnsi="Times New Roman"/>
          <w:b w:val="0"/>
          <w:i w:val="0"/>
          <w:sz w:val="24"/>
        </w:rPr>
        <w:t>Cette participation nous a permis de mesurer la différence entre le compte rendu, la correction magistrale d’une épreuve, et la remédiation. Cette dernière, beaucoup plus ciblée, offre aux EPE davantage de possibilités de revenir sur les questions ou notions leur ayant posé des difficultés lors de l’évaluation. Elle permet enfin au formateur d’approfondir le traitement des difficultés relevées afin d’assurer une formation complète et efficace à tous les candidats lors des sessions de rattrapage. Les sujets proposés, notamment pour les évaluations nationales, doivent impérativement être accompagnés d’un corrigé type et d’un tableau de codification.</w:t>
      </w:r>
    </w:p>
    <w:p>
      <w:pPr>
        <w:spacing w:after="120"/>
        <w:ind w:firstLine="567"/>
        <w:jc w:val="both"/>
      </w:pPr>
      <w:r>
        <w:rPr>
          <w:rFonts w:ascii="Times New Roman" w:hAnsi="Times New Roman"/>
          <w:b w:val="0"/>
          <w:i w:val="0"/>
          <w:sz w:val="24"/>
        </w:rPr>
        <w:t>Cette immersion dans le dispositif d’évaluation nous a par ailleurs permis de constater, de l’intérieur, un fait que nous discuterons longuement au chapitre 4 : l’éwégbé et le kabiyè sont évalués au sein d’une seule et même unité d’enseignement, sur une même feuille d’épreuve, et dans une langue — le français — qui n’est ni l’une ni l’autre. Ce dispositif d’évaluation n’est pas un détail administratif : il envoie aux élèves-professeurs d’école un signal institutionnel dont la portée sociolinguistique sera analysée à la lumière des travaux de Bourdieu (1982).</w:t>
      </w:r>
    </w:p>
    <w:p>
      <w:pPr>
        <w:pStyle w:val="Heading3"/>
        <w:jc w:val="left"/>
      </w:pPr>
      <w:r>
        <w:t>1.3.2. Transversalité et analyse professionnelle</w:t>
      </w:r>
    </w:p>
    <w:p>
      <w:pPr>
        <w:spacing w:after="120"/>
        <w:ind w:firstLine="567"/>
        <w:jc w:val="both"/>
      </w:pPr>
      <w:r>
        <w:rPr>
          <w:rFonts w:ascii="Times New Roman" w:hAnsi="Times New Roman"/>
          <w:b w:val="0"/>
          <w:i w:val="0"/>
          <w:sz w:val="24"/>
        </w:rPr>
        <w:t>Les séances d’entretien et de suivi de cours auxquelles nous avons pris part, notamment dans les différents champs disciplinaires, nous ont permis de mieux mesurer l’importance de la transversalité qu’exige notre nouvelle fonction, en particulier des démarches méthodologiques propres à chaque discipline. En clair, cette interdisciplinarité nous a permis d’acquérir des capacités d’analyse professionnelle pointues sur la prestation des professeurs d’école, quelle que soit la discipline enseignée dans une quelconque classe.</w:t>
      </w:r>
    </w:p>
    <w:p>
      <w:pPr>
        <w:spacing w:after="120"/>
        <w:ind w:firstLine="567"/>
        <w:jc w:val="both"/>
      </w:pPr>
      <w:r>
        <w:rPr>
          <w:rFonts w:ascii="Times New Roman" w:hAnsi="Times New Roman"/>
          <w:b w:val="0"/>
          <w:i w:val="0"/>
          <w:sz w:val="24"/>
        </w:rPr>
        <w:t>L’analyse des difficultés rencontrées au stage de pratique accompagnée 1 de la promotion 4, menée avec les doyens formateurs, nous a permis de nous aguerrir à cette activité qui requiert, elle aussi, beaucoup de professionnalisme dans son élaboration : il s’agit de relever des observations sur l’attitude des EPE stagiaires ainsi que sur celle de leurs titulaires et directeurs encadrants. Chaque aspect de cette activité requiert une vue scientifique dans la mesure où toutes les observations faites dans ce cadre sont évaluées en pourcentage et non sur la base de déclarations fortuites. Il s’agit donc d’un travail hautement méthodique, dont nous nous sommes d’ailleurs inspiré pour construire le protocole de dépouillement présenté au chapitre 3.</w:t>
      </w:r>
    </w:p>
    <w:p>
      <w:pPr>
        <w:pStyle w:val="Heading3"/>
        <w:jc w:val="left"/>
      </w:pPr>
      <w:r>
        <w:t>1.3.3. De la pédagogie à l’andragogie : un changement de posture</w:t>
      </w:r>
    </w:p>
    <w:p>
      <w:pPr>
        <w:spacing w:after="120"/>
        <w:ind w:firstLine="567"/>
        <w:jc w:val="both"/>
      </w:pPr>
      <w:r>
        <w:rPr>
          <w:rFonts w:ascii="Times New Roman" w:hAnsi="Times New Roman"/>
          <w:b w:val="0"/>
          <w:i w:val="0"/>
          <w:sz w:val="24"/>
        </w:rPr>
        <w:t>La tenue des classes nous a été bénéfique en ce qu’elle a constitué une transition entre l’approche pédagogique pratiquée au secondaire et l’andragogie, désormais au cœur de notre pratique quotidienne : l’enseignant n’y est plus le seul gestionnaire de la discipline lors des activités d’enseignement-apprentissage, mais est assisté par un comité mis en place de concert avec les apprenants. Nous nous sommes également familiarisé avec l’organisation interne d’un groupe-classe dans les ENFPE, où l’on trouve par exemple un responsable de la parole ainsi qu’un gestionnaire du temps et du matériel.</w:t>
      </w:r>
    </w:p>
    <w:p>
      <w:pPr>
        <w:spacing w:after="120"/>
        <w:ind w:firstLine="567"/>
        <w:jc w:val="both"/>
      </w:pPr>
      <w:r>
        <w:rPr>
          <w:rFonts w:ascii="Times New Roman" w:hAnsi="Times New Roman"/>
          <w:b w:val="0"/>
          <w:i w:val="0"/>
          <w:sz w:val="24"/>
        </w:rPr>
        <w:t>Le premier est celui qui désigne qui doit faire quoi, quand et comment. Le deuxième veille à la durée de détention de la parole en vue d’une gestion efficiente du temps de cours lors des travaux de recherche individuels et/ou en groupes. Le gestionnaire du matériel, comme son nom l’indique, s’assure de la disponibilité du matériel didactique et pédagogique nécessaire lors des activités de classe. Nous nous sommes également approprié les notions de prise en main et d’entretien du matin, qui ne faisaient pas partie de nos pratiques de classe au secondaire. Une initiation à la conception en ligne de sujets d’évaluation des EPE, qu’il conviendra de perfectionner, nous a également été proposée ; elle nous sera utile à l’ère de la digitalisation et de l’évolution technologique.</w:t>
      </w:r>
    </w:p>
    <w:p>
      <w:pPr>
        <w:spacing w:after="120"/>
        <w:ind w:firstLine="567"/>
        <w:jc w:val="both"/>
      </w:pPr>
      <w:r>
        <w:rPr>
          <w:rFonts w:ascii="Times New Roman" w:hAnsi="Times New Roman"/>
          <w:b w:val="0"/>
          <w:i w:val="0"/>
          <w:sz w:val="24"/>
        </w:rPr>
        <w:t>La rencontre avec la délégation ministérielle, le mercredi 25 mars 2026, nous a apporté des conseils pratiques portant sur la collaboration avec l’administration, l’entretien de bonnes relations entre collègues et apprenants, l’humilité, les comportements attendus d’un bon formateur au sein de la société, ainsi que la prohibition des relations inappropriées.</w:t>
      </w:r>
    </w:p>
    <w:p>
      <w:pPr>
        <w:pStyle w:val="Heading3"/>
        <w:jc w:val="left"/>
      </w:pPr>
      <w:r>
        <w:t>1.3.4. La codification des unités d’enseignement</w:t>
      </w:r>
    </w:p>
    <w:p>
      <w:pPr>
        <w:spacing w:after="120"/>
        <w:ind w:firstLine="567"/>
        <w:jc w:val="both"/>
      </w:pPr>
      <w:r>
        <w:rPr>
          <w:rFonts w:ascii="Times New Roman" w:hAnsi="Times New Roman"/>
          <w:b w:val="0"/>
          <w:i w:val="0"/>
          <w:sz w:val="24"/>
        </w:rPr>
        <w:t>Les échanges relatifs à la nouvelle codification des UE nous ont permis de mieux appréhender les cinq catégories d’UE administrées dans les ENFPE :</w:t>
      </w:r>
    </w:p>
    <w:p>
      <w:pPr>
        <w:spacing w:after="80"/>
        <w:ind w:left="567" w:hanging="283"/>
        <w:jc w:val="both"/>
      </w:pPr>
      <w:r>
        <w:rPr>
          <w:rFonts w:ascii="Times New Roman" w:hAnsi="Times New Roman"/>
          <w:sz w:val="24"/>
        </w:rPr>
        <w:t>• les UE fondamentales, à valider obligatoirement ;</w:t>
      </w:r>
    </w:p>
    <w:p>
      <w:pPr>
        <w:spacing w:after="80"/>
        <w:ind w:left="567" w:hanging="283"/>
        <w:jc w:val="both"/>
      </w:pPr>
      <w:r>
        <w:rPr>
          <w:rFonts w:ascii="Times New Roman" w:hAnsi="Times New Roman"/>
          <w:sz w:val="24"/>
        </w:rPr>
        <w:t>• les UE complémentaires, qui viennent les compléter en offrant une ouverture aux EPE ;</w:t>
      </w:r>
    </w:p>
    <w:p>
      <w:pPr>
        <w:spacing w:after="80"/>
        <w:ind w:left="567" w:hanging="283"/>
        <w:jc w:val="both"/>
      </w:pPr>
      <w:r>
        <w:rPr>
          <w:rFonts w:ascii="Times New Roman" w:hAnsi="Times New Roman"/>
          <w:sz w:val="24"/>
        </w:rPr>
        <w:t>• les UE d’approfondissement, qui visent un renforcement notionnel dans la discipline ;</w:t>
      </w:r>
    </w:p>
    <w:p>
      <w:pPr>
        <w:spacing w:after="80"/>
        <w:ind w:left="567" w:hanging="283"/>
        <w:jc w:val="both"/>
      </w:pPr>
      <w:r>
        <w:rPr>
          <w:rFonts w:ascii="Times New Roman" w:hAnsi="Times New Roman"/>
          <w:sz w:val="24"/>
        </w:rPr>
        <w:t>• les UE de spécialité, qui favorisent l’acquisition de compétences professionnelles à travers des enseignements présentiels et des visites de terrain ;</w:t>
      </w:r>
    </w:p>
    <w:p>
      <w:pPr>
        <w:spacing w:after="80"/>
        <w:ind w:left="567" w:hanging="283"/>
        <w:jc w:val="both"/>
      </w:pPr>
      <w:r>
        <w:rPr>
          <w:rFonts w:ascii="Times New Roman" w:hAnsi="Times New Roman"/>
          <w:sz w:val="24"/>
        </w:rPr>
        <w:t>• les UE libres, qui proposent des activités complémentaires à la discipline initiale dans des domaines variés ; chaque EPE en choisit deux qu’il ou elle devra impérativement valider au troisième semestre.</w:t>
      </w:r>
    </w:p>
    <w:p>
      <w:pPr>
        <w:spacing w:after="120"/>
        <w:ind w:firstLine="567"/>
        <w:jc w:val="both"/>
      </w:pPr>
      <w:r>
        <w:rPr>
          <w:rFonts w:ascii="Times New Roman" w:hAnsi="Times New Roman"/>
          <w:b w:val="0"/>
          <w:i w:val="0"/>
          <w:sz w:val="24"/>
        </w:rPr>
        <w:t>L’organisation de la classe nous a éclairé sur la constitution des groupes-classes et l’attribution des titulaires ; l’animation pédagogique, marquée par les prises en main et l’entretien du matin comme nous l’avons mentionné plus haut, s’avère obligatoire pour les premiers cours de la journée. En effet, cette activité est d’une importance capitale pour un bon apprentissage, notamment en expression orale. L’utilisation des techniques de pédagogie active se révèle également essentielle, en ce qu’elle place l’apprenant au centre de l’apprentissage et favorise son épanouissement. Enfin, les échanges portant sur l’appropriation des outils de correction des rapports de stage en responsabilité, la correction de ces rapports et la participation aux soutenances nous ont permis d’acquérir des compétences professionnelles supplémentaires pour notre future carrière.</w:t>
      </w:r>
    </w:p>
    <w:p>
      <w:pPr>
        <w:spacing w:after="120"/>
        <w:ind w:firstLine="567"/>
        <w:jc w:val="both"/>
      </w:pPr>
      <w:r>
        <w:rPr>
          <w:rFonts w:ascii="Times New Roman" w:hAnsi="Times New Roman"/>
          <w:b w:val="0"/>
          <w:i w:val="0"/>
          <w:sz w:val="24"/>
        </w:rPr>
        <w:t>Cette typologie mérite d’être retenue, car elle éclaire un point sensible : l’éwégbé et le kabiyè constituent, ensemble, une seule unité d’enseignement. La place qui leur est assignée dans cette hiérarchie d’unités détermine mécaniquement le volume horaire, le coefficient et, en définitive, l’investissement que les élèves-professeurs d’école consentiront à leur apprentissage. Ce point fera l’objet d’un traitement approfondi aux sections 4.4 et 4.9.</w:t>
      </w:r>
    </w:p>
    <w:p>
      <w:pPr>
        <w:pStyle w:val="Heading2"/>
        <w:jc w:val="left"/>
      </w:pPr>
      <w:r>
        <w:t>1.4. Difficultés rencontrées</w:t>
      </w:r>
    </w:p>
    <w:p>
      <w:pPr>
        <w:spacing w:after="120"/>
        <w:ind w:firstLine="567"/>
        <w:jc w:val="both"/>
      </w:pPr>
      <w:r>
        <w:rPr>
          <w:rFonts w:ascii="Times New Roman" w:hAnsi="Times New Roman"/>
          <w:b w:val="0"/>
          <w:i w:val="0"/>
          <w:sz w:val="24"/>
        </w:rPr>
        <w:t>La mise en œuvre de ce stage s’est toutefois heurtée à des contingences matérielles et institutionnelles. La perfection n’étant pas de ce monde, nous avons dû faire face à des difficultés sur plusieurs plans.</w:t>
      </w:r>
    </w:p>
    <w:p>
      <w:pPr>
        <w:pStyle w:val="Heading3"/>
        <w:jc w:val="left"/>
      </w:pPr>
      <w:r>
        <w:t>1.4.1. Le manque d’engouement des élèves-professeurs d’école</w:t>
      </w:r>
    </w:p>
    <w:p>
      <w:pPr>
        <w:spacing w:after="120"/>
        <w:ind w:firstLine="567"/>
        <w:jc w:val="both"/>
      </w:pPr>
      <w:r>
        <w:rPr>
          <w:rFonts w:ascii="Times New Roman" w:hAnsi="Times New Roman"/>
          <w:b w:val="0"/>
          <w:i w:val="0"/>
          <w:sz w:val="24"/>
        </w:rPr>
        <w:t>Sous prétexte que la langue éwé « ne sert à rien dans le domaine professionnel, notamment dans les administrations » ou qu’elle « n’offre aucune opportunité d’emploi », la plupart des étudiants ne lui accordent guère d’importance, arguant qu’aucune place n’est aujourd’hui réservée à l’enseignement des langues nationales sur les tableaux de service du primaire. La démotivation entretenue au sein des cellules familiales n’est pas non plus négligeable dans le faible crédit accordé à la langue par les apprenants.</w:t>
      </w:r>
    </w:p>
    <w:p>
      <w:pPr>
        <w:spacing w:after="120"/>
        <w:ind w:firstLine="567"/>
        <w:jc w:val="both"/>
      </w:pPr>
      <w:r>
        <w:rPr>
          <w:rFonts w:ascii="Times New Roman" w:hAnsi="Times New Roman"/>
          <w:b w:val="0"/>
          <w:i w:val="0"/>
          <w:sz w:val="24"/>
        </w:rPr>
        <w:t>Cet état de fait est, à notre avis, en partie imputable au mépris affiché par les colonisateurs à l’égard des langues locales africaines depuis la colonisation, à travers l’institution du « signal » dans les colonies françaises, où parler une langue africaine constituait une faute grave. Cette pratique, ancrée dans l’esprit des parents depuis des décennies, peine à s’estomper et pousse certains d’entre eux à délaisser complètement leurs langues au profit de celle du colonisateur.</w:t>
      </w:r>
    </w:p>
    <w:p>
      <w:pPr>
        <w:spacing w:after="120"/>
        <w:ind w:firstLine="567"/>
        <w:jc w:val="both"/>
      </w:pPr>
      <w:r>
        <w:rPr>
          <w:rFonts w:ascii="Times New Roman" w:hAnsi="Times New Roman"/>
          <w:b w:val="0"/>
          <w:i w:val="0"/>
          <w:sz w:val="24"/>
        </w:rPr>
        <w:t>Autre constat tout aussi préoccupant : la plupart des EPE, à l’instar des élèves du secondaire, continuent de considérer les langues nationales dans les ENFPE comme des matières facultatives et ne leur accordent que peu d’importance. Il est ainsi fréquent d’entendre des apprenants, et même des collègues, demander : « Doit-on aussi rattraper les langues nationales ? »</w:t>
      </w:r>
    </w:p>
    <w:p>
      <w:pPr>
        <w:pStyle w:val="Heading3"/>
        <w:jc w:val="left"/>
      </w:pPr>
      <w:r>
        <w:t>1.4.2. Le déficit documentaire et matériel</w:t>
      </w:r>
    </w:p>
    <w:p>
      <w:pPr>
        <w:spacing w:after="120"/>
        <w:ind w:firstLine="567"/>
        <w:jc w:val="both"/>
      </w:pPr>
      <w:r>
        <w:rPr>
          <w:rFonts w:ascii="Times New Roman" w:hAnsi="Times New Roman"/>
          <w:b w:val="0"/>
          <w:i w:val="0"/>
          <w:sz w:val="24"/>
        </w:rPr>
        <w:t>L’absence de document officiel relatif à l’enseignement-apprentissage de l’éwégbé dans la bibliothèque du centre de formation ne facilite pas la tâche des formateurs, le volume horaire imparti ne leur laissant pas la possibilité d’approfondir la matière à travers des séances de lecture et d’étude de textes propres à motiver les apprenants ; nous avons également constaté un manque de documents devant servir de supports de lecture pour améliorer, à tout le moins, l’expression orale.</w:t>
      </w:r>
    </w:p>
    <w:p>
      <w:pPr>
        <w:spacing w:after="120"/>
        <w:ind w:firstLine="567"/>
        <w:jc w:val="both"/>
      </w:pPr>
      <w:r>
        <w:rPr>
          <w:rFonts w:ascii="Times New Roman" w:hAnsi="Times New Roman"/>
          <w:b w:val="0"/>
          <w:i w:val="0"/>
          <w:sz w:val="24"/>
        </w:rPr>
        <w:t>Par ailleurs, les conditions financières des EPE ne leur permettent pas de réaliser régulièrement les photocopies nécessaires à des activités propres à asseoir un apprentissage, voire une réelle maîtrise de la langue. À ces difficultés financières s’ajoute l’indisponibilité de la connexion Wi-Fi ; malgré l’existence du dispositif technique, l’administration évoque souvent un manque de moyens financiers pour l’approvisionner en données.</w:t>
      </w:r>
    </w:p>
    <w:p>
      <w:pPr>
        <w:pStyle w:val="Heading3"/>
        <w:jc w:val="left"/>
      </w:pPr>
      <w:r>
        <w:t>1.4.3. Les conditions matérielles d’existence des apprenants</w:t>
      </w:r>
    </w:p>
    <w:p>
      <w:pPr>
        <w:spacing w:after="120"/>
        <w:ind w:firstLine="567"/>
        <w:jc w:val="both"/>
      </w:pPr>
      <w:r>
        <w:rPr>
          <w:rFonts w:ascii="Times New Roman" w:hAnsi="Times New Roman"/>
          <w:b w:val="0"/>
          <w:i w:val="0"/>
          <w:sz w:val="24"/>
        </w:rPr>
        <w:t>Une autre difficulté tient au manque d’eau dans le centre de formation, en particulier dans les dortoirs, où les EPE ont pourtant un besoin vital de cette ressource : au lieu de consacrer leurs soirées aux devoirs et aux recherches, ils passent souvent une bonne partie de la nuit à faire la queue devant l’unique robinet fonctionnel ou à parcourir le quartier à la recherche d’eau. Un dernier facteur non négligeable est la mauvaise qualité des toitures de certains dortoirs, qui expose leurs occupants à de réelles épreuves à la moindre pluie.</w:t>
      </w:r>
    </w:p>
    <w:p>
      <w:pPr>
        <w:spacing w:after="120"/>
        <w:ind w:firstLine="567"/>
        <w:jc w:val="both"/>
      </w:pPr>
      <w:r>
        <w:rPr>
          <w:rFonts w:ascii="Times New Roman" w:hAnsi="Times New Roman"/>
          <w:b w:val="0"/>
          <w:i w:val="0"/>
          <w:sz w:val="24"/>
        </w:rPr>
        <w:t>Toutes ces situations ont retenu notre attention car, compte tenu du faible crédit déjà accordé à l’éwégbé en termes de volume horaire, des préjugés socioculturels et de la complexité perçue de la langue par certains apprenants, il apparaît que les EPE, confrontés à ces contraintes, consacrent le peu de temps dont ils disposent aux unités d’enseignement longtemps présentées comme fondamentales, au détriment de l’une de leurs langues nationales qu’est l’éwégbé, ce qui complique d’autant la tâche du formateur. Autrement dit, les conditions de vie matérielle des apprenants ne sont pas extérieures à la question didactique : elles en constituent une variable à part entière.</w:t>
      </w:r>
    </w:p>
    <w:p>
      <w:pPr>
        <w:pStyle w:val="Heading3"/>
        <w:jc w:val="left"/>
      </w:pPr>
      <w:r>
        <w:t>1.4.4. Les difficultés propres à la conduite de la classe</w:t>
      </w:r>
    </w:p>
    <w:p>
      <w:pPr>
        <w:spacing w:after="120"/>
        <w:ind w:firstLine="567"/>
        <w:jc w:val="both"/>
      </w:pPr>
      <w:r>
        <w:rPr>
          <w:rFonts w:ascii="Times New Roman" w:hAnsi="Times New Roman"/>
          <w:b w:val="0"/>
          <w:i w:val="0"/>
          <w:sz w:val="24"/>
        </w:rPr>
        <w:t>Le module de formation, dont les objectifs sont clairement définis, ayant été mis à notre disposition, nous n’avons éprouvé aucune difficulté particulière dans la préparation des leçons. Un défi s’est en revanche régulièrement présenté en matière de gestion de la classe : celui de laisser l’autonomie nécessaire au responsable de la parole au cours des leçons, en particulier lorsqu’il s’agissait de respecter un temps imparti serré.</w:t>
      </w:r>
    </w:p>
    <w:p>
      <w:pPr>
        <w:pStyle w:val="Heading2"/>
        <w:jc w:val="left"/>
      </w:pPr>
      <w:r>
        <w:t>1.5. Analyse des difficultés rencontrées</w:t>
      </w:r>
    </w:p>
    <w:p>
      <w:pPr>
        <w:spacing w:after="120"/>
        <w:ind w:firstLine="567"/>
        <w:jc w:val="both"/>
      </w:pPr>
      <w:r>
        <w:rPr>
          <w:rFonts w:ascii="Times New Roman" w:hAnsi="Times New Roman"/>
          <w:b w:val="0"/>
          <w:i w:val="0"/>
          <w:sz w:val="24"/>
        </w:rPr>
        <w:t>Notre analyse des difficultés susmentionnées portera sur quatre facteurs explicatifs principaux, qu’il convient de distinguer soigneusement car ils n’appellent pas les mêmes réponses institutionnelles.</w:t>
      </w:r>
    </w:p>
    <w:p>
      <w:pPr>
        <w:spacing w:after="120"/>
        <w:ind w:firstLine="567"/>
        <w:jc w:val="both"/>
      </w:pPr>
      <w:r>
        <w:rPr>
          <w:rFonts w:ascii="Times New Roman" w:hAnsi="Times New Roman"/>
          <w:b w:val="0"/>
          <w:i w:val="0"/>
          <w:sz w:val="24"/>
        </w:rPr>
        <w:t>Premièrement, l’absence de débouché professionnel. L’éwégbé ne garantit, en l’état actuel des choses, aucun débouché : ni concours, ni poste, ni prime, ni certification autonome. Ce facteur relève de ce que Bourdieu (1982) nomme la valeur d’une langue sur le marché linguistique ; il est le plus lourd et le moins accessible à une intervention purement pédagogique.</w:t>
      </w:r>
    </w:p>
    <w:p>
      <w:pPr>
        <w:spacing w:after="120"/>
        <w:ind w:firstLine="567"/>
        <w:jc w:val="both"/>
      </w:pPr>
      <w:r>
        <w:rPr>
          <w:rFonts w:ascii="Times New Roman" w:hAnsi="Times New Roman"/>
          <w:b w:val="0"/>
          <w:i w:val="0"/>
          <w:sz w:val="24"/>
        </w:rPr>
        <w:t>Deuxièmement, l’incohérence entre le lieu de formation et le lieu d’exercice. Les EPE dénoncent le fait que l’éwégbé ne soit pas réellement enseignée dans les classes du primaire où ils sont pourtant censés intervenir au terme de leur formation. Le tableau 3 ci-dessus en administre la preuve factuelle. Cette incohérence disqualifie d’avance la formation reçue aux yeux des apprenants.</w:t>
      </w:r>
    </w:p>
    <w:p>
      <w:pPr>
        <w:spacing w:after="120"/>
        <w:ind w:firstLine="567"/>
        <w:jc w:val="both"/>
      </w:pPr>
      <w:r>
        <w:rPr>
          <w:rFonts w:ascii="Times New Roman" w:hAnsi="Times New Roman"/>
          <w:b w:val="0"/>
          <w:i w:val="0"/>
          <w:sz w:val="24"/>
        </w:rPr>
        <w:t>Troisièmement, la non-valorisation institutionnelle. Les autorités politiques et éducatives maintiennent les langues nationales à un statut facultatif au secondaire, en contradiction avec les recommandations de la réforme de 1975. Ce facteur est, lui, directement réversible par voie réglementaire.</w:t>
      </w:r>
    </w:p>
    <w:p>
      <w:pPr>
        <w:spacing w:after="120"/>
        <w:ind w:firstLine="567"/>
        <w:jc w:val="both"/>
      </w:pPr>
      <w:r>
        <w:rPr>
          <w:rFonts w:ascii="Times New Roman" w:hAnsi="Times New Roman"/>
          <w:b w:val="0"/>
          <w:i w:val="0"/>
          <w:sz w:val="24"/>
        </w:rPr>
        <w:t>Quatrièmement, les séquelles de la colonisation et les représentations familiales. Nos langues sont encore perçues comme archaïques au sein de nombreuses familles : l’enfant qui s’exprime en langue étrangère y est perçu comme civilisé et promis à un avenir meilleur, ce qui explique qu’il ne soit pas rare de lire l’inscription « Parlons tous français » à l’entrée, dans les couloirs ou dans les classes de certains établissements scolaires. Les langues maternelles sont malheureusement moins encouragées, voire interdites, dans certaines cellules familiales.</w:t>
      </w:r>
    </w:p>
    <w:p>
      <w:pPr>
        <w:spacing w:after="120"/>
        <w:ind w:firstLine="567"/>
        <w:jc w:val="both"/>
      </w:pPr>
      <w:r>
        <w:rPr>
          <w:rFonts w:ascii="Times New Roman" w:hAnsi="Times New Roman"/>
          <w:b w:val="0"/>
          <w:i w:val="0"/>
          <w:sz w:val="24"/>
        </w:rPr>
        <w:t>Enfin, l’on conviendra que l’absence de livres de lecture dans une classe de langue ne saurait favoriser un bon apprentissage. Ce déficit serait-il imputable à un manque de volonté politique, à une démission ou à un manque de moyens financiers ? C’est l’une des questions que le présent mémoire s’efforcera d’instruire.</w:t>
      </w:r>
    </w:p>
    <w:p>
      <w:pPr>
        <w:pStyle w:val="Heading2"/>
        <w:jc w:val="left"/>
      </w:pPr>
      <w:r>
        <w:t>1.6. Suggestions issues du stage</w:t>
      </w:r>
    </w:p>
    <w:p>
      <w:pPr>
        <w:spacing w:after="120"/>
        <w:ind w:firstLine="567"/>
        <w:jc w:val="both"/>
      </w:pPr>
      <w:r>
        <w:rPr>
          <w:rFonts w:ascii="Times New Roman" w:hAnsi="Times New Roman"/>
          <w:b w:val="0"/>
          <w:i w:val="0"/>
          <w:sz w:val="24"/>
        </w:rPr>
        <w:t>Eu égard aux difficultés rencontrées au cours de notre stage, nous formulons les suggestions suivantes, qui seront reprises et systématisées au chapitre 5 :</w:t>
      </w:r>
    </w:p>
    <w:p>
      <w:pPr>
        <w:spacing w:after="80"/>
        <w:ind w:left="567" w:hanging="283"/>
        <w:jc w:val="both"/>
      </w:pPr>
      <w:r>
        <w:rPr>
          <w:rFonts w:ascii="Times New Roman" w:hAnsi="Times New Roman"/>
          <w:sz w:val="24"/>
        </w:rPr>
        <w:t>• la mise en œuvre effective de la recommandation de la réforme de 1975 consistant à enseigner les langues nationales dès le cours primaire ;</w:t>
      </w:r>
    </w:p>
    <w:p>
      <w:pPr>
        <w:spacing w:after="80"/>
        <w:ind w:left="567" w:hanging="283"/>
        <w:jc w:val="both"/>
      </w:pPr>
      <w:r>
        <w:rPr>
          <w:rFonts w:ascii="Times New Roman" w:hAnsi="Times New Roman"/>
          <w:sz w:val="24"/>
        </w:rPr>
        <w:t>• la mise en place ou la création d’instituts ou d’écoles supérieures de spécialisation en langue éwé, afin de former des formateurs hautement qualifiés ;</w:t>
      </w:r>
    </w:p>
    <w:p>
      <w:pPr>
        <w:spacing w:after="80"/>
        <w:ind w:left="567" w:hanging="283"/>
        <w:jc w:val="both"/>
      </w:pPr>
      <w:r>
        <w:rPr>
          <w:rFonts w:ascii="Times New Roman" w:hAnsi="Times New Roman"/>
          <w:sz w:val="24"/>
        </w:rPr>
        <w:t>• l’incitation de l’Académie éwé à produire du vocabulaire en phase avec l’évolution des nouvelles technologies, avec la parution et la mise en circulation d’un dictionnaire officiel afin d’éviter la prolifération de formes dialectales approximatives en lieu et place de l’éwégbé standard sur les réseaux sociaux ;</w:t>
      </w:r>
    </w:p>
    <w:p>
      <w:pPr>
        <w:spacing w:after="80"/>
        <w:ind w:left="567" w:hanging="283"/>
        <w:jc w:val="both"/>
      </w:pPr>
      <w:r>
        <w:rPr>
          <w:rFonts w:ascii="Times New Roman" w:hAnsi="Times New Roman"/>
          <w:sz w:val="24"/>
        </w:rPr>
        <w:t>• la mise à la disposition des ENFPE de documents adaptés pouvant servir de supports de lecture et d’activités orales intensives, dans l’optique de faciliter la communication orale et de développer les aptitudes de compréhension ;</w:t>
      </w:r>
    </w:p>
    <w:p>
      <w:pPr>
        <w:spacing w:after="80"/>
        <w:ind w:left="567" w:hanging="283"/>
        <w:jc w:val="both"/>
      </w:pPr>
      <w:r>
        <w:rPr>
          <w:rFonts w:ascii="Times New Roman" w:hAnsi="Times New Roman"/>
          <w:sz w:val="24"/>
        </w:rPr>
        <w:t>• l’élaboration par l’État d’une véritable politique de valorisation des langues nationales, avec effet immédiat, à l’image de ce qui a été fait pour l’anglais au cours primaire.</w:t>
      </w:r>
    </w:p>
    <w:p>
      <w:pPr>
        <w:pStyle w:val="Heading2"/>
        <w:jc w:val="left"/>
      </w:pPr>
      <w:r>
        <w:t>1.7. Conclusion partielle</w:t>
      </w:r>
    </w:p>
    <w:p>
      <w:pPr>
        <w:spacing w:after="120"/>
        <w:ind w:firstLine="567"/>
        <w:jc w:val="both"/>
      </w:pPr>
      <w:r>
        <w:rPr>
          <w:rFonts w:ascii="Times New Roman" w:hAnsi="Times New Roman"/>
          <w:b w:val="0"/>
          <w:i w:val="0"/>
          <w:sz w:val="24"/>
        </w:rPr>
        <w:t>Ce stage en responsabilité, effectué du 16 mars au 12 juin 2026 à l’ENFPE de Notsè, nous a permis de prendre part à plusieurs activités pédagogiques conformément aux pratiques en vigueur dans les ENFPE. Nous avons notamment observé la préparation des activités de classe ainsi que leur mise en œuvre par nos formateurs titulaires, suivies d’échanges, avant d’assurer nous-même la tenue de classes, de participer à l’organisation, à l’encadrement et à l’accompagnement des EPE lors de leur stage en responsabilité, ainsi qu’au processus d’évaluation des EPE. Nous y avons été impliqué de bout en bout, soit en présentiel pour la plupart des activités, soit par représentation suivie de restitution dans le cas des délibérations, ce qui nous a conféré de nombreuses aptitudes qu’il ne reste qu’à perfectionner avec le temps.</w:t>
      </w:r>
    </w:p>
    <w:p>
      <w:pPr>
        <w:spacing w:after="120"/>
        <w:ind w:firstLine="567"/>
        <w:jc w:val="both"/>
      </w:pPr>
      <w:r>
        <w:rPr>
          <w:rFonts w:ascii="Times New Roman" w:hAnsi="Times New Roman"/>
          <w:b w:val="0"/>
          <w:i w:val="0"/>
          <w:sz w:val="24"/>
        </w:rPr>
        <w:t>Surtout, ce stage a fait émerger un faisceau de constats convergents : un formateur unique pour chaque langue nationale face à sept cents apprenants, l’absence de manuels et de dictionnaires, un volume horaire résiduel, une évaluation conduite en français, une langue absente des tableaux de service des écoles d’application, et des apprenants démotivés. Ces constats, jusqu’ici épars, appellent désormais une construction rigoureuse en problème de recherche. C’est l’objet du chapitre suivant.</w:t>
      </w:r>
    </w:p>
    <w:p>
      <w:r>
        <w:br w:type="page"/>
      </w:r>
    </w:p>
    <w:p>
      <w:pPr>
        <w:pStyle w:val="Heading1"/>
        <w:jc w:val="left"/>
      </w:pPr>
      <w:r>
        <w:t>CHAPITRE 2 : CONSTRUCTION DU PROBLÈME DE RECHERCHE</w:t>
      </w:r>
    </w:p>
    <w:p>
      <w:pPr>
        <w:spacing w:after="120"/>
        <w:ind w:firstLine="567"/>
        <w:jc w:val="both"/>
      </w:pPr>
      <w:r>
        <w:rPr>
          <w:rFonts w:ascii="Times New Roman" w:hAnsi="Times New Roman"/>
          <w:b w:val="0"/>
          <w:i w:val="0"/>
          <w:sz w:val="24"/>
        </w:rPr>
        <w:t>Le chapitre précédent a rendu compte d’un ensemble de constats de terrain. Le présent chapitre a pour fonction de les transformer en problème de recherche construit, c’est-à-dire en un questionnement explicite, adossé à un contexte documenté, décliné en questions et en hypothèses vérifiables, et rapporté à des objectifs opératoires. Il s’organise en six sections : le constat général issu du stage, le contexte et la justification, la pertinence de l’étude, l’énoncé du problème, les questions et hypothèses, puis les objectifs. Il s’achève sur une matrice de cohérence qui servira de fil conducteur à l’ensemble du chapitre 4.</w:t>
      </w:r>
    </w:p>
    <w:p>
      <w:pPr>
        <w:pStyle w:val="Heading2"/>
        <w:jc w:val="left"/>
      </w:pPr>
      <w:r>
        <w:t>2.1. Le constat général relevé au cours du stage</w:t>
      </w:r>
    </w:p>
    <w:p>
      <w:pPr>
        <w:spacing w:after="120"/>
        <w:ind w:firstLine="567"/>
        <w:jc w:val="both"/>
      </w:pPr>
      <w:r>
        <w:rPr>
          <w:rFonts w:ascii="Times New Roman" w:hAnsi="Times New Roman"/>
          <w:b w:val="0"/>
          <w:i w:val="0"/>
          <w:sz w:val="24"/>
        </w:rPr>
        <w:t>Le constat général au cours de notre stage, s’agissant de l’enseignement-apprentissage de l’éwégbé, est qu’en dehors du document officiel mis à la disposition des formateurs — à savoir le module de formation en éwégbé dans les ENFPE, qui n’est d’ailleurs pas accessible aux EPE —, aucun autre matériel didactique n’est disponible, hormis quelques rares sites d’information permettant de petites recherches sur les instructions officielles (IO). Là encore, l’instabilité et l’indisponibilité récurrente de la connexion constituent un obstacle à la recherche.</w:t>
      </w:r>
    </w:p>
    <w:p>
      <w:pPr>
        <w:spacing w:after="120"/>
        <w:ind w:firstLine="567"/>
        <w:jc w:val="both"/>
      </w:pPr>
      <w:r>
        <w:rPr>
          <w:rFonts w:ascii="Times New Roman" w:hAnsi="Times New Roman"/>
          <w:b w:val="0"/>
          <w:i w:val="0"/>
          <w:sz w:val="24"/>
        </w:rPr>
        <w:t>Le contenu même du programme ne nous paraît pas véritablement conçu pour une promotion efficiente de l’une de nos langues nationales qu’est l’éwégbé, mais plutôt destiné à servir de médium, comme le mentionne l’introduction dudit document, à la page 5, lignes 11 à 15 : « Mais étant donné qu’un bon citoyen ne peut se développer en dehors de sa culture, la reprise des formations des enseignants du primaire à partir de 2009 dans les ENI a relancé cette dimension des langues nationales pour asseoir le français et les autres sciences, notamment les mathématiques… ».</w:t>
      </w:r>
    </w:p>
    <w:p>
      <w:pPr>
        <w:spacing w:after="120"/>
        <w:ind w:firstLine="567"/>
        <w:jc w:val="both"/>
      </w:pPr>
      <w:r>
        <w:rPr>
          <w:rFonts w:ascii="Times New Roman" w:hAnsi="Times New Roman"/>
          <w:b w:val="0"/>
          <w:i w:val="0"/>
          <w:sz w:val="24"/>
        </w:rPr>
        <w:t>Est-ce alors cette portion de phrase qui justifierait ce manque criant de matériel didactique, alors que, dès le début des années 1980, des écoles pilotes avaient été mises sur pied pour l’enseignement de l’éwégbé et du kabiyè au primaire et dans les écoles de formation des enseignants (ENI et ENS), selon le même document à la même page ? La langue maternelle étant un outil de développement cognitif global, selon les travaux de Bamgbose et d’Ouane, elle ne saurait être considérée comme un simple marchepied vers les autres disciplines.</w:t>
      </w:r>
    </w:p>
    <w:p>
      <w:pPr>
        <w:spacing w:after="120"/>
        <w:ind w:firstLine="567"/>
        <w:jc w:val="both"/>
      </w:pPr>
      <w:r>
        <w:rPr>
          <w:rFonts w:ascii="Times New Roman" w:hAnsi="Times New Roman"/>
          <w:b w:val="0"/>
          <w:i w:val="0"/>
          <w:sz w:val="24"/>
        </w:rPr>
        <w:t>Il y a là un déplacement de finalité lourd de conséquences. Si la langue nationale n’est convoquée que pour « asseoir le français et les sciences », alors sa maîtrise formelle — sa grammaire, son orthographe, sa tonalité, sa littérature — cesse d’être un objectif de formation pour devenir un moyen accessoire. Le dispositif peut dès lors être cohérent avec lui-même tout en étant inadéquat à la politique d’éducation bilingue qu’il est censé servir. N’y a-t-il donc pas matière à s’interroger sur le dispositif d’enseignement-apprentissage de la langue éwé dans les écoles normales de formation des enseignants au Togo, et plus précisément à l’ENFPE de Notsè, dans la mesure où la plupart des élèves-professeurs en fin de formation d’une durée de deux ans éprouvent d’importantes difficultés dans l’expression orale en éwégbé, ne sachant comment saluer dans cette langue selon les moments de la journée, et se révélant incapables, par exemple, de distinguer l’alphabet éwé de l’alphabet français ?</w:t>
      </w:r>
    </w:p>
    <w:p>
      <w:pPr>
        <w:pStyle w:val="Heading2"/>
        <w:jc w:val="left"/>
      </w:pPr>
      <w:r>
        <w:t>2.2. Contexte et justification du problème</w:t>
      </w:r>
    </w:p>
    <w:p>
      <w:pPr>
        <w:pStyle w:val="Heading3"/>
        <w:jc w:val="left"/>
      </w:pPr>
      <w:r>
        <w:t>2.2.1. Le cadre juridique et ses constats d’échec</w:t>
      </w:r>
    </w:p>
    <w:p>
      <w:pPr>
        <w:spacing w:after="120"/>
        <w:ind w:firstLine="567"/>
        <w:jc w:val="both"/>
      </w:pPr>
      <w:r>
        <w:rPr>
          <w:rFonts w:ascii="Times New Roman" w:hAnsi="Times New Roman"/>
          <w:b w:val="0"/>
          <w:i w:val="0"/>
          <w:sz w:val="24"/>
        </w:rPr>
        <w:t>L’ordonnance n° 75-016 du 6 mai 1975 constitue la base légale portant réforme de l’enseignement ayant « permis l’introduction de deux langues nationales dont l’éwégbé et le kabiyè à l’école formelle au côté du français, langue officielle » (Gangue et al., 2023, p. 55), dans AUF et IFEF (2023), Actes du séminaire international Apprendre-ELAN : restitution scientifique des projets de recherche « Enseignements-apprentissages bilingues », Dakar, 27-29 juin 2022.</w:t>
      </w:r>
    </w:p>
    <w:p>
      <w:pPr>
        <w:spacing w:after="120"/>
        <w:ind w:firstLine="567"/>
        <w:jc w:val="both"/>
      </w:pPr>
      <w:r>
        <w:rPr>
          <w:rFonts w:ascii="Times New Roman" w:hAnsi="Times New Roman"/>
          <w:b w:val="0"/>
          <w:i w:val="0"/>
          <w:sz w:val="24"/>
        </w:rPr>
        <w:t>Cependant, vu les multiples constats d’échec relevés à trois niveaux selon ces mêmes auteurs (Gangue et al., 2023, p. 55), il y a eu un problème dans la politique d’aménagement et de planification linguistique : d’une part, le choix des langues n’a pas emporté une forte adhésion populaire ; d’autre part, « l’éwé et le kabiyè sont demeurées des disciplines d’enseignement au lieu d’être des langues d’enseignement » ; enfin, les échecs scolaires restent élevés malgré les programmes d’accompagnement. Selon les mêmes auteurs — cités dans un ouvrage collectif dont les contributions sont des comptes rendus au format d’actes « répondant aux normes de publication d’actes de séminaires » et non des articles aboutis, ce qui invite à une certaine prudence dans leur utilisation —, le tableau de bord de l’éducation au Togo (indicateurs 2019-2020) donnerait un taux d’échec de 45 % à 52 % au préscolaire et au primaire, et de 47 % à 52 % au secondaire selon les régions éducatives.</w:t>
      </w:r>
    </w:p>
    <w:p>
      <w:pPr>
        <w:spacing w:after="120"/>
        <w:ind w:firstLine="567"/>
        <w:jc w:val="both"/>
      </w:pPr>
      <w:r>
        <w:rPr>
          <w:rFonts w:ascii="Times New Roman" w:hAnsi="Times New Roman"/>
          <w:b w:val="0"/>
          <w:i w:val="0"/>
          <w:sz w:val="24"/>
        </w:rPr>
        <w:t>Il est à noter qu’à l’époque, « une enquête sociolinguistique portant sur l’enseignement bilingue français/langues nationales n’avait encore été faite au Togo » (Ahiya, p. 89). Selon le même auteur, un propos ministériel, rapporté sans référence précise, affirme : « Lorsque la langue utilisée à l’école n’est pas la langue première parlée par les enfants, le risque de déscolarisation ou d’échec au début d’apprentissage est plus élevé » (p. 90). Ces propos sont confirmés par la CONFEMEN lors de sa 59e session tenue à Rabat les 21 et 22 février 2022.</w:t>
      </w:r>
    </w:p>
    <w:p>
      <w:pPr>
        <w:pStyle w:val="Heading3"/>
        <w:jc w:val="left"/>
      </w:pPr>
      <w:r>
        <w:t>2.2.2. Le diagnostic de la CONFEMEN (Rabat, 2022)</w:t>
      </w:r>
    </w:p>
    <w:p>
      <w:pPr>
        <w:spacing w:after="120"/>
        <w:ind w:firstLine="567"/>
        <w:jc w:val="both"/>
      </w:pPr>
      <w:r>
        <w:rPr>
          <w:rFonts w:ascii="Times New Roman" w:hAnsi="Times New Roman"/>
          <w:b w:val="0"/>
          <w:i w:val="0"/>
          <w:sz w:val="24"/>
        </w:rPr>
        <w:t>Bruno Maurer et Mamadou N’Doye, dans le Document de réflexion et d’orientation (DRO) de la 59e session de la CONFEMEN, ont largement abordé la question de la qualité de l’enseignement en Afrique. Ledit document, intitulé « Langue première et langue d’enseignement : quelle(s) stratégie(s) pour faciliter les premiers apprentissages, la réussite scolaire et le vivre-ensemble au XXIe siècle ? », présente d’abord l’enjeu de la qualité de l’enseignement en Afrique, dont la décision politique, et le fossé énorme existant entre les besoins en capital humain et les attentes sociales.</w:t>
      </w:r>
    </w:p>
    <w:p>
      <w:pPr>
        <w:spacing w:after="120"/>
        <w:ind w:firstLine="567"/>
        <w:jc w:val="both"/>
      </w:pPr>
      <w:r>
        <w:rPr>
          <w:rFonts w:ascii="Times New Roman" w:hAnsi="Times New Roman"/>
          <w:b w:val="0"/>
          <w:i w:val="0"/>
          <w:sz w:val="24"/>
        </w:rPr>
        <w:t>Citant Wolff (2006), les auteurs relèvent que cette « conspiration de facteurs est largement responsable de ce qu’on appelle le “syndrome de maintien du statu quo” qui, en bloquant la capacité de développement du peuple africain, entraîne une faiblesse générale persistante ». Ils estiment qu’il y a véritablement un lien entre la faiblesse du développement de l’éducation et l’existence d’une politique linguistique erronée (p. 10).</w:t>
      </w:r>
    </w:p>
    <w:p>
      <w:pPr>
        <w:spacing w:after="120"/>
        <w:ind w:firstLine="567"/>
        <w:jc w:val="both"/>
      </w:pPr>
      <w:r>
        <w:rPr>
          <w:rFonts w:ascii="Times New Roman" w:hAnsi="Times New Roman"/>
          <w:b w:val="0"/>
          <w:i w:val="0"/>
          <w:sz w:val="24"/>
        </w:rPr>
        <w:t>Selon la même source, une enquête menée par le PASEC en 2014 dans dix pays, y compris le Togo, relevait que 71 % des élèves de deuxième année étaient sous le seuil en français, entraînant ainsi de forts taux de redoublement et d’abandon scolaire (p. 36). Un tableau récapitulatif des pays enquêtés en termes de politiques linguistiques montre que, sur les trente-neuf langues nationales recensées au Togo, seules treize sont transcrites, dont onze sont aménagées pour l’enseignement, et deux seulement servent de modèle d’enseignement dominant dans les écoles primaires publiques ; tandis que, sur les plans du degré d’implantation bilingue L1/français et de l’usage oral et écrit des langues nationales dans les sphères officielles, aucune de ces langues n’y figure (p. 26). L’autre question est de savoir quel est l’état des lieux des deux langues retenues pour servir de modèle d’enseignement dans nos écoles primaires publiques.</w:t>
      </w:r>
    </w:p>
    <w:p>
      <w:pPr>
        <w:spacing w:after="120"/>
        <w:ind w:firstLine="567"/>
        <w:jc w:val="both"/>
      </w:pPr>
      <w:r>
        <w:rPr>
          <w:rFonts w:ascii="Times New Roman" w:hAnsi="Times New Roman"/>
          <w:b w:val="0"/>
          <w:i w:val="0"/>
          <w:sz w:val="24"/>
        </w:rPr>
        <w:t>Notre pays fait donc partie de ceux qui adoptent une politique conservant le français comme unique langue d’enseignement, mais introduisant leurs langues nationales africaines comme matières d’enseignement, parfois ou le plus souvent dans les premières années du primaire, avec un retrait précoce de ces dernières, ce qui ne favorise aucune implantation de l’enseignement bilingue escompté (p. 24). Or, il va de soi qu’un enfant ne puisse construire les bases de son identité qu’à travers la langue qu’il parle et la culture que porte cette dernière (p. 34). Cet enfant est donc préalablement réduit à l’échec dans une proportion donnée par anticipation.</w:t>
      </w:r>
    </w:p>
    <w:p>
      <w:pPr>
        <w:spacing w:after="120"/>
        <w:ind w:firstLine="567"/>
        <w:jc w:val="both"/>
      </w:pPr>
      <w:r>
        <w:rPr>
          <w:rFonts w:ascii="Times New Roman" w:hAnsi="Times New Roman"/>
          <w:b w:val="0"/>
          <w:i w:val="0"/>
          <w:sz w:val="24"/>
        </w:rPr>
        <w:t>Le même document, à travers des études comparatives des résultats obtenus dans des écoles bilingues d’initiative ELAN et des écoles traditionnelles unilingues au Mali, au Niger et au Burkina Faso entre autres, relève les avantages du bilinguisme sur les performances des élèves (pp. 67-68). En bref, les classes bilingues réussissent mieux. Le DRO déplore par ailleurs l’absence de matériels didactiques de qualité et de manuels, qu’il juge préjudiciable à la qualité de l’enseignement, estimant que ceux-ci sont également capitaux pour le vivre-ensemble afin d’éviter une accentuation de la discrimination entre les composantes nationales (CONFEMEN, 2022, p. 53).</w:t>
      </w:r>
    </w:p>
    <w:p>
      <w:pPr>
        <w:pStyle w:val="Heading3"/>
        <w:jc w:val="left"/>
      </w:pPr>
      <w:r>
        <w:t>2.2.3. La justification de notre démarche</w:t>
      </w:r>
    </w:p>
    <w:p>
      <w:pPr>
        <w:spacing w:after="120"/>
        <w:ind w:firstLine="567"/>
        <w:jc w:val="both"/>
      </w:pPr>
      <w:r>
        <w:rPr>
          <w:rFonts w:ascii="Times New Roman" w:hAnsi="Times New Roman"/>
          <w:b w:val="0"/>
          <w:i w:val="0"/>
          <w:sz w:val="24"/>
        </w:rPr>
        <w:t>Ainsi, vu les piètres performances de certains professeurs d’école en termes d’expression tant orale qu’écrite, notre démarche, consistant à analyser le dispositif de formation à l’enseignement-apprentissage de l’éwégbé dans les écoles normales de formation des professeurs d’école, nous paraît pertinente en ce sens qu’elle nous conduit au cœur même de ces centres de formation des futurs enseignants du préscolaire et du primaire, afin d’y découvrir les réalités auxquelles font face les encadreurs et les élèves-professeurs en matière d’enseignement-apprentissage des langues nationales, notamment l’éwégbé.</w:t>
      </w:r>
    </w:p>
    <w:p>
      <w:pPr>
        <w:spacing w:after="120"/>
        <w:ind w:firstLine="567"/>
        <w:jc w:val="both"/>
      </w:pPr>
      <w:r>
        <w:rPr>
          <w:rFonts w:ascii="Times New Roman" w:hAnsi="Times New Roman"/>
          <w:b w:val="0"/>
          <w:i w:val="0"/>
          <w:sz w:val="24"/>
        </w:rPr>
        <w:t>Ce sera également pour nous l’occasion d’observer les programmes de formation, les structures de suivi et d’évaluation, la formation des formateurs, l’allocation des ressources et du financement, les partenaires institutionnels, les pratiques de classe, le matériel didactique, ainsi que l’appréciation et la performance des élèves-professeurs quant à une véritable assise de l’une de nos langues nationales qu’est l’éwégbé dans un réel contexte d’enseignement bilingue. Il nous reviendra ensuite de proposer des pistes de solutions aux différentes difficultés répertoriées, en vue de faire propulser, dans une certaine mesure, le système éducatif vers l’enseignement de qualité auquel aspirent les gouvernants.</w:t>
      </w:r>
    </w:p>
    <w:p>
      <w:pPr>
        <w:spacing w:after="120"/>
        <w:ind w:firstLine="567"/>
        <w:jc w:val="both"/>
      </w:pPr>
      <w:r>
        <w:rPr>
          <w:rFonts w:ascii="Times New Roman" w:hAnsi="Times New Roman"/>
          <w:b w:val="0"/>
          <w:i w:val="0"/>
          <w:sz w:val="24"/>
        </w:rPr>
        <w:t>Le déplacement du regard opéré ici est décisif. La très grande majorité des travaux disponibles sur l’éducation bilingue en Afrique de l’Ouest portent sur l’élève du primaire et sur la classe bilingue. Notre travail porte, lui, sur l’amont : sur celui qui doit enseigner. Si le maillon de la formation initiale est défaillant, aucune politique d’éducation bilingue, si bien conçue soit-elle en aval, ne peut produire ses effets.</w:t>
      </w:r>
    </w:p>
    <w:p>
      <w:pPr>
        <w:pStyle w:val="Heading2"/>
        <w:jc w:val="left"/>
      </w:pPr>
      <w:r>
        <w:t>2.3. Pertinence de l’étude</w:t>
      </w:r>
    </w:p>
    <w:p>
      <w:pPr>
        <w:spacing w:after="120"/>
        <w:ind w:firstLine="567"/>
        <w:jc w:val="both"/>
      </w:pPr>
      <w:r>
        <w:rPr>
          <w:rFonts w:ascii="Times New Roman" w:hAnsi="Times New Roman"/>
          <w:b w:val="0"/>
          <w:i w:val="0"/>
          <w:sz w:val="24"/>
        </w:rPr>
        <w:t>Notre étude se révèle pertinente sur trois plans : scientifique, méthodologique et social.</w:t>
      </w:r>
    </w:p>
    <w:p>
      <w:pPr>
        <w:pStyle w:val="Heading3"/>
        <w:jc w:val="left"/>
      </w:pPr>
      <w:r>
        <w:t>2.3.1. Pertinence sur le plan scientifique</w:t>
      </w:r>
    </w:p>
    <w:p>
      <w:pPr>
        <w:spacing w:after="120"/>
        <w:ind w:firstLine="567"/>
        <w:jc w:val="both"/>
      </w:pPr>
      <w:r>
        <w:rPr>
          <w:rFonts w:ascii="Times New Roman" w:hAnsi="Times New Roman"/>
          <w:b w:val="0"/>
          <w:i w:val="0"/>
          <w:sz w:val="24"/>
        </w:rPr>
        <w:t>L’étude s’inscrit dans le champ de la sociolinguistique africaine. Elle apporte ainsi un complément aux travaux existants sur la revalorisation linguistique en contexte multilingue. Sur la base et en référence aux cadres théoriques développés par Bamgbose et par Afeli sur l’enseignement-apprentissage de l’éwégbé, notre étude propose une jonction entre les théories et les réalités empiriques togolaises, qui demeurent peu documentées dans la littérature scientifique.</w:t>
      </w:r>
    </w:p>
    <w:p>
      <w:pPr>
        <w:spacing w:after="120"/>
        <w:ind w:firstLine="567"/>
        <w:jc w:val="both"/>
      </w:pPr>
      <w:r>
        <w:rPr>
          <w:rFonts w:ascii="Times New Roman" w:hAnsi="Times New Roman"/>
          <w:b w:val="0"/>
          <w:i w:val="0"/>
          <w:sz w:val="24"/>
        </w:rPr>
        <w:t>Elle permet ensuite d’évaluer la qualité de l’enseignement bilingue dans un contexte typiquement togolais, où deux langues nationales ont été retenues par les autorités mais peinent à être effectivement enseignées dans nos écoles. Cette étude identifie également les causes structurelles des difficultés rencontrées dans l’enseignement-apprentissage de la langue éwé. Elle produit enfin, ce qui est rare dans ce domaine au Togo, des données chiffrées de terrain sur le niveau réel des futurs enseignants.</w:t>
      </w:r>
    </w:p>
    <w:p>
      <w:pPr>
        <w:pStyle w:val="Heading3"/>
        <w:jc w:val="left"/>
      </w:pPr>
      <w:r>
        <w:t>2.3.2. Pertinence sur le plan méthodologique</w:t>
      </w:r>
    </w:p>
    <w:p>
      <w:pPr>
        <w:spacing w:after="120"/>
        <w:ind w:firstLine="567"/>
        <w:jc w:val="both"/>
      </w:pPr>
      <w:r>
        <w:rPr>
          <w:rFonts w:ascii="Times New Roman" w:hAnsi="Times New Roman"/>
          <w:b w:val="0"/>
          <w:i w:val="0"/>
          <w:sz w:val="24"/>
        </w:rPr>
        <w:t>Sur cet aspect, notre recherche pourra servir de modèle pour des études comparatives sur la langue éwé dans les autres ENFPE du Togo, afin d’impulser l’élan d’orientation vers une formation de qualité fondée sur nos réalités, tant convoitée par les autorités politiques et éducatives du pays. Nous faisons ainsi allusion à la définition de l’« orientation » donnée par l’UNESCO en 1970, citée par Winegue Eyaba dans son mémoire « L’insuffisance des services d’orientation scolaire et le risque de décrochage dans le sous-système de l’enseignement technique et de la formation professionnelle : cas des élèves du CRETFP-Dapaong », qui stipulait que l’orientation est « le processus qui consiste à mettre l’individu en mesure de prendre conscience de ses propres caractéristiques personnelles et de les développer en vue du choix de ses études et de ses activités professionnelles dans toutes les conjonctures de son existence, avec le souci conjoint de servir la société et l’épanouissement de sa personnalité » (pp. 10-11).</w:t>
      </w:r>
    </w:p>
    <w:p>
      <w:pPr>
        <w:spacing w:after="120"/>
        <w:ind w:firstLine="567"/>
        <w:jc w:val="both"/>
      </w:pPr>
      <w:r>
        <w:rPr>
          <w:rFonts w:ascii="Times New Roman" w:hAnsi="Times New Roman"/>
          <w:b w:val="0"/>
          <w:i w:val="0"/>
          <w:sz w:val="24"/>
        </w:rPr>
        <w:t>L’apport méthodologique propre de ce travail réside toutefois ailleurs : dans la construction d’une typologie sociolinguistique à quatre profils (non-locuteurs, locuteurs non catégorisés, locuteurs non natifs, locuteurs natifs) appliquée systématiquement à chacun des indicateurs relevés. Cette grille, comme le montrera le chapitre 4, fait apparaître des régularités qu’une lecture globale de l’échantillon masque entièrement. Notre étude peut aussi jouer le même rôle relativement à d’autres langues, tant sur le plan national que dans notre espace sous-régional, contribuant ainsi à une meilleure compréhension des dynamiques linguistiques régionales.</w:t>
      </w:r>
    </w:p>
    <w:p>
      <w:pPr>
        <w:pStyle w:val="Heading3"/>
        <w:jc w:val="left"/>
      </w:pPr>
      <w:r>
        <w:t>2.3.3. Pertinence sur le plan social</w:t>
      </w:r>
    </w:p>
    <w:p>
      <w:pPr>
        <w:spacing w:after="120"/>
        <w:ind w:firstLine="567"/>
        <w:jc w:val="both"/>
      </w:pPr>
      <w:r>
        <w:rPr>
          <w:rFonts w:ascii="Times New Roman" w:hAnsi="Times New Roman"/>
          <w:b w:val="0"/>
          <w:i w:val="0"/>
          <w:sz w:val="24"/>
        </w:rPr>
        <w:t>À travers l’analyse des difficultés que rencontrent les élèves-professeurs d’école lors de l’enseignement-apprentissage de la langue éwé à l’ENFPE de Notsè, cette étude met en lumière les tensions entre la valorisation des langues nationales et la prédominance de la langue française. Celle-ci, héritée de la période coloniale et utilisée comme langue officielle, constitue un véritable frein à une réelle affirmation de notre identité culturelle.</w:t>
      </w:r>
    </w:p>
    <w:p>
      <w:pPr>
        <w:spacing w:after="120"/>
        <w:ind w:firstLine="567"/>
        <w:jc w:val="both"/>
      </w:pPr>
      <w:r>
        <w:rPr>
          <w:rFonts w:ascii="Times New Roman" w:hAnsi="Times New Roman"/>
          <w:b w:val="0"/>
          <w:i w:val="0"/>
          <w:sz w:val="24"/>
        </w:rPr>
        <w:t>L’identification des difficultés susmentionnées et la proposition des solutions que nous avons apportées dans cette étude pourraient éclairer les décideurs politiques, y compris l’ensemble des acteurs du système éducatif, dans l’élaboration de programmes plus efficaces. Cette étude incite davantage à un effort concerté pour la préservation du patrimoine linguistique et culturel de notre pays, qui se voit menacé au jour le jour par la marginalisation sans cesse croissante de nos langues nationales face aux langues européennes.</w:t>
      </w:r>
    </w:p>
    <w:p>
      <w:pPr>
        <w:spacing w:after="120"/>
        <w:ind w:firstLine="567"/>
        <w:jc w:val="both"/>
      </w:pPr>
      <w:r>
        <w:rPr>
          <w:rFonts w:ascii="Times New Roman" w:hAnsi="Times New Roman"/>
          <w:b w:val="0"/>
          <w:i w:val="0"/>
          <w:sz w:val="24"/>
        </w:rPr>
        <w:t>L’étude n’a pas manqué d’aborder la question de l’équité éducative. En effet, les apprenants ayant comme langue maternelle l’éwégbé bénéficieraient d’un enseignement mieux adapté à leurs réalités linguistiques, ce qui pourrait incontestablement améliorer leurs résultats scolaires. Il en est de même pour les locuteurs de toutes les autres langues du pays. Mais étant donné que ce sont l’éwégbé et le kabiyè qui sont pour l’instant retenues, il serait de bon ton que leurs réelles places leur soient accordées sur le plan social et plus particulièrement sur le plan éducatif, en vue d’assurer une chance d’éducation équitable à tous les jeunes citoyens.</w:t>
      </w:r>
    </w:p>
    <w:p>
      <w:pPr>
        <w:pStyle w:val="Heading2"/>
        <w:jc w:val="left"/>
      </w:pPr>
      <w:r>
        <w:t>2.4. Énoncé du problème</w:t>
      </w:r>
    </w:p>
    <w:p>
      <w:pPr>
        <w:spacing w:after="120"/>
        <w:ind w:firstLine="567"/>
        <w:jc w:val="both"/>
      </w:pPr>
      <w:r>
        <w:rPr>
          <w:rFonts w:ascii="Times New Roman" w:hAnsi="Times New Roman"/>
          <w:b w:val="0"/>
          <w:i w:val="0"/>
          <w:sz w:val="24"/>
        </w:rPr>
        <w:t>Malgré la reconnaissance de l’éwégbé comme langue nationale et son intégration dans la formation des élèves-professeurs d’école, le dispositif mis en place à l’ENFPE de Notsè ne semble pas permettre à tous les futurs enseignants de développer les compétences linguistiques et didactiques nécessaires à son enseignement au primaire. Cette situation se manifeste par des difficultés en expression orale, en prononciation, en écriture, en maîtrise de l’alphabet et en utilisation de la langue dans des situations pédagogiques simples.</w:t>
      </w:r>
    </w:p>
    <w:p>
      <w:pPr>
        <w:spacing w:after="120"/>
        <w:ind w:firstLine="567"/>
        <w:jc w:val="both"/>
      </w:pPr>
      <w:r>
        <w:rPr>
          <w:rFonts w:ascii="Times New Roman" w:hAnsi="Times New Roman"/>
          <w:b w:val="0"/>
          <w:i w:val="0"/>
          <w:sz w:val="24"/>
        </w:rPr>
        <w:t>Le problème peut donc être formulé comme un écart : un écart entre, d’un côté, une prescription politique ancienne, réaffirmée et juridiquement fondée, et, de l’autre, un dispositif de formation dont les moyens humains, horaires, matériels et symboliques ne permettent pas de l’honorer. C’est cet écart, ses composantes et ses effets mesurables sur les compétences des sortants que le présent travail se propose d’objectiver.</w:t>
      </w:r>
    </w:p>
    <w:p>
      <w:pPr>
        <w:pStyle w:val="Heading2"/>
        <w:jc w:val="left"/>
      </w:pPr>
      <w:r>
        <w:t>2.5. Questions de recherche</w:t>
      </w:r>
    </w:p>
    <w:p>
      <w:pPr>
        <w:pStyle w:val="Heading3"/>
        <w:jc w:val="left"/>
      </w:pPr>
      <w:r>
        <w:t>2.5.1. Question principale</w:t>
      </w:r>
    </w:p>
    <w:p>
      <w:pPr>
        <w:spacing w:after="120"/>
        <w:ind w:firstLine="567"/>
        <w:jc w:val="both"/>
      </w:pPr>
      <w:r>
        <w:rPr>
          <w:rFonts w:ascii="Times New Roman" w:hAnsi="Times New Roman"/>
          <w:b/>
          <w:i w:val="0"/>
          <w:sz w:val="24"/>
        </w:rPr>
        <w:t>Le dispositif d’enseignement-apprentissage de l’éwégbé dans les ENFPE, particulièrement à l’ENFPE de Notsè, est-il adéquat pour assurer une bonne maîtrise de cette langue par les futurs enseignants du primaire ?</w:t>
      </w:r>
    </w:p>
    <w:p>
      <w:pPr>
        <w:pStyle w:val="Heading3"/>
        <w:jc w:val="left"/>
      </w:pPr>
      <w:r>
        <w:t>2.5.2. Questions secondaires</w:t>
      </w:r>
    </w:p>
    <w:p>
      <w:pPr>
        <w:spacing w:after="80"/>
        <w:ind w:left="567" w:hanging="283"/>
        <w:jc w:val="both"/>
      </w:pPr>
      <w:r>
        <w:rPr>
          <w:rFonts w:ascii="Times New Roman" w:hAnsi="Times New Roman"/>
          <w:sz w:val="24"/>
        </w:rPr>
        <w:t>• QS1. Les ressources humaines affectées à l’enseignement de l’éwégbé sont-elles suffisantes et suffisamment formées ?</w:t>
      </w:r>
    </w:p>
    <w:p>
      <w:pPr>
        <w:spacing w:after="80"/>
        <w:ind w:left="567" w:hanging="283"/>
        <w:jc w:val="both"/>
      </w:pPr>
      <w:r>
        <w:rPr>
          <w:rFonts w:ascii="Times New Roman" w:hAnsi="Times New Roman"/>
          <w:sz w:val="24"/>
        </w:rPr>
        <w:t>• QS2. Les ressources matérielles et technologiques disponibles sont-elles adaptées ?</w:t>
      </w:r>
    </w:p>
    <w:p>
      <w:pPr>
        <w:spacing w:after="80"/>
        <w:ind w:left="567" w:hanging="283"/>
        <w:jc w:val="both"/>
      </w:pPr>
      <w:r>
        <w:rPr>
          <w:rFonts w:ascii="Times New Roman" w:hAnsi="Times New Roman"/>
          <w:sz w:val="24"/>
        </w:rPr>
        <w:t>• QS3. Les contenus, les méthodes et les modalités d’évaluation répondent-ils aux besoins des élèves-professeurs ?</w:t>
      </w:r>
    </w:p>
    <w:p>
      <w:pPr>
        <w:spacing w:after="80"/>
        <w:ind w:left="567" w:hanging="283"/>
        <w:jc w:val="both"/>
      </w:pPr>
      <w:r>
        <w:rPr>
          <w:rFonts w:ascii="Times New Roman" w:hAnsi="Times New Roman"/>
          <w:sz w:val="24"/>
        </w:rPr>
        <w:t>• QS4. Les structures de suivi et d’évaluation permettent-elles d’accompagner efficacement les apprentissages ?</w:t>
      </w:r>
    </w:p>
    <w:p>
      <w:pPr>
        <w:spacing w:after="80"/>
        <w:ind w:left="567" w:hanging="283"/>
        <w:jc w:val="both"/>
      </w:pPr>
      <w:r>
        <w:rPr>
          <w:rFonts w:ascii="Times New Roman" w:hAnsi="Times New Roman"/>
          <w:sz w:val="24"/>
        </w:rPr>
        <w:t>• QS5. Les représentations sociales de l’éwégbé influencent-elles la motivation des élèves-professeurs ?</w:t>
      </w:r>
    </w:p>
    <w:p>
      <w:pPr>
        <w:spacing w:after="80"/>
        <w:ind w:left="567" w:hanging="283"/>
        <w:jc w:val="both"/>
      </w:pPr>
      <w:r>
        <w:rPr>
          <w:rFonts w:ascii="Times New Roman" w:hAnsi="Times New Roman"/>
          <w:sz w:val="24"/>
        </w:rPr>
        <w:t>• QS6. Les acquis de la formation sont-ils effectivement transférés dans les pratiques de classe au primaire ?</w:t>
      </w:r>
    </w:p>
    <w:p>
      <w:pPr>
        <w:pStyle w:val="Heading2"/>
        <w:jc w:val="left"/>
      </w:pPr>
      <w:r>
        <w:t>2.6. Hypothèses de recherche</w:t>
      </w:r>
    </w:p>
    <w:p>
      <w:pPr>
        <w:pStyle w:val="Heading3"/>
        <w:jc w:val="left"/>
      </w:pPr>
      <w:r>
        <w:t>2.6.1. Hypothèse principale</w:t>
      </w:r>
    </w:p>
    <w:p>
      <w:pPr>
        <w:spacing w:after="120"/>
        <w:ind w:firstLine="567"/>
        <w:jc w:val="both"/>
      </w:pPr>
      <w:r>
        <w:rPr>
          <w:rFonts w:ascii="Times New Roman" w:hAnsi="Times New Roman"/>
          <w:b/>
          <w:i w:val="0"/>
          <w:sz w:val="24"/>
        </w:rPr>
        <w:t>Les insuffisances des ressources humaines, matérielles, horaires et technologiques réduisent l’efficacité du dispositif d’enseignement-apprentissage de l’éwégbé dans les ENFPE et limitent la préparation des futurs enseignants à la mise en œuvre d’une didactique contextualisée au primaire.</w:t>
      </w:r>
    </w:p>
    <w:p>
      <w:pPr>
        <w:pStyle w:val="Heading3"/>
        <w:jc w:val="left"/>
      </w:pPr>
      <w:r>
        <w:t>2.6.2. Hypothèses secondaires</w:t>
      </w:r>
    </w:p>
    <w:p>
      <w:pPr>
        <w:spacing w:after="80"/>
        <w:ind w:left="567" w:hanging="283"/>
        <w:jc w:val="both"/>
      </w:pPr>
      <w:r>
        <w:rPr>
          <w:rFonts w:ascii="Times New Roman" w:hAnsi="Times New Roman"/>
          <w:sz w:val="24"/>
        </w:rPr>
        <w:t>• HS1. La rareté des manuels, des guides pédagogiques, des livres de lecture et des supports audio limite le développement des compétences linguistiques et didactiques des élèves-professeurs.</w:t>
      </w:r>
    </w:p>
    <w:p>
      <w:pPr>
        <w:spacing w:after="80"/>
        <w:ind w:left="567" w:hanging="283"/>
        <w:jc w:val="both"/>
      </w:pPr>
      <w:r>
        <w:rPr>
          <w:rFonts w:ascii="Times New Roman" w:hAnsi="Times New Roman"/>
          <w:sz w:val="24"/>
        </w:rPr>
        <w:t>• HS2. Le faible volume horaire et la prédominance des explications théoriques réduisent les occasions de pratiquer l’éwégbé à l’oral et à l’écrit.</w:t>
      </w:r>
    </w:p>
    <w:p>
      <w:pPr>
        <w:spacing w:after="80"/>
        <w:ind w:left="567" w:hanging="283"/>
        <w:jc w:val="both"/>
      </w:pPr>
      <w:r>
        <w:rPr>
          <w:rFonts w:ascii="Times New Roman" w:hAnsi="Times New Roman"/>
          <w:sz w:val="24"/>
        </w:rPr>
        <w:t>• HS3. L’insuffisance de la formation spécialisée des formateurs ne permet pas toujours de répondre aux besoins linguistiques et didactiques des EPE.</w:t>
      </w:r>
    </w:p>
    <w:p>
      <w:pPr>
        <w:spacing w:after="80"/>
        <w:ind w:left="567" w:hanging="283"/>
        <w:jc w:val="both"/>
      </w:pPr>
      <w:r>
        <w:rPr>
          <w:rFonts w:ascii="Times New Roman" w:hAnsi="Times New Roman"/>
          <w:sz w:val="24"/>
        </w:rPr>
        <w:t>• HS4. La faible valorisation sociale et institutionnelle de l’éwégbé diminue la motivation et l’engagement des apprenants.</w:t>
      </w:r>
    </w:p>
    <w:p>
      <w:pPr>
        <w:spacing w:after="80"/>
        <w:ind w:left="567" w:hanging="283"/>
        <w:jc w:val="both"/>
      </w:pPr>
      <w:r>
        <w:rPr>
          <w:rFonts w:ascii="Times New Roman" w:hAnsi="Times New Roman"/>
          <w:sz w:val="24"/>
        </w:rPr>
        <w:t>• HS5. Le contenu de la formation ne prépare pas suffisamment les élèves-professeurs à utiliser l’éwégbé pour enseigner certaines notions scolaires.</w:t>
      </w:r>
    </w:p>
    <w:p>
      <w:pPr>
        <w:pStyle w:val="Heading2"/>
        <w:jc w:val="left"/>
      </w:pPr>
      <w:r>
        <w:t>2.7. Objectifs de l’étude</w:t>
      </w:r>
    </w:p>
    <w:p>
      <w:pPr>
        <w:pStyle w:val="Heading3"/>
        <w:jc w:val="left"/>
      </w:pPr>
      <w:r>
        <w:t>2.7.1. Objectif général</w:t>
      </w:r>
    </w:p>
    <w:p>
      <w:pPr>
        <w:spacing w:after="120"/>
        <w:ind w:firstLine="567"/>
        <w:jc w:val="both"/>
      </w:pPr>
      <w:r>
        <w:rPr>
          <w:rFonts w:ascii="Times New Roman" w:hAnsi="Times New Roman"/>
          <w:b/>
          <w:i w:val="0"/>
          <w:sz w:val="24"/>
        </w:rPr>
        <w:t>Analyser le degré d’adéquation entre le dispositif de formation en éwégbé dans les ENFPE du Togo, et plus spécifiquement dans celle de Notsè, et les exigences de mise en œuvre de la politique d’éducation bilingue au cours primaire.</w:t>
      </w:r>
    </w:p>
    <w:p>
      <w:pPr>
        <w:pStyle w:val="Heading3"/>
        <w:jc w:val="left"/>
      </w:pPr>
      <w:r>
        <w:t>2.7.2. Objectifs spécifiques</w:t>
      </w:r>
    </w:p>
    <w:p>
      <w:pPr>
        <w:spacing w:after="80"/>
        <w:ind w:left="567" w:hanging="283"/>
        <w:jc w:val="both"/>
      </w:pPr>
      <w:r>
        <w:rPr>
          <w:rFonts w:ascii="Times New Roman" w:hAnsi="Times New Roman"/>
          <w:sz w:val="24"/>
        </w:rPr>
        <w:t>• OS1. Décrire les ressources humaines mobilisées pour l’enseignement de l’éwégbé dans les ENFPE.</w:t>
      </w:r>
    </w:p>
    <w:p>
      <w:pPr>
        <w:spacing w:after="80"/>
        <w:ind w:left="567" w:hanging="283"/>
        <w:jc w:val="both"/>
      </w:pPr>
      <w:r>
        <w:rPr>
          <w:rFonts w:ascii="Times New Roman" w:hAnsi="Times New Roman"/>
          <w:sz w:val="24"/>
        </w:rPr>
        <w:t>• OS2. Inventorier les manuels, les guides, les œuvres littéraires, les dictionnaires et les supports numériques disponibles.</w:t>
      </w:r>
    </w:p>
    <w:p>
      <w:pPr>
        <w:spacing w:after="80"/>
        <w:ind w:left="567" w:hanging="283"/>
        <w:jc w:val="both"/>
      </w:pPr>
      <w:r>
        <w:rPr>
          <w:rFonts w:ascii="Times New Roman" w:hAnsi="Times New Roman"/>
          <w:sz w:val="24"/>
        </w:rPr>
        <w:t>• OS3. Décrire les contenus, les méthodes et les modalités d’évaluation utilisés.</w:t>
      </w:r>
    </w:p>
    <w:p>
      <w:pPr>
        <w:spacing w:after="80"/>
        <w:ind w:left="567" w:hanging="283"/>
        <w:jc w:val="both"/>
      </w:pPr>
      <w:r>
        <w:rPr>
          <w:rFonts w:ascii="Times New Roman" w:hAnsi="Times New Roman"/>
          <w:sz w:val="24"/>
        </w:rPr>
        <w:t>• OS4. Identifier les compétences linguistiques et didactiques maîtrisées ou non par les élèves-professeurs d’école au terme des deux ans de formation.</w:t>
      </w:r>
    </w:p>
    <w:p>
      <w:pPr>
        <w:spacing w:after="80"/>
        <w:ind w:left="567" w:hanging="283"/>
        <w:jc w:val="both"/>
      </w:pPr>
      <w:r>
        <w:rPr>
          <w:rFonts w:ascii="Times New Roman" w:hAnsi="Times New Roman"/>
          <w:sz w:val="24"/>
        </w:rPr>
        <w:t>• OS5. Analyser l’influence du volume horaire et des stages sur le transfert des acquis.</w:t>
      </w:r>
    </w:p>
    <w:p>
      <w:pPr>
        <w:spacing w:after="80"/>
        <w:ind w:left="567" w:hanging="283"/>
        <w:jc w:val="both"/>
      </w:pPr>
      <w:r>
        <w:rPr>
          <w:rFonts w:ascii="Times New Roman" w:hAnsi="Times New Roman"/>
          <w:sz w:val="24"/>
        </w:rPr>
        <w:t>• OS6. Examiner l’influence des représentations sociales sur la motivation des apprenants.</w:t>
      </w:r>
    </w:p>
    <w:p>
      <w:pPr>
        <w:spacing w:after="80"/>
        <w:ind w:left="567" w:hanging="283"/>
        <w:jc w:val="both"/>
      </w:pPr>
      <w:r>
        <w:rPr>
          <w:rFonts w:ascii="Times New Roman" w:hAnsi="Times New Roman"/>
          <w:sz w:val="24"/>
        </w:rPr>
        <w:t>• OS7. Formuler des recommandations pour améliorer le dispositif.</w:t>
      </w:r>
    </w:p>
    <w:p>
      <w:pPr>
        <w:pStyle w:val="Heading2"/>
        <w:jc w:val="left"/>
      </w:pPr>
      <w:r>
        <w:t>2.8. Matrice de cohérence de la recherche</w:t>
      </w:r>
    </w:p>
    <w:p>
      <w:pPr>
        <w:spacing w:after="120"/>
        <w:ind w:firstLine="567"/>
        <w:jc w:val="both"/>
      </w:pPr>
      <w:r>
        <w:rPr>
          <w:rFonts w:ascii="Times New Roman" w:hAnsi="Times New Roman"/>
          <w:b w:val="0"/>
          <w:i w:val="0"/>
          <w:sz w:val="24"/>
        </w:rPr>
        <w:t>Afin de garantir la cohérence interne du travail et, surtout, de permettre au lecteur de rapporter chacun des dix-huit tableaux présentés au chapitre 4 à la question, à l’objectif et à l’hypothèse qu’il documente, nous proposons la matrice suivante. Elle constitue la clé de lecture de l’ensemble de la partie empirique : chaque section du chapitre 4 y renvoie explicitement.</w:t>
      </w:r>
    </w:p>
    <w:p>
      <w:pPr>
        <w:keepNext/>
        <w:spacing w:before="200" w:after="80"/>
        <w:jc w:val="left"/>
      </w:pPr>
      <w:r>
        <w:rPr>
          <w:rFonts w:ascii="Times New Roman" w:hAnsi="Times New Roman"/>
          <w:b/>
          <w:sz w:val="22"/>
        </w:rPr>
        <w:t>Tableau 20 : Matrice de cohérence — problématique, questions, hypothèses, objectifs et résultats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041"/>
            <w:shd w:val="clear" w:color="auto" w:fill="D9E2F3"/>
          </w:tcPr>
          <w:p>
            <w:pPr>
              <w:spacing w:after="40" w:before="40" w:line="240" w:lineRule="auto"/>
              <w:jc w:val="center"/>
            </w:pPr>
            <w:r/>
            <w:r>
              <w:rPr>
                <w:rFonts w:ascii="Times New Roman" w:hAnsi="Times New Roman"/>
                <w:b/>
                <w:sz w:val="18"/>
              </w:rPr>
              <w:t>Question secondaire</w:t>
            </w:r>
          </w:p>
        </w:tc>
        <w:tc>
          <w:tcPr>
            <w:tcW w:type="dxa" w:w="1077"/>
            <w:shd w:val="clear" w:color="auto" w:fill="D9E2F3"/>
          </w:tcPr>
          <w:p>
            <w:pPr>
              <w:spacing w:after="40" w:before="40" w:line="240" w:lineRule="auto"/>
              <w:jc w:val="center"/>
            </w:pPr>
            <w:r/>
            <w:r>
              <w:rPr>
                <w:rFonts w:ascii="Times New Roman" w:hAnsi="Times New Roman"/>
                <w:b/>
                <w:sz w:val="18"/>
              </w:rPr>
              <w:t>Hypothèse</w:t>
            </w:r>
          </w:p>
        </w:tc>
        <w:tc>
          <w:tcPr>
            <w:tcW w:type="dxa" w:w="1134"/>
            <w:shd w:val="clear" w:color="auto" w:fill="D9E2F3"/>
          </w:tcPr>
          <w:p>
            <w:pPr>
              <w:spacing w:after="40" w:before="40" w:line="240" w:lineRule="auto"/>
              <w:jc w:val="center"/>
            </w:pPr>
            <w:r/>
            <w:r>
              <w:rPr>
                <w:rFonts w:ascii="Times New Roman" w:hAnsi="Times New Roman"/>
                <w:b/>
                <w:sz w:val="18"/>
              </w:rPr>
              <w:t>Objectif spécifique</w:t>
            </w:r>
          </w:p>
        </w:tc>
        <w:tc>
          <w:tcPr>
            <w:tcW w:type="dxa" w:w="2494"/>
            <w:shd w:val="clear" w:color="auto" w:fill="D9E2F3"/>
          </w:tcPr>
          <w:p>
            <w:pPr>
              <w:spacing w:after="40" w:before="40" w:line="240" w:lineRule="auto"/>
              <w:jc w:val="center"/>
            </w:pPr>
            <w:r/>
            <w:r>
              <w:rPr>
                <w:rFonts w:ascii="Times New Roman" w:hAnsi="Times New Roman"/>
                <w:b/>
                <w:sz w:val="18"/>
              </w:rPr>
              <w:t>Instrument / tableau mobilisé</w:t>
            </w:r>
          </w:p>
        </w:tc>
        <w:tc>
          <w:tcPr>
            <w:tcW w:type="dxa" w:w="1191"/>
            <w:shd w:val="clear" w:color="auto" w:fill="D9E2F3"/>
          </w:tcPr>
          <w:p>
            <w:pPr>
              <w:spacing w:after="40" w:before="40" w:line="240" w:lineRule="auto"/>
              <w:jc w:val="center"/>
            </w:pPr>
            <w:r/>
            <w:r>
              <w:rPr>
                <w:rFonts w:ascii="Times New Roman" w:hAnsi="Times New Roman"/>
                <w:b/>
                <w:sz w:val="18"/>
              </w:rPr>
              <w:t>Section d’analyse</w:t>
            </w:r>
          </w:p>
        </w:tc>
      </w:tr>
      <w:tr>
        <w:tc>
          <w:tcPr>
            <w:tcW w:type="dxa" w:w="2041"/>
          </w:tcPr>
          <w:p>
            <w:pPr>
              <w:spacing w:after="40" w:before="40" w:line="240" w:lineRule="auto"/>
              <w:jc w:val="left"/>
            </w:pPr>
            <w:r/>
            <w:r>
              <w:rPr>
                <w:rFonts w:ascii="Times New Roman" w:hAnsi="Times New Roman"/>
                <w:b w:val="0"/>
                <w:sz w:val="18"/>
              </w:rPr>
              <w:t>QS1 — Ressources humaines suffisantes et formées ?</w:t>
            </w:r>
          </w:p>
        </w:tc>
        <w:tc>
          <w:tcPr>
            <w:tcW w:type="dxa" w:w="1077"/>
          </w:tcPr>
          <w:p>
            <w:pPr>
              <w:spacing w:after="40" w:before="40" w:line="240" w:lineRule="auto"/>
              <w:jc w:val="left"/>
            </w:pPr>
            <w:r/>
            <w:r>
              <w:rPr>
                <w:rFonts w:ascii="Times New Roman" w:hAnsi="Times New Roman"/>
                <w:b w:val="0"/>
                <w:sz w:val="18"/>
              </w:rPr>
              <w:t>HS3</w:t>
            </w:r>
          </w:p>
        </w:tc>
        <w:tc>
          <w:tcPr>
            <w:tcW w:type="dxa" w:w="1134"/>
          </w:tcPr>
          <w:p>
            <w:pPr>
              <w:spacing w:after="40" w:before="40" w:line="240" w:lineRule="auto"/>
              <w:jc w:val="left"/>
            </w:pPr>
            <w:r/>
            <w:r>
              <w:rPr>
                <w:rFonts w:ascii="Times New Roman" w:hAnsi="Times New Roman"/>
                <w:b w:val="0"/>
                <w:sz w:val="18"/>
              </w:rPr>
              <w:t>OS1</w:t>
            </w:r>
          </w:p>
        </w:tc>
        <w:tc>
          <w:tcPr>
            <w:tcW w:type="dxa" w:w="2494"/>
          </w:tcPr>
          <w:p>
            <w:pPr>
              <w:spacing w:after="40" w:before="40" w:line="240" w:lineRule="auto"/>
              <w:jc w:val="left"/>
            </w:pPr>
            <w:r/>
            <w:r>
              <w:rPr>
                <w:rFonts w:ascii="Times New Roman" w:hAnsi="Times New Roman"/>
                <w:b w:val="0"/>
                <w:sz w:val="18"/>
              </w:rPr>
              <w:t>Tableau 1 ; entretiens formateurs ; observation</w:t>
            </w:r>
          </w:p>
        </w:tc>
        <w:tc>
          <w:tcPr>
            <w:tcW w:type="dxa" w:w="1191"/>
          </w:tcPr>
          <w:p>
            <w:pPr>
              <w:spacing w:after="40" w:before="40" w:line="240" w:lineRule="auto"/>
              <w:jc w:val="left"/>
            </w:pPr>
            <w:r/>
            <w:r>
              <w:rPr>
                <w:rFonts w:ascii="Times New Roman" w:hAnsi="Times New Roman"/>
                <w:b w:val="0"/>
                <w:sz w:val="18"/>
              </w:rPr>
              <w:t>4.2</w:t>
            </w:r>
          </w:p>
        </w:tc>
      </w:tr>
      <w:tr>
        <w:tc>
          <w:tcPr>
            <w:tcW w:type="dxa" w:w="2041"/>
          </w:tcPr>
          <w:p>
            <w:pPr>
              <w:spacing w:after="40" w:before="40" w:line="240" w:lineRule="auto"/>
              <w:jc w:val="left"/>
            </w:pPr>
            <w:r/>
            <w:r>
              <w:rPr>
                <w:rFonts w:ascii="Times New Roman" w:hAnsi="Times New Roman"/>
                <w:b w:val="0"/>
                <w:sz w:val="18"/>
              </w:rPr>
              <w:t>QS2 — Ressources matérielles et technologiques adaptées ?</w:t>
            </w:r>
          </w:p>
        </w:tc>
        <w:tc>
          <w:tcPr>
            <w:tcW w:type="dxa" w:w="1077"/>
          </w:tcPr>
          <w:p>
            <w:pPr>
              <w:spacing w:after="40" w:before="40" w:line="240" w:lineRule="auto"/>
              <w:jc w:val="left"/>
            </w:pPr>
            <w:r/>
            <w:r>
              <w:rPr>
                <w:rFonts w:ascii="Times New Roman" w:hAnsi="Times New Roman"/>
                <w:b w:val="0"/>
                <w:sz w:val="18"/>
              </w:rPr>
              <w:t>HS1</w:t>
            </w:r>
          </w:p>
        </w:tc>
        <w:tc>
          <w:tcPr>
            <w:tcW w:type="dxa" w:w="1134"/>
          </w:tcPr>
          <w:p>
            <w:pPr>
              <w:spacing w:after="40" w:before="40" w:line="240" w:lineRule="auto"/>
              <w:jc w:val="left"/>
            </w:pPr>
            <w:r/>
            <w:r>
              <w:rPr>
                <w:rFonts w:ascii="Times New Roman" w:hAnsi="Times New Roman"/>
                <w:b w:val="0"/>
                <w:sz w:val="18"/>
              </w:rPr>
              <w:t>OS2</w:t>
            </w:r>
          </w:p>
        </w:tc>
        <w:tc>
          <w:tcPr>
            <w:tcW w:type="dxa" w:w="2494"/>
          </w:tcPr>
          <w:p>
            <w:pPr>
              <w:spacing w:after="40" w:before="40" w:line="240" w:lineRule="auto"/>
              <w:jc w:val="left"/>
            </w:pPr>
            <w:r/>
            <w:r>
              <w:rPr>
                <w:rFonts w:ascii="Times New Roman" w:hAnsi="Times New Roman"/>
                <w:b w:val="0"/>
                <w:sz w:val="18"/>
              </w:rPr>
              <w:t>Tableaux 4, 5, 6, 7, 8 (item « manque de support didactique »)</w:t>
            </w:r>
          </w:p>
        </w:tc>
        <w:tc>
          <w:tcPr>
            <w:tcW w:type="dxa" w:w="1191"/>
          </w:tcPr>
          <w:p>
            <w:pPr>
              <w:spacing w:after="40" w:before="40" w:line="240" w:lineRule="auto"/>
              <w:jc w:val="left"/>
            </w:pPr>
            <w:r/>
            <w:r>
              <w:rPr>
                <w:rFonts w:ascii="Times New Roman" w:hAnsi="Times New Roman"/>
                <w:b w:val="0"/>
                <w:sz w:val="18"/>
              </w:rPr>
              <w:t>4.3</w:t>
            </w:r>
          </w:p>
        </w:tc>
      </w:tr>
      <w:tr>
        <w:tc>
          <w:tcPr>
            <w:tcW w:type="dxa" w:w="2041"/>
          </w:tcPr>
          <w:p>
            <w:pPr>
              <w:spacing w:after="40" w:before="40" w:line="240" w:lineRule="auto"/>
              <w:jc w:val="left"/>
            </w:pPr>
            <w:r/>
            <w:r>
              <w:rPr>
                <w:rFonts w:ascii="Times New Roman" w:hAnsi="Times New Roman"/>
                <w:b w:val="0"/>
                <w:sz w:val="18"/>
              </w:rPr>
              <w:t>QS3 — Contenus, méthodes et évaluation adaptés ?</w:t>
            </w:r>
          </w:p>
        </w:tc>
        <w:tc>
          <w:tcPr>
            <w:tcW w:type="dxa" w:w="1077"/>
          </w:tcPr>
          <w:p>
            <w:pPr>
              <w:spacing w:after="40" w:before="40" w:line="240" w:lineRule="auto"/>
              <w:jc w:val="left"/>
            </w:pPr>
            <w:r/>
            <w:r>
              <w:rPr>
                <w:rFonts w:ascii="Times New Roman" w:hAnsi="Times New Roman"/>
                <w:b w:val="0"/>
                <w:sz w:val="18"/>
              </w:rPr>
              <w:t>HS2, HS5</w:t>
            </w:r>
          </w:p>
        </w:tc>
        <w:tc>
          <w:tcPr>
            <w:tcW w:type="dxa" w:w="1134"/>
          </w:tcPr>
          <w:p>
            <w:pPr>
              <w:spacing w:after="40" w:before="40" w:line="240" w:lineRule="auto"/>
              <w:jc w:val="left"/>
            </w:pPr>
            <w:r/>
            <w:r>
              <w:rPr>
                <w:rFonts w:ascii="Times New Roman" w:hAnsi="Times New Roman"/>
                <w:b w:val="0"/>
                <w:sz w:val="18"/>
              </w:rPr>
              <w:t>OS3</w:t>
            </w:r>
          </w:p>
        </w:tc>
        <w:tc>
          <w:tcPr>
            <w:tcW w:type="dxa" w:w="2494"/>
          </w:tcPr>
          <w:p>
            <w:pPr>
              <w:spacing w:after="40" w:before="40" w:line="240" w:lineRule="auto"/>
              <w:jc w:val="left"/>
            </w:pPr>
            <w:r/>
            <w:r>
              <w:rPr>
                <w:rFonts w:ascii="Times New Roman" w:hAnsi="Times New Roman"/>
                <w:b w:val="0"/>
                <w:sz w:val="18"/>
              </w:rPr>
              <w:t>Tableaux 9, 10, 14, 15, 17, 19</w:t>
            </w:r>
          </w:p>
        </w:tc>
        <w:tc>
          <w:tcPr>
            <w:tcW w:type="dxa" w:w="1191"/>
          </w:tcPr>
          <w:p>
            <w:pPr>
              <w:spacing w:after="40" w:before="40" w:line="240" w:lineRule="auto"/>
              <w:jc w:val="left"/>
            </w:pPr>
            <w:r/>
            <w:r>
              <w:rPr>
                <w:rFonts w:ascii="Times New Roman" w:hAnsi="Times New Roman"/>
                <w:b w:val="0"/>
                <w:sz w:val="18"/>
              </w:rPr>
              <w:t>4.4 ; 4.5 ; 4.9</w:t>
            </w:r>
          </w:p>
        </w:tc>
      </w:tr>
      <w:tr>
        <w:tc>
          <w:tcPr>
            <w:tcW w:type="dxa" w:w="2041"/>
          </w:tcPr>
          <w:p>
            <w:pPr>
              <w:spacing w:after="40" w:before="40" w:line="240" w:lineRule="auto"/>
              <w:jc w:val="left"/>
            </w:pPr>
            <w:r/>
            <w:r>
              <w:rPr>
                <w:rFonts w:ascii="Times New Roman" w:hAnsi="Times New Roman"/>
                <w:b w:val="0"/>
                <w:sz w:val="18"/>
              </w:rPr>
              <w:t>QS4 — Structures de suivi et d’évaluation efficaces ?</w:t>
            </w:r>
          </w:p>
        </w:tc>
        <w:tc>
          <w:tcPr>
            <w:tcW w:type="dxa" w:w="1077"/>
          </w:tcPr>
          <w:p>
            <w:pPr>
              <w:spacing w:after="40" w:before="40" w:line="240" w:lineRule="auto"/>
              <w:jc w:val="left"/>
            </w:pPr>
            <w:r/>
            <w:r>
              <w:rPr>
                <w:rFonts w:ascii="Times New Roman" w:hAnsi="Times New Roman"/>
                <w:b w:val="0"/>
                <w:sz w:val="18"/>
              </w:rPr>
              <w:t>HS2, HS5</w:t>
            </w:r>
          </w:p>
        </w:tc>
        <w:tc>
          <w:tcPr>
            <w:tcW w:type="dxa" w:w="1134"/>
          </w:tcPr>
          <w:p>
            <w:pPr>
              <w:spacing w:after="40" w:before="40" w:line="240" w:lineRule="auto"/>
              <w:jc w:val="left"/>
            </w:pPr>
            <w:r/>
            <w:r>
              <w:rPr>
                <w:rFonts w:ascii="Times New Roman" w:hAnsi="Times New Roman"/>
                <w:b w:val="0"/>
                <w:sz w:val="18"/>
              </w:rPr>
              <w:t>OS3, OS5</w:t>
            </w:r>
          </w:p>
        </w:tc>
        <w:tc>
          <w:tcPr>
            <w:tcW w:type="dxa" w:w="2494"/>
          </w:tcPr>
          <w:p>
            <w:pPr>
              <w:spacing w:after="40" w:before="40" w:line="240" w:lineRule="auto"/>
              <w:jc w:val="left"/>
            </w:pPr>
            <w:r/>
            <w:r>
              <w:rPr>
                <w:rFonts w:ascii="Times New Roman" w:hAnsi="Times New Roman"/>
                <w:b w:val="0"/>
                <w:sz w:val="18"/>
              </w:rPr>
              <w:t>Tableaux 11, 12, 13, 16 ; observation</w:t>
            </w:r>
          </w:p>
        </w:tc>
        <w:tc>
          <w:tcPr>
            <w:tcW w:type="dxa" w:w="1191"/>
          </w:tcPr>
          <w:p>
            <w:pPr>
              <w:spacing w:after="40" w:before="40" w:line="240" w:lineRule="auto"/>
              <w:jc w:val="left"/>
            </w:pPr>
            <w:r/>
            <w:r>
              <w:rPr>
                <w:rFonts w:ascii="Times New Roman" w:hAnsi="Times New Roman"/>
                <w:b w:val="0"/>
                <w:sz w:val="18"/>
              </w:rPr>
              <w:t>4.6 ; 4.7</w:t>
            </w:r>
          </w:p>
        </w:tc>
      </w:tr>
      <w:tr>
        <w:tc>
          <w:tcPr>
            <w:tcW w:type="dxa" w:w="2041"/>
          </w:tcPr>
          <w:p>
            <w:pPr>
              <w:spacing w:after="40" w:before="40" w:line="240" w:lineRule="auto"/>
              <w:jc w:val="left"/>
            </w:pPr>
            <w:r/>
            <w:r>
              <w:rPr>
                <w:rFonts w:ascii="Times New Roman" w:hAnsi="Times New Roman"/>
                <w:b w:val="0"/>
                <w:sz w:val="18"/>
              </w:rPr>
              <w:t>QS5 — Rôle des représentations sociales ?</w:t>
            </w:r>
          </w:p>
        </w:tc>
        <w:tc>
          <w:tcPr>
            <w:tcW w:type="dxa" w:w="1077"/>
          </w:tcPr>
          <w:p>
            <w:pPr>
              <w:spacing w:after="40" w:before="40" w:line="240" w:lineRule="auto"/>
              <w:jc w:val="left"/>
            </w:pPr>
            <w:r/>
            <w:r>
              <w:rPr>
                <w:rFonts w:ascii="Times New Roman" w:hAnsi="Times New Roman"/>
                <w:b w:val="0"/>
                <w:sz w:val="18"/>
              </w:rPr>
              <w:t>HS4</w:t>
            </w:r>
          </w:p>
        </w:tc>
        <w:tc>
          <w:tcPr>
            <w:tcW w:type="dxa" w:w="1134"/>
          </w:tcPr>
          <w:p>
            <w:pPr>
              <w:spacing w:after="40" w:before="40" w:line="240" w:lineRule="auto"/>
              <w:jc w:val="left"/>
            </w:pPr>
            <w:r/>
            <w:r>
              <w:rPr>
                <w:rFonts w:ascii="Times New Roman" w:hAnsi="Times New Roman"/>
                <w:b w:val="0"/>
                <w:sz w:val="18"/>
              </w:rPr>
              <w:t>OS6</w:t>
            </w:r>
          </w:p>
        </w:tc>
        <w:tc>
          <w:tcPr>
            <w:tcW w:type="dxa" w:w="2494"/>
          </w:tcPr>
          <w:p>
            <w:pPr>
              <w:spacing w:after="40" w:before="40" w:line="240" w:lineRule="auto"/>
              <w:jc w:val="left"/>
            </w:pPr>
            <w:r/>
            <w:r>
              <w:rPr>
                <w:rFonts w:ascii="Times New Roman" w:hAnsi="Times New Roman"/>
                <w:b w:val="0"/>
                <w:sz w:val="18"/>
              </w:rPr>
              <w:t>Tableaux 17, 18 ; entretiens ; suggestions des enquêtés</w:t>
            </w:r>
          </w:p>
        </w:tc>
        <w:tc>
          <w:tcPr>
            <w:tcW w:type="dxa" w:w="1191"/>
          </w:tcPr>
          <w:p>
            <w:pPr>
              <w:spacing w:after="40" w:before="40" w:line="240" w:lineRule="auto"/>
              <w:jc w:val="left"/>
            </w:pPr>
            <w:r/>
            <w:r>
              <w:rPr>
                <w:rFonts w:ascii="Times New Roman" w:hAnsi="Times New Roman"/>
                <w:b w:val="0"/>
                <w:sz w:val="18"/>
              </w:rPr>
              <w:t>4.8 ; 4.10</w:t>
            </w:r>
          </w:p>
        </w:tc>
      </w:tr>
      <w:tr>
        <w:tc>
          <w:tcPr>
            <w:tcW w:type="dxa" w:w="2041"/>
          </w:tcPr>
          <w:p>
            <w:pPr>
              <w:spacing w:after="40" w:before="40" w:line="240" w:lineRule="auto"/>
              <w:jc w:val="left"/>
            </w:pPr>
            <w:r/>
            <w:r>
              <w:rPr>
                <w:rFonts w:ascii="Times New Roman" w:hAnsi="Times New Roman"/>
                <w:b w:val="0"/>
                <w:sz w:val="18"/>
              </w:rPr>
              <w:t>QS6 — Transfert des acquis au primaire ?</w:t>
            </w:r>
          </w:p>
        </w:tc>
        <w:tc>
          <w:tcPr>
            <w:tcW w:type="dxa" w:w="1077"/>
          </w:tcPr>
          <w:p>
            <w:pPr>
              <w:spacing w:after="40" w:before="40" w:line="240" w:lineRule="auto"/>
              <w:jc w:val="left"/>
            </w:pPr>
            <w:r/>
            <w:r>
              <w:rPr>
                <w:rFonts w:ascii="Times New Roman" w:hAnsi="Times New Roman"/>
                <w:b w:val="0"/>
                <w:sz w:val="18"/>
              </w:rPr>
              <w:t>HS1, HS2, HS5</w:t>
            </w:r>
          </w:p>
        </w:tc>
        <w:tc>
          <w:tcPr>
            <w:tcW w:type="dxa" w:w="1134"/>
          </w:tcPr>
          <w:p>
            <w:pPr>
              <w:spacing w:after="40" w:before="40" w:line="240" w:lineRule="auto"/>
              <w:jc w:val="left"/>
            </w:pPr>
            <w:r/>
            <w:r>
              <w:rPr>
                <w:rFonts w:ascii="Times New Roman" w:hAnsi="Times New Roman"/>
                <w:b w:val="0"/>
                <w:sz w:val="18"/>
              </w:rPr>
              <w:t>OS4, OS5</w:t>
            </w:r>
          </w:p>
        </w:tc>
        <w:tc>
          <w:tcPr>
            <w:tcW w:type="dxa" w:w="2494"/>
          </w:tcPr>
          <w:p>
            <w:pPr>
              <w:spacing w:after="40" w:before="40" w:line="240" w:lineRule="auto"/>
              <w:jc w:val="left"/>
            </w:pPr>
            <w:r/>
            <w:r>
              <w:rPr>
                <w:rFonts w:ascii="Times New Roman" w:hAnsi="Times New Roman"/>
                <w:b w:val="0"/>
                <w:sz w:val="18"/>
              </w:rPr>
              <w:t>Tableaux 3, 4, 8, 18 ; observation de stage</w:t>
            </w:r>
          </w:p>
        </w:tc>
        <w:tc>
          <w:tcPr>
            <w:tcW w:type="dxa" w:w="1191"/>
          </w:tcPr>
          <w:p>
            <w:pPr>
              <w:spacing w:after="40" w:before="40" w:line="240" w:lineRule="auto"/>
              <w:jc w:val="left"/>
            </w:pPr>
            <w:r/>
            <w:r>
              <w:rPr>
                <w:rFonts w:ascii="Times New Roman" w:hAnsi="Times New Roman"/>
                <w:b w:val="0"/>
                <w:sz w:val="18"/>
              </w:rPr>
              <w:t>4.6 ; 4.11</w:t>
            </w:r>
          </w:p>
        </w:tc>
      </w:tr>
    </w:tbl>
    <w:p>
      <w:pPr>
        <w:spacing w:after="0"/>
      </w:pPr>
    </w:p>
    <w:p>
      <w:pPr>
        <w:spacing w:after="200"/>
        <w:jc w:val="left"/>
      </w:pPr>
      <w:r>
        <w:rPr>
          <w:rFonts w:ascii="Times New Roman" w:hAnsi="Times New Roman"/>
          <w:i/>
          <w:sz w:val="20"/>
        </w:rPr>
        <w:t>Source : élaboration personnelle.</w:t>
      </w:r>
    </w:p>
    <w:p>
      <w:pPr>
        <w:spacing w:after="120"/>
        <w:ind w:firstLine="567"/>
        <w:jc w:val="both"/>
      </w:pPr>
      <w:r>
        <w:rPr>
          <w:rFonts w:ascii="Times New Roman" w:hAnsi="Times New Roman"/>
          <w:b w:val="0"/>
          <w:i w:val="0"/>
          <w:sz w:val="24"/>
        </w:rPr>
        <w:t>Cette matrice appelle une précision de méthode. Un même tableau peut documenter plusieurs questions : le tableau 17, par exemple, relatif à l’acceptation du français comme langue d’évaluation, renseigne à la fois sur les modalités d’évaluation (QS3) et sur les représentations sociales (QS5). Inversement, aucune question n’est documentée par un seul indicateur : le principe de triangulation, exposé au chapitre 3, impose de croiser questionnaire, entretien et observation avant toute conclusion. C’est ce double principe — un tableau, plusieurs questions ; une question, plusieurs sources — qui gouverne l’organisation du chapitre 4.</w:t>
      </w:r>
    </w:p>
    <w:p>
      <w:r>
        <w:br w:type="page"/>
      </w:r>
    </w:p>
    <w:p>
      <w:pPr>
        <w:pStyle w:val="Heading1"/>
        <w:jc w:val="left"/>
      </w:pPr>
      <w:r>
        <w:t>CHAPITRE 3 : APPROCHE THÉORIQUE ET MÉTHODOLOGIQUE</w:t>
      </w:r>
    </w:p>
    <w:p>
      <w:pPr>
        <w:spacing w:after="120"/>
        <w:ind w:firstLine="567"/>
        <w:jc w:val="both"/>
      </w:pPr>
      <w:r>
        <w:rPr>
          <w:rFonts w:ascii="Times New Roman" w:hAnsi="Times New Roman"/>
          <w:b w:val="0"/>
          <w:i w:val="0"/>
          <w:sz w:val="24"/>
        </w:rPr>
        <w:t>À travers ce chapitre, nous présenterons l’état de la question — autrement dit une revue de la littérature —, le cadre conceptuel, les théories de référence et notre démarche méthodologique. L’ensemble vise à constituer l’outillage intellectuel qui rendra possible l’analyse des données présentées au chapitre suivant.</w:t>
      </w:r>
    </w:p>
    <w:p>
      <w:pPr>
        <w:pStyle w:val="Heading2"/>
        <w:jc w:val="left"/>
      </w:pPr>
      <w:r>
        <w:t>3.1. État de la question (revue de la littérature)</w:t>
      </w:r>
    </w:p>
    <w:p>
      <w:pPr>
        <w:spacing w:after="120"/>
        <w:ind w:firstLine="567"/>
        <w:jc w:val="both"/>
      </w:pPr>
      <w:r>
        <w:rPr>
          <w:rFonts w:ascii="Times New Roman" w:hAnsi="Times New Roman"/>
          <w:b w:val="0"/>
          <w:i w:val="0"/>
          <w:sz w:val="24"/>
        </w:rPr>
        <w:t>Cette section vise à recenser les écrits ayant abordé la problématique de l’enseignement des langues nationales au Togo, dont l’éwégbé. La réforme de 1975, promulguée par l’ordonnance n° 75-016 du 6 mai 1975, a prévu la prise en compte de l’enseignement des langues nationales dans les programmes. C’est ainsi que, comme nous l’avons mentionné plus haut, des écoles pilotes avaient été mises en place dès le début des années 1980 pour l’enseignement du kabiyè et de l’éwégbé dans les écoles primaires et les écoles de formation des enseignants. Après une longue léthargie, cet enseignement a refait surface à partir de 2009. Cette revue s’articule autour de trois axes majeurs identifiés dans la littérature : le cadre politique et institutionnel ; les pratiques de formation et les ressources ; enfin les résultats et les défis du dispositif.</w:t>
      </w:r>
    </w:p>
    <w:p>
      <w:pPr>
        <w:pStyle w:val="Heading3"/>
        <w:jc w:val="left"/>
      </w:pPr>
      <w:r>
        <w:t>3.1.1. Le cadre politique et institutionnel</w:t>
      </w:r>
    </w:p>
    <w:p>
      <w:pPr>
        <w:spacing w:after="120"/>
        <w:ind w:firstLine="567"/>
        <w:jc w:val="both"/>
      </w:pPr>
      <w:r>
        <w:rPr>
          <w:rFonts w:ascii="Times New Roman" w:hAnsi="Times New Roman"/>
          <w:b w:val="0"/>
          <w:i w:val="0"/>
          <w:sz w:val="24"/>
        </w:rPr>
        <w:t>La langue constitue l’identité d’une personne. C’est bien elle qui lui permet d’exprimer ses sentiments réels et profonds. Akakpo-Ahianyo (1974 : 3) écrivait que : « La connaissance de sa langue permet à l’homme de traduire dans cette langue toute la pensée universelle, tous les acquis de la science : l’étude des langues nationales vise incontestablement la formation de l’homme total et assure à celui-ci son épanouissement social et culturel » (cité par Essohouna Tanang, Université de Kara, « L’enseignement des langues nationales au Togo : entre valorisation du patrimoine culturel linguistique et enjeux politiques (fin des années 1960-2018) », p. 128).</w:t>
      </w:r>
    </w:p>
    <w:p>
      <w:pPr>
        <w:spacing w:after="120"/>
        <w:ind w:firstLine="567"/>
        <w:jc w:val="both"/>
      </w:pPr>
      <w:r>
        <w:rPr>
          <w:rFonts w:ascii="Times New Roman" w:hAnsi="Times New Roman"/>
          <w:b w:val="0"/>
          <w:i w:val="0"/>
          <w:sz w:val="24"/>
        </w:rPr>
        <w:t>C’est dans cette perspective que la réforme de 1975 recommandait alors les dispositions suivantes : « La réhabilitation de nos langues et de nos valeurs culturelles positives permettra une démocratisation avancée de l’École » (p. 7) ; « Pour une école adaptée au milieu en développement, il faut absolument réhabiliter nos langues et nos valeurs culturelles qui ne sont pas des freins au développement socio-économique. Toutes les valeurs philosophiques positives doivent pouvoir s’exprimer à l’école, ainsi que toutes les formes d’expressions proprement togolaises et africaines : expression orale, plastique, musicale, technologique, etc. » (p. 8).</w:t>
      </w:r>
    </w:p>
    <w:p>
      <w:pPr>
        <w:spacing w:after="120"/>
        <w:ind w:firstLine="567"/>
        <w:jc w:val="both"/>
      </w:pPr>
      <w:r>
        <w:rPr>
          <w:rFonts w:ascii="Times New Roman" w:hAnsi="Times New Roman"/>
          <w:b w:val="0"/>
          <w:i w:val="0"/>
          <w:sz w:val="24"/>
        </w:rPr>
        <w:t>Elle en tirait quatre mesures opératoires : créer un institut de linguistique africaine proprement togolais qui étudierait ces langues pour elles-mêmes ; faire élaborer par les organismes de recherche et de formation pédagogique les instruments indispensables à leur enseignement ; introduire dans l’enseignement, dès 1975, les langues dont les études sont assez avancées ; et préparer les maîtres en conséquence, chaque citoyen devant apprendre deux langues togolaises (pp. 8-9). La même réforme avait également procédé à un découpage par zone d’enseignement-apprentissage des langues éwé et kabiyè selon leur influence géographique : dans la zone 1, qui s’étend de Lomé à Blitta, l’éwégbé serait la première langue et le kabiyè la deuxième ; la situation inverse s’appliquant dans la zone 2, qui va de Blitta à Dapaong (p. 19).</w:t>
      </w:r>
    </w:p>
    <w:p>
      <w:pPr>
        <w:spacing w:after="120"/>
        <w:ind w:firstLine="567"/>
        <w:jc w:val="both"/>
      </w:pPr>
      <w:r>
        <w:rPr>
          <w:rFonts w:ascii="Times New Roman" w:hAnsi="Times New Roman"/>
          <w:b w:val="0"/>
          <w:i w:val="0"/>
          <w:sz w:val="24"/>
        </w:rPr>
        <w:t>Il importe de relever ici que la quatrième mesure — « préparer les maîtres en conséquence » — constitue très exactement l’objet du présent mémoire. Cinquante ans après, le degré de réalisation de cette mesure n’a, à notre connaissance, jamais fait l’objet d’une évaluation empirique publiée au Togo.</w:t>
      </w:r>
    </w:p>
    <w:p>
      <w:pPr>
        <w:spacing w:after="120"/>
        <w:ind w:firstLine="567"/>
        <w:jc w:val="both"/>
      </w:pPr>
      <w:r>
        <w:rPr>
          <w:rFonts w:ascii="Times New Roman" w:hAnsi="Times New Roman"/>
          <w:b w:val="0"/>
          <w:i w:val="0"/>
          <w:sz w:val="24"/>
        </w:rPr>
        <w:t>Sur le plan de l’accompagnement des apprenants, Winegue Eyaba rappelle, dans le mémoire déjà cité (p. 32), que « le processus de l’orientation scolaire fait appel à plusieurs acteurs. Ces acteurs sont entre autres les parents d’élèves, les établissements scolaires, les enseignants et les professionnels de l’orientation ». Cette pluralité d’acteurs vaut également, et peut-être davantage encore, pour ce qui relève de l’enseignement-apprentissage des langues nationales, dont l’éwégbé.</w:t>
      </w:r>
    </w:p>
    <w:p>
      <w:pPr>
        <w:pStyle w:val="Heading3"/>
        <w:jc w:val="left"/>
      </w:pPr>
      <w:r>
        <w:t>3.1.2. Les orientations de l’UNESCO</w:t>
      </w:r>
    </w:p>
    <w:p>
      <w:pPr>
        <w:spacing w:after="120"/>
        <w:ind w:firstLine="567"/>
        <w:jc w:val="both"/>
      </w:pPr>
      <w:r>
        <w:rPr>
          <w:rFonts w:ascii="Times New Roman" w:hAnsi="Times New Roman"/>
          <w:b w:val="0"/>
          <w:i w:val="0"/>
          <w:sz w:val="24"/>
        </w:rPr>
        <w:t>Dans un contexte mondial et sous-régional, trois publications de l’UNESCO sont particulièrement pertinentes pour notre étude sur la formation des élèves-professeurs en éwégbé dans les ENFPE au Togo. Il s’agit de : Langues nationales et formation des maîtres en Afrique (1987) ; La formation des enseignants en enseignement bilingue ou plurilingue (version Afrique, 1999) ; et Stratégie de formation des enseignants en enseignement bilingue additif pour les pays du Sahel (2006).</w:t>
      </w:r>
    </w:p>
    <w:p>
      <w:pPr>
        <w:spacing w:after="120"/>
        <w:ind w:firstLine="567"/>
        <w:jc w:val="both"/>
      </w:pPr>
      <w:r>
        <w:rPr>
          <w:rFonts w:ascii="Times New Roman" w:hAnsi="Times New Roman"/>
          <w:b w:val="0"/>
          <w:i w:val="0"/>
          <w:sz w:val="24"/>
        </w:rPr>
        <w:t>Dans Langues nationales et formation des maîtres en Afrique, l’institution reconnaît l’éducation en langue maternelle comme un droit pour chaque enfant. Dès 1987, elle soulignait que l’utilisation des langues nationales dans l’éducation est une condition nécessaire pour améliorer la qualité et l’équité du système éducatif en Afrique, et que l’échec scolaire est en partie lié au fait que l’enfant apprend dans une langue qu’il ne parle pas à la maison.</w:t>
      </w:r>
    </w:p>
    <w:p>
      <w:pPr>
        <w:spacing w:after="120"/>
        <w:ind w:firstLine="567"/>
        <w:jc w:val="both"/>
      </w:pPr>
      <w:r>
        <w:rPr>
          <w:rFonts w:ascii="Times New Roman" w:hAnsi="Times New Roman"/>
          <w:b w:val="0"/>
          <w:i w:val="0"/>
          <w:sz w:val="24"/>
        </w:rPr>
        <w:t>La formation des enseignants en enseignement bilingue ou plurilingue (version Afrique, 1999) s’adresse quant à elle directement aux écoles de formation, en détaillant les compétences que doit posséder un enseignant bilingue. Ce guide précise que celui-ci doit disposer de compétences spécifiques, dont la maîtrise des deux langues L1 et L2, et la capacité à fabriquer du matériel local. Il préconise en outre des référentiels de compétences clairs pour les enseignants bilingues.</w:t>
      </w:r>
    </w:p>
    <w:p>
      <w:pPr>
        <w:spacing w:after="120"/>
        <w:ind w:firstLine="567"/>
        <w:jc w:val="both"/>
      </w:pPr>
      <w:r>
        <w:rPr>
          <w:rFonts w:ascii="Times New Roman" w:hAnsi="Times New Roman"/>
          <w:b w:val="0"/>
          <w:i w:val="0"/>
          <w:sz w:val="24"/>
        </w:rPr>
        <w:t>La Stratégie de formation des enseignants en enseignement bilingue additif pour les pays du Sahel (UNESCO, 2006) recommande le « bilinguisme additif », qui consiste à scolariser l’enfant d’abord dans sa langue maternelle pendant les premières années, c’est-à-dire pendant trois à cinq ans, le français étant progressivement introduit comme deuxième langue. Ce modèle vise à construire des bases solides avant le transfert linguistique. Le même document propose de former les formateurs d’ENI (actuelles ENFPE), d’adapter les curricula, de recruter des enseignants parlant la langue locale et d’assurer un suivi.</w:t>
      </w:r>
    </w:p>
    <w:p>
      <w:pPr>
        <w:spacing w:after="120"/>
        <w:ind w:firstLine="567"/>
        <w:jc w:val="both"/>
      </w:pPr>
      <w:r>
        <w:rPr>
          <w:rFonts w:ascii="Times New Roman" w:hAnsi="Times New Roman"/>
          <w:b w:val="0"/>
          <w:i w:val="0"/>
          <w:sz w:val="24"/>
        </w:rPr>
        <w:t>Aucun enfant ne peut véritablement construire les bases de son identité et de ses compétences sans l’implication de sa propre langue, qu’il comprend de façon naturelle, et de la culture que porte cette dernière. Il serait donc réduit à l’échec dans une proportion donnée par anticipation. C’est précisément ce que Maurer et N’Doye ont explicité dans le DRO de la 59e session de la CONFEMEN : pour eux, un enfant dont la langue est écartée de l’école est placé en échec (p. 33). Or, c’est bien le cas chez la majorité des enfants africains, qui se trouvent déconnectés de leurs réalités linguistiques dès leurs premiers pas à l’école, comme le relève également O. Thiam (p. 64).</w:t>
      </w:r>
    </w:p>
    <w:p>
      <w:pPr>
        <w:pStyle w:val="Heading3"/>
        <w:jc w:val="left"/>
      </w:pPr>
      <w:r>
        <w:t>3.1.3. Les pratiques de formation et les ressources</w:t>
      </w:r>
    </w:p>
    <w:p>
      <w:pPr>
        <w:spacing w:after="120"/>
        <w:ind w:firstLine="567"/>
        <w:jc w:val="both"/>
      </w:pPr>
      <w:r>
        <w:rPr>
          <w:rFonts w:ascii="Times New Roman" w:hAnsi="Times New Roman"/>
          <w:b w:val="0"/>
          <w:i w:val="0"/>
          <w:sz w:val="24"/>
        </w:rPr>
        <w:t>Cette sous-section aborde les contenus, les approches et les ressources, autrement dit l’état des pratiques de formation.</w:t>
      </w:r>
    </w:p>
    <w:p>
      <w:pPr>
        <w:spacing w:after="120"/>
        <w:ind w:firstLine="567"/>
        <w:jc w:val="both"/>
      </w:pPr>
      <w:r>
        <w:rPr>
          <w:rFonts w:ascii="Times New Roman" w:hAnsi="Times New Roman"/>
          <w:b w:val="0"/>
          <w:i w:val="0"/>
          <w:sz w:val="24"/>
        </w:rPr>
        <w:t>Contenus de formation. Il n’existe, à notre connaissance, aucune étude empirique établie de façon objective sur les contenus du programme de formation en langue éwé dans les ENFPE. Selon nos observations, et à notre humble avis, en dehors des instructions officielles et de quelques notions de langue, ces contenus ne traitent que d’aspects de base — certes non négligeables dans l’apprentissage d’une langue par un non-locuteur —, mais on n’y trouve aucune trace de grammaire, de conjugaison, ni de signes et symboles mathématiques susceptibles d’aider les EPE dans leurs pratiques de classe afin d’« asseoir le français et les sciences », avec un accent particulier sur les mathématiques, comme le prévoyaient les autorités éducatives lors de la réouverture des ENI en 2009 (Module de formation LN éwé, pp. 6-7). On note cependant une application effective, quoique d’un niveau très faible, des approches participatives et interactives dans les pratiques de classe à l’ENFPE de Notsè. Or, l’un des premiers rapports de l’UNESCO, en 1987, faisait déjà le constat que « le taux d’échec scolaire est élevé car l’école se fait dans une langue étrangère ».</w:t>
      </w:r>
    </w:p>
    <w:p>
      <w:pPr>
        <w:spacing w:after="120"/>
        <w:ind w:firstLine="567"/>
        <w:jc w:val="both"/>
      </w:pPr>
      <w:r>
        <w:rPr>
          <w:rFonts w:ascii="Times New Roman" w:hAnsi="Times New Roman"/>
          <w:b w:val="0"/>
          <w:i w:val="0"/>
          <w:sz w:val="24"/>
        </w:rPr>
        <w:t>Ressources humaines. La question de l’insuffisance du personnel enseignant se pose avec acuité de manière générale au sein du système éducatif togolais, et le cas de l’ENFPE de Notsè en est une illustration. En effet, pour encadrer une double cohorte totalisant environ sept cents élèves-professeurs — dont près de quatre cents pour la promotion 3, répartis en huit groupes-classes, et plus de trois cents pour la promotion 4, répartis en six groupes-classes —, ce centre de formation ne dispose que d’un seul formateur par langue nationale. Pour l’éwégbé, l’unique formateur est, comme c’est souvent le cas, un ancien enseignant du secondaire reconverti. Cette question a déjà été abordée par Atakpa (2019), Tutor Qualification in Volta Region Colleges of Education, qui montrait que « les tuteurs sont souvent d’anciens enseignants du secondaire reconvertis, avec une solide maîtrise de la littérature mais une formation limitée en linguistique, en didactique appliquée et en didactique du L1 ».</w:t>
      </w:r>
    </w:p>
    <w:p>
      <w:pPr>
        <w:spacing w:after="120"/>
        <w:ind w:firstLine="567"/>
        <w:jc w:val="both"/>
      </w:pPr>
      <w:r>
        <w:rPr>
          <w:rFonts w:ascii="Times New Roman" w:hAnsi="Times New Roman"/>
          <w:b w:val="0"/>
          <w:i w:val="0"/>
          <w:sz w:val="24"/>
        </w:rPr>
        <w:t>Ressources matérielles et technologiques. L’ENFPE de Notsè, à l’instar des six autres, manque cruellement de livres de lecture en langue éwé. Cette question a été documentée au Ghana voisin. Ce pays étant en avance sur le Togo en matière d’enseignement-apprentissage des langues nationales dont l’éwé, son cas nous inspire dans la réalisation de la présente étude. Pour Casely-Hayford et al. (2013), The Quality of Basic Education in Ghana, « le manque de livres de lecture en langues ghanéennes pour enfants dans les Colleges of Education empêche les élèves-maîtres de se projeter ». Amenumey (2018), Ewe Children’s Literature and Teacher Training, a quant à lui recensé quelques titres adaptés aux enfants, mais déplore leur absence dans les bibliothèques. Nyamekye (2021), ICT and Indigenous Language Teaching in Ghanaian CoE, relevait pour sa part que, même « si 90 % des élèves-maîtres possèdent un smartphone, moins de 15 % savent installer et utiliser un clavier éwé avec ɖ ƒ ɣ ŋ ɔ ʋ ». Ce dernier constat est d’une importance particulière pour notre hypothèse HS1 : il établit que la fracture n’est pas d’abord matérielle — l’objet technique est là — mais bien didactique, faute de formation à son usage.</w:t>
      </w:r>
    </w:p>
    <w:p>
      <w:pPr>
        <w:pStyle w:val="Heading3"/>
        <w:jc w:val="left"/>
      </w:pPr>
      <w:r>
        <w:t>3.1.4. Les résultats et les défis du dispositif</w:t>
      </w:r>
    </w:p>
    <w:p>
      <w:pPr>
        <w:spacing w:after="120"/>
        <w:ind w:firstLine="567"/>
        <w:jc w:val="both"/>
      </w:pPr>
      <w:r>
        <w:rPr>
          <w:rFonts w:ascii="Times New Roman" w:hAnsi="Times New Roman"/>
          <w:b w:val="0"/>
          <w:i w:val="0"/>
          <w:sz w:val="24"/>
        </w:rPr>
        <w:t>Compétences des sortants. Aucune étude accompagnée de résultats officiels sur les produits de ce dispositif n’est encore disponible au Togo en matière d’enseignement-apprentissage de l’éwégbé. Une étude menée par Danso (2020), Newly Trained Teachers’ Confidence in Using L1 as MOI, auprès d’enseignants néo-titulaires affectés en zone éwéphone au Ghana, indique cependant que 62 % de ces enseignants se sentent « peu confiants » pour faire une leçon de sciences en éwégbé au CE1, faute de vocabulaire et de modèles reçus en formation ; en revanche, « ils estiment être à l’aise dans l’enseignement de la langue éwé comme matière ».</w:t>
      </w:r>
    </w:p>
    <w:p>
      <w:pPr>
        <w:spacing w:after="120"/>
        <w:ind w:firstLine="567"/>
        <w:jc w:val="both"/>
      </w:pPr>
      <w:r>
        <w:rPr>
          <w:rFonts w:ascii="Times New Roman" w:hAnsi="Times New Roman"/>
          <w:b w:val="0"/>
          <w:i w:val="0"/>
          <w:sz w:val="24"/>
        </w:rPr>
        <w:t>Cette distinction est capitale et structurera notre analyse : enseigner la langue et enseigner en langue sont deux compétences distinctes, la seconde étant infiniment plus exigeante. Or si, malgré plusieurs réformes depuis 1973, la formation des enseignants — d’une durée de deux ans, portée en 2003 à quatre ans, soit l’équivalent d’une licence, dans des universités spécialisées en langue éwé telles que l’University of Education de Winneba, avec l’enseignement effectif de disciplines comme la grammaire et la phonétique éwé, les méthodes d’enseignement des langues, la pratique de l’éwé et la linguistique — aboutit néanmoins au bilan dressé par Danso en 2020, que dire alors du cas togolais, où la plupart des EPE ne découvrent l’éwé qu’à l’ENFPE, ou au mieux au secondaire, comme matière facultative ?</w:t>
      </w:r>
    </w:p>
    <w:p>
      <w:pPr>
        <w:spacing w:after="120"/>
        <w:ind w:firstLine="567"/>
        <w:jc w:val="both"/>
      </w:pPr>
      <w:r>
        <w:rPr>
          <w:rFonts w:ascii="Times New Roman" w:hAnsi="Times New Roman"/>
          <w:b w:val="0"/>
          <w:i w:val="0"/>
          <w:sz w:val="24"/>
        </w:rPr>
        <w:t>Le poids des représentations et des évaluations. Pour Ewusi-Mensah (2019), Language Attitudes and Teacher Licensure in Ghana, « le faible poids de l’éwé dans l’examen national de certification démotive les élèves-maîtres, l’éwé étant relégué au rang de matière secondaire malgré son importance sur le terrain » ; et selon Adika (2017), « cette dévaluation institutionnelle affecte le temps réel d’apprentissage ». Que dire alors dans le contexte togolais, où l’éwégbé et le kabiyè sont considérés comme une seule unité d’enseignement, conçue sur une même feuille lors des évaluations ?</w:t>
      </w:r>
    </w:p>
    <w:p>
      <w:pPr>
        <w:spacing w:after="120"/>
        <w:ind w:firstLine="567"/>
        <w:jc w:val="both"/>
      </w:pPr>
      <w:r>
        <w:rPr>
          <w:rFonts w:ascii="Times New Roman" w:hAnsi="Times New Roman"/>
          <w:b w:val="0"/>
          <w:i w:val="0"/>
          <w:sz w:val="24"/>
        </w:rPr>
        <w:t>La question dialectale et l’orthographe standard. Il convient de noter une diversité dialectale qui affecte la mise en place de l’éwé standard : les élèves-professeurs, issus de différentes zones linguistiques, arrivent chacun avec son propre dialecte et doivent faire l’effort de basculer vers l’éwé standard, comme l’ont souligné Dzameshie (2015), Standard Ewe and Dialect Variation in Education, et Agbedor (2018), dans leurs travaux sur les tensions entre les variétés anlo (Aŋlɔ), tongu, waci (Watsi) et éwé. Le Togo n’étant pas encore à l’étape des langues régionales, d’énormes défis restent à relever sur cet aspect, dans la mesure où l’insécurité linguistique née de ces disparités freine considérablement la prise de parole en éwé standard lors des pratiques de classe.</w:t>
      </w:r>
    </w:p>
    <w:p>
      <w:pPr>
        <w:spacing w:after="120"/>
        <w:ind w:firstLine="567"/>
        <w:jc w:val="both"/>
      </w:pPr>
      <w:r>
        <w:rPr>
          <w:rFonts w:ascii="Times New Roman" w:hAnsi="Times New Roman"/>
          <w:b w:val="0"/>
          <w:i w:val="0"/>
          <w:sz w:val="24"/>
        </w:rPr>
        <w:t>Peu d’écrits relatifs à l’enseignement de l’éwégbé dans les ENFPE étant disponibles, nous nous sommes appuyé sur ceux qui traitent de son enseignement en général, en nous efforçant d’établir un lien avec le contexte de notre travail et de l’y adapter. En effet, Jacques Rongier, dans son article « Pour une amélioration de l’enseignement de l’éwé au Togo » (1995, p. 50), relevait déjà certaines difficultés liées à l’enseignement-apprentissage des langues nationales au Togo. Selon lui, « les problèmes posés par l’enseignement de l’éwé sont multiples », et il ajoutait que « certains ont été évoqués par la DIFOP elle-même (Gnon-Samya, 1988 : 16-19 ; DIFOP, 1991 : 1-19 ; Gnon-Monde, 1991 : 15-17), à savoir : pénurie d’enseignants compétents, insuffisance du matériel didactique, hétérogénéité des classes, mauvaises conditions de travail, attitude négative de certains enseignants, parents et élèves, etc. ».</w:t>
      </w:r>
    </w:p>
    <w:p>
      <w:pPr>
        <w:spacing w:after="120"/>
        <w:ind w:firstLine="567"/>
        <w:jc w:val="both"/>
      </w:pPr>
      <w:r>
        <w:rPr>
          <w:rFonts w:ascii="Times New Roman" w:hAnsi="Times New Roman"/>
          <w:b w:val="0"/>
          <w:i w:val="0"/>
          <w:sz w:val="24"/>
        </w:rPr>
        <w:t>Il se réfère également à Amoudji, « qui rapportait que les maîtres d’éwé maîtrisaient rarement la langue standard, butaient sur les mots (problème du ton), transcrivaient leur dialecte en voulant traduire des textes, commettaient des erreurs de langue, mélangeaient les alphabets français et éwé, émaillaient de fautes les textes écrits au tableau et ne disposaient ni de dictionnaires ni de livres de grammaire » (Amoudji, 1987 : 32-63). Rongier poursuit : « Selon le fascicule précédemment cité, ces langues figurent aux programmes de formation initiale dans les écoles normales de Notsè et à l’École normale supérieure d’Atakpamé, mais on reconnaît toutefois que le volume horaire hebdomadaire est insuffisant, de même qu’est insuffisant le nombre de maîtres locuteurs, lesquels ne maîtrisent toujours pas ni la grammaire ni l’orthographe » (DIFOP, 1991 : 13), « et on est conscient que les manuels sont à repenser, mais en fonction de nouveaux programmes mieux adaptés aux réalités togolaises et non calqués sur les modèles français » (ibid. : 19-20). En guise de proposition, Rongier préconise l’enseignement du guin-mina, langue véhiculaire togolaise, tout en conservant l’éwé standard comme référence littéraire, afin de permettre à l’enfant togolais de se sentir moins étranger à la langue enseignée et d’accéder à une lecture fluide.</w:t>
      </w:r>
    </w:p>
    <w:p>
      <w:pPr>
        <w:spacing w:after="120"/>
        <w:ind w:firstLine="567"/>
        <w:jc w:val="both"/>
      </w:pPr>
      <w:r>
        <w:rPr>
          <w:rFonts w:ascii="Times New Roman" w:hAnsi="Times New Roman"/>
          <w:b w:val="0"/>
          <w:i w:val="0"/>
          <w:sz w:val="24"/>
        </w:rPr>
        <w:t>La lecture de Rongier (1995) revêt, pour notre travail, une valeur particulière : elle fournit un point de comparaison daté. Les difficultés qu’il énumérait il y a trente ans — pénurie d’enseignants compétents, insuffisance du matériel, hétérogénéité des classes, absence de dictionnaires et de grammaires, confusion des deux alphabets — sont très exactement celles que notre enquête de 2026 va documenter, chiffres à l’appui, à l’ENFPE de Notsè. Cette permanence sur trois décennies constitue en soi un résultat.</w:t>
      </w:r>
    </w:p>
    <w:p>
      <w:pPr>
        <w:pStyle w:val="Heading3"/>
        <w:jc w:val="left"/>
      </w:pPr>
      <w:r>
        <w:t>3.1.5. Conclusion de la revue</w:t>
      </w:r>
    </w:p>
    <w:p>
      <w:pPr>
        <w:spacing w:after="120"/>
        <w:ind w:firstLine="567"/>
        <w:jc w:val="both"/>
      </w:pPr>
      <w:r>
        <w:rPr>
          <w:rFonts w:ascii="Times New Roman" w:hAnsi="Times New Roman"/>
          <w:b w:val="0"/>
          <w:i w:val="0"/>
          <w:sz w:val="24"/>
        </w:rPr>
        <w:t>Il ressort de tout ce qui précède que le dispositif d’enseignement-apprentissage de l’éwégbé dans les écoles de formation des enseignants au Togo est institutionnellement bien assis et continue de faire l’objet d’améliorations au fil du temps. Autrement dit, les textes officiels reconnaissent l’importance des langues nationales, dont l’éwégbé qui, bien avant la réforme de 1975, possédait déjà une histoire écrite avec des ressources linguistiques mises en place par les missionnaires et les administrations coloniales. C’est d’ailleurs l’un des facteurs ayant milité en sa faveur en termes de choix de langue nationale à enseigner dans le système éducatif dès le préscolaire.</w:t>
      </w:r>
    </w:p>
    <w:p>
      <w:pPr>
        <w:spacing w:after="120"/>
        <w:ind w:firstLine="567"/>
        <w:jc w:val="both"/>
      </w:pPr>
      <w:r>
        <w:rPr>
          <w:rFonts w:ascii="Times New Roman" w:hAnsi="Times New Roman"/>
          <w:b w:val="0"/>
          <w:i w:val="0"/>
          <w:sz w:val="24"/>
        </w:rPr>
        <w:t>Cette volonté se heurte malheureusement à des contraintes en ressources humaines qualifiées et en matériel didactique actualisé. La formation des enseignants enregistre un déficit criant en documentation. Dans le cas spécifique de l’éwégbé, on observe une faible intégration du numérique ainsi qu’une relégation de cette langue au second plan.</w:t>
      </w:r>
    </w:p>
    <w:p>
      <w:pPr>
        <w:spacing w:after="120"/>
        <w:ind w:firstLine="567"/>
        <w:jc w:val="both"/>
      </w:pPr>
      <w:r>
        <w:rPr>
          <w:rFonts w:ascii="Times New Roman" w:hAnsi="Times New Roman"/>
          <w:b w:val="0"/>
          <w:i w:val="0"/>
          <w:sz w:val="24"/>
        </w:rPr>
        <w:t>En définitive, les documents recensés dans cette revue montrent à suffisance que le problème de la formation en éwégbé dans les ENFPE n’est pas nouveau. L’UNESCO donne le « quoi » et le « comment » depuis 1987. Trois lacunes subsistent néanmoins dans l’état de la question, et ce sont elles qui fondent l’apport du présent travail. Premièrement, l’essentiel des données empiriques mobilisables provient du Ghana et non du Togo. Deuxièmement, les rares travaux togolais portent sur l’école primaire bilingue et non sur la formation initiale des maîtres. Troisièmement, aucune étude connue ne différencie les difficultés selon le profil sociolinguistique des apprenants, alors même que les classes des ENFPE sont, par construction, radicalement hétérogènes. C’est précisément dans ces trois interstices que se loge notre contribution.</w:t>
      </w:r>
    </w:p>
    <w:p>
      <w:pPr>
        <w:pStyle w:val="Heading2"/>
        <w:jc w:val="left"/>
      </w:pPr>
      <w:r>
        <w:t>3.2. Approche conceptuelle : définition des concepts</w:t>
      </w:r>
    </w:p>
    <w:p>
      <w:pPr>
        <w:spacing w:after="120"/>
        <w:ind w:firstLine="567"/>
        <w:jc w:val="both"/>
      </w:pPr>
      <w:r>
        <w:rPr>
          <w:rFonts w:ascii="Times New Roman" w:hAnsi="Times New Roman"/>
          <w:b w:val="0"/>
          <w:i w:val="0"/>
          <w:sz w:val="24"/>
        </w:rPr>
        <w:t>La clarification des concepts mobilisés constitue un préalable à toute analyse rigoureuse. Nous définissons ci-après les neuf notions qui structurent l’ensemble de ce mémoire.</w:t>
      </w:r>
    </w:p>
    <w:p>
      <w:pPr>
        <w:pStyle w:val="Heading3"/>
        <w:jc w:val="left"/>
      </w:pPr>
      <w:r>
        <w:t>3.2.1. Enseignement</w:t>
      </w:r>
    </w:p>
    <w:p>
      <w:pPr>
        <w:spacing w:after="120"/>
        <w:ind w:firstLine="567"/>
        <w:jc w:val="both"/>
      </w:pPr>
      <w:r>
        <w:rPr>
          <w:rFonts w:ascii="Times New Roman" w:hAnsi="Times New Roman"/>
          <w:b w:val="0"/>
          <w:i w:val="0"/>
          <w:sz w:val="24"/>
        </w:rPr>
        <w:t>Le mot « enseignement » est dérivé du verbe « enseigner », qui signifie faire acquérir des connaissances. D’après le Dictionnaire de didactique du français (2003 : 23), « le terme enseignement signifie initialement précepte ou leçon et, à partir du XIIIe siècle, action de transmettre des connaissances ». Legendre (1993 : 507) explique la notion d’enseignement comme un « processus de communication en vue de susciter l’apprentissage, ensemble des actes de communication et de prises de décision mis en œuvre intentionnellement par une personne ou un groupe de personnes qui interagit en tant qu’agent dans une situation pédagogique ». Cuq et Gruca (2005 : 123) établissent un lien important entre l’apprentissage et l’enseignement par une définition assez simple : « l’enseignement est une tentative de médiation organisée entre l’objet d’apprentissage et l’apprenant ».</w:t>
      </w:r>
    </w:p>
    <w:p>
      <w:pPr>
        <w:spacing w:after="120"/>
        <w:ind w:firstLine="567"/>
        <w:jc w:val="both"/>
      </w:pPr>
      <w:r>
        <w:rPr>
          <w:rFonts w:ascii="Times New Roman" w:hAnsi="Times New Roman"/>
          <w:b w:val="0"/>
          <w:i w:val="0"/>
          <w:sz w:val="24"/>
        </w:rPr>
        <w:t>À la lumière de ces définitions, nous pouvons définir l’enseignement comme l’ensemble des activités communicatives mises en œuvre par l’enseignant dans le but de faire acquérir à l’apprenant de nouvelles habiletés et de nouvelles attitudes.</w:t>
      </w:r>
    </w:p>
    <w:p>
      <w:pPr>
        <w:pStyle w:val="Heading3"/>
        <w:jc w:val="left"/>
      </w:pPr>
      <w:r>
        <w:t>3.2.2. Apprentissage</w:t>
      </w:r>
    </w:p>
    <w:p>
      <w:pPr>
        <w:spacing w:after="120"/>
        <w:ind w:firstLine="567"/>
        <w:jc w:val="both"/>
      </w:pPr>
      <w:r>
        <w:rPr>
          <w:rFonts w:ascii="Times New Roman" w:hAnsi="Times New Roman"/>
          <w:b w:val="0"/>
          <w:i w:val="0"/>
          <w:sz w:val="24"/>
        </w:rPr>
        <w:t>Le mot « apprentissage » vient du latin apprehendere, dérivé du verbe « apprendre », qui signifie saisir, comprendre. L’apprentissage est un processus artificiel, explicite, volontaire et conscient. Cuq (2003 : 22) le définit comme « une démarche consciente, volontaire et observable dans laquelle un apprenant s’engage et qui a pour but l’appropriation ». Il ajoute que l’apprentissage est « un ensemble de décisions relatives aux actions à entreprendre dont le but est d’acquérir des savoirs ou des savoir-faire en langue étrangère ».</w:t>
      </w:r>
    </w:p>
    <w:p>
      <w:pPr>
        <w:spacing w:after="120"/>
        <w:ind w:firstLine="567"/>
        <w:jc w:val="both"/>
      </w:pPr>
      <w:r>
        <w:rPr>
          <w:rFonts w:ascii="Times New Roman" w:hAnsi="Times New Roman"/>
          <w:b w:val="0"/>
          <w:i w:val="0"/>
          <w:sz w:val="24"/>
        </w:rPr>
        <w:t>Selon Hirschsprung (2005 : 22), « l’apprentissage est une démarche active de construction des connaissances engagée par l’apprenant et non une réception des savoirs ». L’apprentissage est donc un processus cognitif dans lequel l’apprenant devient auteur de sa propre formation et non le consommateur du savoir transmis par l’éducateur. Il concerne l’enseignant, mais plus précisément l’apprenant, lequel joue un rôle actif dans le processus d’enseignement-apprentissage, l’enseignant étant néanmoins amené à orienter et à guider ses apprenants.</w:t>
      </w:r>
    </w:p>
    <w:p>
      <w:pPr>
        <w:pStyle w:val="Heading3"/>
        <w:jc w:val="left"/>
      </w:pPr>
      <w:r>
        <w:t>3.2.3. Langue nationale</w:t>
      </w:r>
    </w:p>
    <w:p>
      <w:pPr>
        <w:spacing w:after="120"/>
        <w:ind w:firstLine="567"/>
        <w:jc w:val="both"/>
      </w:pPr>
      <w:r>
        <w:rPr>
          <w:rFonts w:ascii="Times New Roman" w:hAnsi="Times New Roman"/>
          <w:b w:val="0"/>
          <w:i w:val="0"/>
          <w:sz w:val="24"/>
        </w:rPr>
        <w:t>Une langue nationale est une langue parlée par tout ou partie de la population d’un État, reconnue comme telle par un acte juridique de cet État, et associée à une fonction identitaire et patrimoniale, indépendamment du fait qu’elle jouisse ou non du statut de langue officielle. Au Togo, ce statut a été conféré à l’éwégbé et au kabiyè en 1974, consacré par l’ordonnance n° 75-016 du 6 mai 1975. Il convient de bien distinguer « langue nationale » et « langue officielle » : la seconde est la langue de l’administration, de la justice, de la législation et, dans le cas togolais, de l’enseignement ; le français conserve ce statut exclusif. Une langue peut donc être nationale sans être officielle, situation qui engendre précisément la configuration diglossique analysée dans ce mémoire.</w:t>
      </w:r>
    </w:p>
    <w:p>
      <w:pPr>
        <w:pStyle w:val="Heading3"/>
        <w:jc w:val="left"/>
      </w:pPr>
      <w:r>
        <w:t>3.2.4. Éwégbé</w:t>
      </w:r>
    </w:p>
    <w:p>
      <w:pPr>
        <w:spacing w:after="120"/>
        <w:ind w:firstLine="567"/>
        <w:jc w:val="both"/>
      </w:pPr>
      <w:r>
        <w:rPr>
          <w:rFonts w:ascii="Times New Roman" w:hAnsi="Times New Roman"/>
          <w:b w:val="0"/>
          <w:i w:val="0"/>
          <w:sz w:val="24"/>
        </w:rPr>
        <w:t>L’éwégbé (littéralement « langue des Éwé », de ewe et gbe, « langue ») est une langue de la famille kwa du phylum Niger-Congo, parlée au sud-est du Ghana, au sud du Togo et dans certaines zones du Bénin. C’est une langue à tons, dont la variété anlo (Aŋlɔ) a été retenue comme base de la norme écrite standard, en raison de l’ancienneté des travaux de codification qui lui ont été consacrés dès le milieu du XIXe siècle. Son alphabet comporte des graphèmes absents du français — ɖ, ƒ, ɣ, ŋ, ɔ, ʋ, ɛ — dont la maîtrise constitue, comme le montreront nos résultats, l’un des seuils d’entrée dans l’écrit. Le guin-mina, variété véhiculaire largement diffusée sur l’ensemble du territoire togolais, en constitue une variante que Rongier (1995) proposait d’ailleurs de privilégier dans l’enseignement initial.</w:t>
      </w:r>
    </w:p>
    <w:p>
      <w:pPr>
        <w:pStyle w:val="Heading3"/>
        <w:jc w:val="left"/>
      </w:pPr>
      <w:r>
        <w:t>3.2.5. Formation des enseignants</w:t>
      </w:r>
    </w:p>
    <w:p>
      <w:pPr>
        <w:spacing w:after="120"/>
        <w:ind w:firstLine="567"/>
        <w:jc w:val="both"/>
      </w:pPr>
      <w:r>
        <w:rPr>
          <w:rFonts w:ascii="Times New Roman" w:hAnsi="Times New Roman"/>
          <w:b w:val="0"/>
          <w:i w:val="0"/>
          <w:sz w:val="24"/>
        </w:rPr>
        <w:t>La formation des enseignants désigne l’ensemble organisé des dispositifs, contenus et activités visant à doter une personne des savoirs disciplinaires, des savoir-faire didactiques et des attitudes professionnelles nécessaires à l’exercice du métier d’enseignant. On distingue classiquement la formation initiale, antérieure à la prise de fonction — c’est celle qu’assurent les ENFPE sur deux ans —, et la formation continue, qui accompagne l’enseignant tout au long de sa carrière. Notre étude porte exclusivement sur la formation initiale, tout en montrant que ses insuffisances appellent un dispositif de formation continue en langues nationales qui, à ce jour, fait défaut.</w:t>
      </w:r>
    </w:p>
    <w:p>
      <w:pPr>
        <w:pStyle w:val="Heading3"/>
        <w:jc w:val="left"/>
      </w:pPr>
      <w:r>
        <w:t>3.2.6. Dispositif de formation</w:t>
      </w:r>
    </w:p>
    <w:p>
      <w:pPr>
        <w:spacing w:after="120"/>
        <w:ind w:firstLine="567"/>
        <w:jc w:val="both"/>
      </w:pPr>
      <w:r>
        <w:rPr>
          <w:rFonts w:ascii="Times New Roman" w:hAnsi="Times New Roman"/>
          <w:b w:val="0"/>
          <w:i w:val="0"/>
          <w:sz w:val="24"/>
        </w:rPr>
        <w:t>Nous entendons par dispositif de formation l’agencement cohérent et finalisé de l’ensemble des éléments concourant à la formation : les prescriptions curriculaires, les contenus, le volume horaire, les ressources humaines, les ressources matérielles et technologiques, les méthodes pédagogiques, les modalités d’évaluation, les stages et les structures de suivi. Cette définition extensive est celle que nous retenons, car elle seule permet de rendre compte du fait qu’un dispositif peut être défaillant sans qu’aucun de ses acteurs ne soit fautif : c’est l’agencement qui produit l’effet, et non la somme des bonnes volontés individuelles. Analyser un dispositif, c’est donc analyser une cohérence, ou son absence.</w:t>
      </w:r>
    </w:p>
    <w:p>
      <w:pPr>
        <w:pStyle w:val="Heading3"/>
        <w:jc w:val="left"/>
      </w:pPr>
      <w:r>
        <w:t>3.2.7. Compétence linguistique</w:t>
      </w:r>
    </w:p>
    <w:p>
      <w:pPr>
        <w:spacing w:after="120"/>
        <w:ind w:firstLine="567"/>
        <w:jc w:val="both"/>
      </w:pPr>
      <w:r>
        <w:rPr>
          <w:rFonts w:ascii="Times New Roman" w:hAnsi="Times New Roman"/>
          <w:b w:val="0"/>
          <w:i w:val="0"/>
          <w:sz w:val="24"/>
        </w:rPr>
        <w:t>La compétence linguistique désigne la capacité d’un sujet à mobiliser les ressources phonologiques, lexicales, morphosyntaxiques et orthographiques d’une langue pour comprendre et produire des énoncés conformes à la norme. Dans le cas d’une langue à tons comme l’éwégbé, elle inclut nécessairement la maîtrise du système tonal, dont la valeur est distinctive. Nous la distinguons en quatre composantes opératoires, qui correspondent aux quatre items de notre questionnaire : la prononciation et les tons ; l’orthographe, la grammaire et la conjugaison ; la lecture et la compréhension ; l’alphabet et la syllabation.</w:t>
      </w:r>
    </w:p>
    <w:p>
      <w:pPr>
        <w:pStyle w:val="Heading3"/>
        <w:jc w:val="left"/>
      </w:pPr>
      <w:r>
        <w:t>3.2.8. Compétence didactique</w:t>
      </w:r>
    </w:p>
    <w:p>
      <w:pPr>
        <w:spacing w:after="120"/>
        <w:ind w:firstLine="567"/>
        <w:jc w:val="both"/>
      </w:pPr>
      <w:r>
        <w:rPr>
          <w:rFonts w:ascii="Times New Roman" w:hAnsi="Times New Roman"/>
          <w:b w:val="0"/>
          <w:i w:val="0"/>
          <w:sz w:val="24"/>
        </w:rPr>
        <w:t>La compétence didactique est la capacité à transformer un savoir linguistique en objet enseignable et à organiser son appropriation par des apprenants. Elle suppose donc, outre la maîtrise de la langue, la connaissance de sa progression d’enseignement, des obstacles typiques rencontrés par les élèves, des supports adaptés à chaque niveau et des modalités d’évaluation pertinentes. Cette distinction avec la compétence linguistique est fondamentale : un locuteur natif peut disposer d’une compétence linguistique orale élevée et d’une compétence didactique nulle. C’est très exactement ce que nos résultats mettront en évidence.</w:t>
      </w:r>
    </w:p>
    <w:p>
      <w:pPr>
        <w:pStyle w:val="Heading3"/>
        <w:jc w:val="left"/>
      </w:pPr>
      <w:r>
        <w:t>3.2.9. Support didactique</w:t>
      </w:r>
    </w:p>
    <w:p>
      <w:pPr>
        <w:spacing w:after="120"/>
        <w:ind w:firstLine="567"/>
        <w:jc w:val="both"/>
      </w:pPr>
      <w:r>
        <w:rPr>
          <w:rFonts w:ascii="Times New Roman" w:hAnsi="Times New Roman"/>
          <w:b w:val="0"/>
          <w:i w:val="0"/>
          <w:sz w:val="24"/>
        </w:rPr>
        <w:t>Le support didactique désigne tout objet matériel ou numérique conçu ou mobilisé pour servir l’enseignement-apprentissage : manuel de l’élève, guide du maître, livre de lecture, syllabaire, dictionnaire, grammaire, affiche murale, flashcard, enregistrement audio, clavier et police de caractères adaptés, œuvre littéraire. L’inventaire de ces supports à l’ENFPE de Notsè constitue notre deuxième objectif spécifique (OS2) ; nous verrons qu’il se solde par un constat quasi nul, seul le module de formation destiné au formateur étant disponible.</w:t>
      </w:r>
    </w:p>
    <w:p>
      <w:pPr>
        <w:pStyle w:val="Heading3"/>
        <w:jc w:val="left"/>
      </w:pPr>
      <w:r>
        <w:t>3.2.10. Enseignement bilingue</w:t>
      </w:r>
    </w:p>
    <w:p>
      <w:pPr>
        <w:spacing w:after="120"/>
        <w:ind w:firstLine="567"/>
        <w:jc w:val="both"/>
      </w:pPr>
      <w:r>
        <w:rPr>
          <w:rFonts w:ascii="Times New Roman" w:hAnsi="Times New Roman"/>
          <w:b w:val="0"/>
          <w:i w:val="0"/>
          <w:sz w:val="24"/>
        </w:rPr>
        <w:t>L’enseignement bilingue désigne un dispositif dans lequel deux langues sont utilisées comme langues d’enseignement des contenus disciplinaires, et non seulement comme objets d’enseignement. On distingue le bilinguisme soustractif, où la langue première est progressivement évincée au profit de la langue seconde, et le bilinguisme additif, recommandé par l’UNESCO (2006), où la langue première est consolidée pendant trois à cinq ans avant l’introduction progressive de la seconde, les deux étant ensuite maintenues. Cette distinction est au cœur de notre problème : le Togo affiche une politique bilingue mais applique, en pratique, un dispositif où les langues nationales restent des « disciplines d’enseignement au lieu d’être des langues d’enseignement » (Gangue et al., 2023, p. 55).</w:t>
      </w:r>
    </w:p>
    <w:p>
      <w:pPr>
        <w:pStyle w:val="Heading2"/>
        <w:jc w:val="left"/>
      </w:pPr>
      <w:r>
        <w:t>3.3. Approche théorique : les trois cadres de référence</w:t>
      </w:r>
    </w:p>
    <w:p>
      <w:pPr>
        <w:spacing w:after="120"/>
        <w:ind w:firstLine="567"/>
        <w:jc w:val="both"/>
      </w:pPr>
      <w:r>
        <w:rPr>
          <w:rFonts w:ascii="Times New Roman" w:hAnsi="Times New Roman"/>
          <w:b w:val="0"/>
          <w:i w:val="0"/>
          <w:sz w:val="24"/>
        </w:rPr>
        <w:t>Pour nous permettre de procéder à une analyse minutieuse du dispositif de formation, trois théories principales sont prises en compte. Elles ne sont pas juxtaposées : elles sont articulées, chacune éclairant un niveau distinct du même phénomène. Chevallard permet de penser le niveau curriculaire, Cummins le niveau cognitif, Bourdieu et Moscovici le niveau social.</w:t>
      </w:r>
    </w:p>
    <w:p>
      <w:pPr>
        <w:pStyle w:val="Heading3"/>
        <w:jc w:val="left"/>
      </w:pPr>
      <w:r>
        <w:t>3.3.1. La théorie de la transposition didactique (Yves Chevallard, 1985)</w:t>
      </w:r>
    </w:p>
    <w:p>
      <w:pPr>
        <w:spacing w:after="120"/>
        <w:ind w:firstLine="567"/>
        <w:jc w:val="both"/>
      </w:pPr>
      <w:r>
        <w:rPr>
          <w:rFonts w:ascii="Times New Roman" w:hAnsi="Times New Roman"/>
          <w:b w:val="0"/>
          <w:i w:val="0"/>
          <w:sz w:val="24"/>
        </w:rPr>
        <w:t>Selon ce concept, pour être enseigné, un « savoir savant » doit subir des transformations pour devenir un « savoir à enseigner », puis un « savoir enseigné ». Il nous reviendra donc d’analyser si le savoir linguistique éwé produit par les linguistes est correctement transposé en « savoir à enseigner » au cours primaire dans le curriculum des ENFPE. Nous chercherons également les éventuels écarts entre le curriculum prescrit et ce que les formateurs enseignent réellement sur le terrain.</w:t>
      </w:r>
    </w:p>
    <w:p>
      <w:pPr>
        <w:spacing w:after="120"/>
        <w:ind w:firstLine="567"/>
        <w:jc w:val="both"/>
      </w:pPr>
      <w:r>
        <w:rPr>
          <w:rFonts w:ascii="Times New Roman" w:hAnsi="Times New Roman"/>
          <w:b w:val="0"/>
          <w:i w:val="0"/>
          <w:sz w:val="24"/>
        </w:rPr>
        <w:t>L’intérêt de ce cadre, pour notre objet, est double. D’une part, il permet de formuler une hypothèse précise : la chaîne de transposition serait interrompue en amont, le savoir savant sur l’éwégbé existant bel et bien — grammaires, dictionnaires, travaux de linguistique — sans être converti en savoir à enseigner faute d’instance de transposition, c’est-à-dire faute de ce que Chevallard nomme la noosphère. D’autre part, il fournit un critère d’évaluation du contenu de formation : un contenu qui ne comporte ni grammaire, ni conjugaison, ni terminologie disciplinaire ne peut produire un savoir enseignable au primaire, quelle que soit la qualité du formateur.</w:t>
      </w:r>
    </w:p>
    <w:p>
      <w:pPr>
        <w:pStyle w:val="Heading3"/>
        <w:jc w:val="left"/>
      </w:pPr>
      <w:r>
        <w:t>3.3.2. Le modèle d’interdépendance linguistique (Jim Cummins, 1981)</w:t>
      </w:r>
    </w:p>
    <w:p>
      <w:pPr>
        <w:spacing w:after="120"/>
        <w:ind w:firstLine="567"/>
        <w:jc w:val="both"/>
      </w:pPr>
      <w:r>
        <w:rPr>
          <w:rFonts w:ascii="Times New Roman" w:hAnsi="Times New Roman"/>
          <w:b w:val="0"/>
          <w:i w:val="0"/>
          <w:sz w:val="24"/>
        </w:rPr>
        <w:t>Ce modèle s’articule autour de deux compétences de base : les compétences de communication courante (BICS, Basic Interpersonal Communication Skills) et les compétences cognitives et académiques (CALP, Cognitive Academic Language Proficiency). Cette théorie estime qu’il faut au moins cinq à sept ans pour développer les compétences cognitives et académiques dans une langue première chez un apprenant.</w:t>
      </w:r>
    </w:p>
    <w:p>
      <w:pPr>
        <w:spacing w:after="120"/>
        <w:ind w:firstLine="567"/>
        <w:jc w:val="both"/>
      </w:pPr>
      <w:r>
        <w:rPr>
          <w:rFonts w:ascii="Times New Roman" w:hAnsi="Times New Roman"/>
          <w:b w:val="0"/>
          <w:i w:val="0"/>
          <w:sz w:val="24"/>
        </w:rPr>
        <w:t>Nous vérifierons ainsi si la formation à l’ENFPE de Notsè développe uniquement les compétences de communication courante en éwé, ou si elle prépare également aux compétences cognitives et académiques nécessaires à l’enseignement des mathématiques et des sciences en éwégbé, comme cela était prévu. Le cas de la préparation au transfert vers le français ne sera pas abordé dans notre analyse.</w:t>
      </w:r>
    </w:p>
    <w:p>
      <w:pPr>
        <w:spacing w:after="120"/>
        <w:ind w:firstLine="567"/>
        <w:jc w:val="both"/>
      </w:pPr>
      <w:r>
        <w:rPr>
          <w:rFonts w:ascii="Times New Roman" w:hAnsi="Times New Roman"/>
          <w:b w:val="0"/>
          <w:i w:val="0"/>
          <w:sz w:val="24"/>
        </w:rPr>
        <w:t>Ce cadre est particulièrement discriminant. Il permet d’établir qu’un dispositif de trente heures réparties sur deux semestres ne peut, par construction, produire de CALP en éwégbé : l’écart entre les cinq à sept ans postulés par Cummins et les trente heures effectivement dispensées n’est pas un écart de degré, mais de nature. Il permet également de comprendre pourquoi les locuteurs natifs, porteurs de BICS élevées, restent néanmoins démunis face à l’écrit académique.</w:t>
      </w:r>
    </w:p>
    <w:p>
      <w:pPr>
        <w:pStyle w:val="Heading3"/>
        <w:jc w:val="left"/>
      </w:pPr>
      <w:r>
        <w:t>3.3.3. Les représentations sociales et le marché linguistique (Moscovici, 1961 ; Bourdieu, 1982)</w:t>
      </w:r>
    </w:p>
    <w:p>
      <w:pPr>
        <w:spacing w:after="120"/>
        <w:ind w:firstLine="567"/>
        <w:jc w:val="both"/>
      </w:pPr>
      <w:r>
        <w:rPr>
          <w:rFonts w:ascii="Times New Roman" w:hAnsi="Times New Roman"/>
          <w:b w:val="0"/>
          <w:i w:val="0"/>
          <w:sz w:val="24"/>
        </w:rPr>
        <w:t>Bourdieu considère qu’une langue possède une « valeur » sur un marché linguistique, tandis que Moscovici estime, de son côté, que les représentations sociales guident les pratiques. En référence à ces théories, il s’agit d’examiner comment la valeur accordée à l’éwégbé par rapport au français, dans les ENFPE et plus particulièrement à celle de Notsè, influence la motivation des différents acteurs : l’éwégbé est-elle perçue comme une « langue de réussite » ou comme une « langue de villageois » ?</w:t>
      </w:r>
    </w:p>
    <w:p>
      <w:pPr>
        <w:spacing w:after="120"/>
        <w:ind w:firstLine="567"/>
        <w:jc w:val="both"/>
      </w:pPr>
      <w:r>
        <w:rPr>
          <w:rFonts w:ascii="Times New Roman" w:hAnsi="Times New Roman"/>
          <w:b w:val="0"/>
          <w:i w:val="0"/>
          <w:sz w:val="24"/>
        </w:rPr>
        <w:t>Ce troisième cadre permet de rendre compte d’un fait que les deux premiers laissent dans l’ombre : le fait que les apprenants eux-mêmes intériorisent et reproduisent la hiérarchie des langues. Les indicateurs que nous mobiliserons à ce titre sont le niveau auto-évalué (tableau 18), l’acceptation du français comme langue d’évaluation des langues nationales (tableau 17), et le contenu des entretiens individuels. Notre analyse s’articulera ainsi autour de quatre niveaux essentiels : pédagogique, linguistique, sociologique et didactique.</w:t>
      </w:r>
    </w:p>
    <w:p>
      <w:pPr>
        <w:pStyle w:val="Heading2"/>
        <w:jc w:val="left"/>
      </w:pPr>
      <w:r>
        <w:t>3.4. Démarche méthodologique</w:t>
      </w:r>
    </w:p>
    <w:p>
      <w:pPr>
        <w:spacing w:after="120"/>
        <w:ind w:firstLine="567"/>
        <w:jc w:val="both"/>
      </w:pPr>
      <w:r>
        <w:rPr>
          <w:rFonts w:ascii="Times New Roman" w:hAnsi="Times New Roman"/>
          <w:b w:val="0"/>
          <w:i w:val="0"/>
          <w:sz w:val="24"/>
        </w:rPr>
        <w:t>Cette section présente la méthodologie retenue dans le cadre de notre recherche. Nous avons adopté une approche mixte à dominante qualitative, fondée sur une étude de cas, ce choix visant à nous permettre de comprendre en profondeur le « comment » du dispositif de formation. Elle traite, d’une part, du cadre et de la population d’étude et, d’autre part, des méthodes et instruments de collecte des données.</w:t>
      </w:r>
    </w:p>
    <w:p>
      <w:pPr>
        <w:pStyle w:val="Heading3"/>
        <w:jc w:val="left"/>
      </w:pPr>
      <w:r>
        <w:t>3.4.1. Type de recherche et justification du choix</w:t>
      </w:r>
    </w:p>
    <w:p>
      <w:pPr>
        <w:spacing w:after="120"/>
        <w:ind w:firstLine="567"/>
        <w:jc w:val="both"/>
      </w:pPr>
      <w:r>
        <w:rPr>
          <w:rFonts w:ascii="Times New Roman" w:hAnsi="Times New Roman"/>
          <w:b w:val="0"/>
          <w:i w:val="0"/>
          <w:sz w:val="24"/>
        </w:rPr>
        <w:t>Notre recherche est une étude de cas à visée descriptive et explicative. Le choix de l’étude de cas se justifie par la nature même de l’objet : un dispositif de formation est un système situé, dont les éléments n’ont de sens que les uns par rapport aux autres et par rapport à leur contexte institutionnel. Une approche purement extensive, portant sur les sept ENFPE, aurait permis une généralisation statistique mais interdit l’observation fine des pratiques de classe et des entretiens approfondis que notre position de stagiaire en responsabilité rendait possibles à Notsè.</w:t>
      </w:r>
    </w:p>
    <w:p>
      <w:pPr>
        <w:spacing w:after="120"/>
        <w:ind w:firstLine="567"/>
        <w:jc w:val="both"/>
      </w:pPr>
      <w:r>
        <w:rPr>
          <w:rFonts w:ascii="Times New Roman" w:hAnsi="Times New Roman"/>
          <w:b w:val="0"/>
          <w:i w:val="0"/>
          <w:sz w:val="24"/>
        </w:rPr>
        <w:t>Nous assumons pleinement la limite qui en découle, et qui sera rappelée en conclusion : nos résultats valent d’abord pour l’ENFPE de Notsè. Leur extension aux six autres établissements relève de l’hypothèse plausible — les prescriptions curriculaires, le module de formation et le volume horaire étant nationaux — et non de la démonstration. C’est précisément pourquoi notre pertinence méthodologique est formulée en termes de modèle reproductible plutôt qu’en termes de généralisation.</w:t>
      </w:r>
    </w:p>
    <w:p>
      <w:pPr>
        <w:pStyle w:val="Heading3"/>
        <w:jc w:val="left"/>
      </w:pPr>
      <w:r>
        <w:t>3.4.2. Présentation de la population enquêtée</w:t>
      </w:r>
    </w:p>
    <w:p>
      <w:pPr>
        <w:spacing w:after="120"/>
        <w:ind w:firstLine="567"/>
        <w:jc w:val="both"/>
      </w:pPr>
      <w:r>
        <w:rPr>
          <w:rFonts w:ascii="Times New Roman" w:hAnsi="Times New Roman"/>
          <w:b w:val="0"/>
          <w:i w:val="0"/>
          <w:sz w:val="24"/>
        </w:rPr>
        <w:t>Les données de notre étude ont été collectées auprès de cinquante élèves-professeurs d’école, dont trente-cinq femmes et quinze hommes, âgés de 20 à 37 ans, tous relevant de la promotion 3 à l’ENFPE de Notsè, ainsi qu’auprès de deux formateurs en langues nationales. Ce choix nous paraît judicieux dans la mesure où les EPE en question sont au semestre 4, qui marque officiellement la dernière étape de leur formation de deux ans ; ils sont donc susceptibles de nous fournir des informations fiables et pertinentes pour notre travail. Interroger des apprenants en fin de parcours permet en effet d’évaluer le produit du dispositif, et non une étape intermédiaire.</w:t>
      </w:r>
    </w:p>
    <w:p>
      <w:pPr>
        <w:spacing w:after="120"/>
        <w:ind w:firstLine="567"/>
        <w:jc w:val="both"/>
      </w:pPr>
      <w:r>
        <w:rPr>
          <w:rFonts w:ascii="Times New Roman" w:hAnsi="Times New Roman"/>
          <w:b w:val="0"/>
          <w:i w:val="0"/>
          <w:sz w:val="24"/>
        </w:rPr>
        <w:t>La typologie sociolinguistique en quatre profils, qui structure l’ensemble de nos dépouillements, a été construite à partir des déclarations des enquêtés eux-mêmes :</w:t>
      </w:r>
    </w:p>
    <w:p>
      <w:pPr>
        <w:spacing w:after="80"/>
        <w:ind w:left="567" w:hanging="283"/>
        <w:jc w:val="both"/>
      </w:pPr>
      <w:r>
        <w:rPr>
          <w:rFonts w:ascii="Times New Roman" w:hAnsi="Times New Roman"/>
          <w:sz w:val="24"/>
        </w:rPr>
        <w:t>• les non-locuteurs (NL, n = 7, soit 14 %) : EPE ne parlant pas l’éwégbé et n’ayant eu aucun contact significatif avec cette langue avant leur entrée à l’ENFPE ;</w:t>
      </w:r>
    </w:p>
    <w:p>
      <w:pPr>
        <w:spacing w:after="80"/>
        <w:ind w:left="567" w:hanging="283"/>
        <w:jc w:val="both"/>
      </w:pPr>
      <w:r>
        <w:rPr>
          <w:rFonts w:ascii="Times New Roman" w:hAnsi="Times New Roman"/>
          <w:sz w:val="24"/>
        </w:rPr>
        <w:t>• les locuteurs non catégorisés (LNC, n = 8, soit 16 %) : EPE déclarant parler l’éwégbé sans avoir précisé sur la fiche d’enquête s’ils le faisaient à titre natif ou acquis ;</w:t>
      </w:r>
    </w:p>
    <w:p>
      <w:pPr>
        <w:spacing w:after="80"/>
        <w:ind w:left="567" w:hanging="283"/>
        <w:jc w:val="both"/>
      </w:pPr>
      <w:r>
        <w:rPr>
          <w:rFonts w:ascii="Times New Roman" w:hAnsi="Times New Roman"/>
          <w:sz w:val="24"/>
        </w:rPr>
        <w:t>• les locuteurs non natifs (LNN, n = 15, soit 30 %) : EPE ayant acquis l’éwégbé par contact, migration ou apprentissage, sans en avoir hérité familialement ;</w:t>
      </w:r>
    </w:p>
    <w:p>
      <w:pPr>
        <w:spacing w:after="80"/>
        <w:ind w:left="567" w:hanging="283"/>
        <w:jc w:val="both"/>
      </w:pPr>
      <w:r>
        <w:rPr>
          <w:rFonts w:ascii="Times New Roman" w:hAnsi="Times New Roman"/>
          <w:sz w:val="24"/>
        </w:rPr>
        <w:t>• les locuteurs natifs (LN, n = 20, soit 40 %) : EPE ayant l’éwégbé pour langue première, transmise en milieu familial.</w:t>
      </w:r>
    </w:p>
    <w:p>
      <w:pPr>
        <w:spacing w:after="120"/>
        <w:ind w:firstLine="567"/>
        <w:jc w:val="both"/>
      </w:pPr>
      <w:r>
        <w:rPr>
          <w:rFonts w:ascii="Times New Roman" w:hAnsi="Times New Roman"/>
          <w:b w:val="0"/>
          <w:i w:val="0"/>
          <w:sz w:val="24"/>
        </w:rPr>
        <w:t>Il convient de signaler d’emblée une limite relative à la catégorie des locuteurs non catégorisés. Celle-ci résulte d’une non-réponse à un item de la fiche d’enquête et non d’une propriété sociolinguistique intrinsèque. Nous avons néanmoins choisi de la conserver comme catégorie distincte plutôt que de la fusionner arbitrairement, pour deux raisons : d’une part, la fusionner avec les natifs ou les non-natifs aurait introduit une décision d’enquêteur non fondée ; d’autre part, comme nous le verrons, ce groupe présente un profil propre et cohérent, dont le comportement statistique justifie a posteriori le maintien.</w:t>
      </w:r>
    </w:p>
    <w:p>
      <w:pPr>
        <w:pStyle w:val="Heading3"/>
        <w:jc w:val="left"/>
      </w:pPr>
      <w:r>
        <w:t>3.4.3. Instruments de collecte des données</w:t>
      </w:r>
    </w:p>
    <w:p>
      <w:pPr>
        <w:spacing w:after="120"/>
        <w:ind w:firstLine="567"/>
        <w:jc w:val="both"/>
      </w:pPr>
      <w:r>
        <w:rPr>
          <w:rFonts w:ascii="Times New Roman" w:hAnsi="Times New Roman"/>
          <w:b w:val="0"/>
          <w:i w:val="0"/>
          <w:sz w:val="24"/>
        </w:rPr>
        <w:t>Un questionnaire de treize questions, subdivisé en cinq parties et soumis aux EPE, les observations de classe, les entretiens, ainsi qu’un second questionnaire destiné aux formateurs constituent nos principaux instruments de collecte de données.</w:t>
      </w:r>
    </w:p>
    <w:p>
      <w:pPr>
        <w:spacing w:after="120"/>
        <w:ind w:firstLine="567"/>
        <w:jc w:val="both"/>
      </w:pPr>
      <w:r>
        <w:rPr>
          <w:rFonts w:ascii="Times New Roman" w:hAnsi="Times New Roman"/>
          <w:b w:val="0"/>
          <w:i w:val="0"/>
          <w:sz w:val="24"/>
        </w:rPr>
        <w:t>Le questionnaire des EPE portait sur leur identité et leur niveau d’étude, l’aspect sociodémographique et linguistique, les méthodes pédagogiques et les volumes horaires, les supports didactiques, leurs impressions sur l’apprentissage des langues nationales à l’ENFPE, ainsi que sur les difficultés rencontrées et leurs suggestions. Le choix de l’aspect sociodémographique visait le recensement des difficultés rencontrées par les EPE dans l’apprentissage de la langue éwé en lien avec leurs origines ethniques, afin d’en envisager des pistes de solutions adéquates.</w:t>
      </w:r>
    </w:p>
    <w:p>
      <w:pPr>
        <w:spacing w:after="120"/>
        <w:ind w:firstLine="567"/>
        <w:jc w:val="both"/>
      </w:pPr>
      <w:r>
        <w:rPr>
          <w:rFonts w:ascii="Times New Roman" w:hAnsi="Times New Roman"/>
          <w:b w:val="0"/>
          <w:i w:val="0"/>
          <w:sz w:val="24"/>
        </w:rPr>
        <w:t>Le volet relatif aux méthodes pédagogiques nous a permis de recueillir les appréciations des étudiants vis-à-vis des pratiques de cours ainsi que du volume horaire en cours d’exécution à l’ENFPE de Notsè, tout en leur permettant de faire des propositions. Leur point de vue concernant les supports didactiques nous a également intéressé, dans la mesure où cela contribue à une véritable analyse du dispositif d’enseignement visé par notre étude. Enfin, leurs impressions sur l’importance de l’apprentissage des langues nationales au sein des ENFPE, ainsi que l’expression de leurs difficultés et suggestions, nous ont permis de conduire une analyse crédible en établissant des liens intrinsèques avec, d’une part, la motivation des étudiants et, d’autre part, ledit dispositif.</w:t>
      </w:r>
    </w:p>
    <w:p>
      <w:pPr>
        <w:spacing w:after="120"/>
        <w:ind w:firstLine="567"/>
        <w:jc w:val="both"/>
      </w:pPr>
      <w:r>
        <w:rPr>
          <w:rFonts w:ascii="Times New Roman" w:hAnsi="Times New Roman"/>
          <w:b w:val="0"/>
          <w:i w:val="0"/>
          <w:sz w:val="24"/>
        </w:rPr>
        <w:t>Le questionnaire destiné aux formateurs comportait, quant à lui, des questions ouvertes devant nous fournir des informations relatives à l’enseignement des langues nationales, notamment les difficultés rencontrées dans l’exercice de leur fonction, leur point de vue global sur le dispositif d’enseignement-apprentissage des langues nationales, les performances des EPE, ainsi que leurs impressions sur le comportement des apprenants à l’égard des langues nationales. À l’issue de nos diverses observations de classe, nous avons constaté qu’une bonne partie des EPE éprouvent d’importantes difficultés, tant en expression orale qu’en expression écrite, en langue éwé.</w:t>
      </w:r>
    </w:p>
    <w:p>
      <w:pPr>
        <w:pStyle w:val="Heading3"/>
        <w:jc w:val="left"/>
      </w:pPr>
      <w:r>
        <w:t>3.4.4. Traitement des données et principe de triangulation</w:t>
      </w:r>
    </w:p>
    <w:p>
      <w:pPr>
        <w:spacing w:after="120"/>
        <w:ind w:firstLine="567"/>
        <w:jc w:val="both"/>
      </w:pPr>
      <w:r>
        <w:rPr>
          <w:rFonts w:ascii="Times New Roman" w:hAnsi="Times New Roman"/>
          <w:b w:val="0"/>
          <w:i w:val="0"/>
          <w:sz w:val="24"/>
        </w:rPr>
        <w:t>Le dépouillement a été conduit en deux temps. Dans un premier temps, un dépouillement global a permis d’établir la fréquence de chacune des quatre grandes catégories de difficultés sur l’ensemble de l’échantillon (tableau 4). Dans un second temps, un dépouillement différencié par profil sociolinguistique a été réalisé (tableaux 5 à 8), puis étendu à l’ensemble des autres indicateurs (tableaux 9 à 19).</w:t>
      </w:r>
    </w:p>
    <w:p>
      <w:pPr>
        <w:spacing w:after="120"/>
        <w:ind w:firstLine="567"/>
        <w:jc w:val="both"/>
      </w:pPr>
      <w:r>
        <w:rPr>
          <w:rFonts w:ascii="Times New Roman" w:hAnsi="Times New Roman"/>
          <w:b w:val="0"/>
          <w:i w:val="0"/>
          <w:sz w:val="24"/>
        </w:rPr>
        <w:t>Les pourcentages sont systématiquement calculés sur l’effectif de la catégorie considérée, et non sur l’effectif total, afin de permettre la comparaison entre groupes de tailles inégales. Les items de difficultés n’étant pas exclusifs — un même enquêté pouvant déclarer plusieurs difficultés —, la somme des pourcentages d’une même colonne excède systématiquement 100 %. Il en va de même pour les modalités pédagogiques (tableau 19), où chaque répondant pouvait cocher au moins deux modalités.</w:t>
      </w:r>
    </w:p>
    <w:p>
      <w:pPr>
        <w:spacing w:after="120"/>
        <w:ind w:firstLine="567"/>
        <w:jc w:val="both"/>
      </w:pPr>
      <w:r>
        <w:rPr>
          <w:rFonts w:ascii="Times New Roman" w:hAnsi="Times New Roman"/>
          <w:b w:val="0"/>
          <w:i w:val="0"/>
          <w:sz w:val="24"/>
        </w:rPr>
        <w:t>Enfin, aucune conclusion n’est tirée d’une source unique. Le principe de triangulation que nous nous sommes imposé exige que tout constat soit étayé par au moins deux des trois sources mobilisées : le questionnaire, les entretiens et l’observation de classe. Lorsque ces sources divergent, nous l’indiquons explicitement plutôt que d’arbitrer silencieusement. Ce point est d’autant plus important que, comme le chapitre suivant le montrera, deux séries d’indicateurs de notre propre enquête présentent des écarts qu’il convient d’exposer et d’expliquer plutôt que de dissimuler.</w:t>
      </w:r>
    </w:p>
    <w:p>
      <w:pPr>
        <w:pStyle w:val="Heading3"/>
        <w:jc w:val="left"/>
      </w:pPr>
      <w:r>
        <w:t>3.4.5. Limites de la méthodologie</w:t>
      </w:r>
    </w:p>
    <w:p>
      <w:pPr>
        <w:spacing w:after="120"/>
        <w:ind w:firstLine="567"/>
        <w:jc w:val="both"/>
      </w:pPr>
      <w:r>
        <w:rPr>
          <w:rFonts w:ascii="Times New Roman" w:hAnsi="Times New Roman"/>
          <w:b w:val="0"/>
          <w:i w:val="0"/>
          <w:sz w:val="24"/>
        </w:rPr>
        <w:t>Quatre limites doivent être signalées. Premièrement, la taille de l’échantillon — cinquante EPE — autorise une analyse descriptive par profil mais interdit tout test de significativité statistique ; les écarts observés entre groupes sont donc décrits comme des tendances et non comme des différences statistiquement établies. Deuxièmement, les effectifs par catégorie sont très inégaux (de 7 à 20), ce qui rend les pourcentages des petits groupes sensibles à la variation d’une seule unité : chez les non-locuteurs, un individu représente 14,3 points de pourcentage. Troisièmement, les données relatives aux compétences reposent sur des déclarations et des auto-évaluations, non sur des tests standardisés de niveau ; elles mesurent donc une perception, ce qui est en soi un objet légitime mais distinct d’une mesure. Quatrièmement, l’étude porte sur un seul établissement, comme indiqué plus haut.</w:t>
      </w:r>
    </w:p>
    <w:p>
      <w:pPr>
        <w:spacing w:after="120"/>
        <w:ind w:firstLine="567"/>
        <w:jc w:val="both"/>
      </w:pPr>
      <w:r>
        <w:rPr>
          <w:rFonts w:ascii="Times New Roman" w:hAnsi="Times New Roman"/>
          <w:b w:val="0"/>
          <w:i w:val="0"/>
          <w:sz w:val="24"/>
        </w:rPr>
        <w:t>Ces limites n’invalident pas les résultats ; elles en délimitent la portée. Elles invitent surtout à considérer le présent travail comme une première objectivation, appelant des recherches ultérieures fondées sur des épreuves de niveau standardisées et sur un échantillonnage couvrant les sept ENFPE.</w:t>
      </w:r>
    </w:p>
    <w:p>
      <w:r>
        <w:br w:type="page"/>
      </w:r>
    </w:p>
    <w:p>
      <w:pPr>
        <w:pStyle w:val="Heading1"/>
        <w:jc w:val="left"/>
      </w:pPr>
      <w:r>
        <w:t>CHAPITRE 4 : PRÉSENTATION, ANALYSE, INTERPRÉTATION ET DISCUSSION DES RÉSULTATS</w:t>
      </w:r>
    </w:p>
    <w:p>
      <w:pPr>
        <w:spacing w:after="120"/>
        <w:ind w:firstLine="567"/>
        <w:jc w:val="both"/>
      </w:pPr>
      <w:r>
        <w:rPr>
          <w:rFonts w:ascii="Times New Roman" w:hAnsi="Times New Roman"/>
          <w:b w:val="0"/>
          <w:i w:val="0"/>
          <w:sz w:val="24"/>
        </w:rPr>
        <w:t>Ce chapitre constitue le cœur empirique du mémoire. Il présente les données brutes issues du questionnaire soumis aux EPE, des entretiens avec les formateurs et des grilles d’observation de cours à l’ENFPE de Notsè, puis les analyse, les interprète et les discute.</w:t>
      </w:r>
    </w:p>
    <w:p>
      <w:pPr>
        <w:spacing w:after="120"/>
        <w:ind w:firstLine="567"/>
        <w:jc w:val="both"/>
      </w:pPr>
      <w:r>
        <w:rPr>
          <w:rFonts w:ascii="Times New Roman" w:hAnsi="Times New Roman"/>
          <w:b w:val="0"/>
          <w:i w:val="0"/>
          <w:sz w:val="24"/>
        </w:rPr>
        <w:t>Son organisation appelle une précision liminaire. Afin d’éviter la redondance qui guette toute analyse conduite tableau par tableau — un même constat, celui du déficit de supports par exemple, réapparaissant mécaniquement dans chacun des dix-huit tableaux —, nous avons retenu le principe suivant : chaque indicateur n’est commenté qu’une seule fois, à l’endroit où il est le plus informatif, et les autres sections y renvoient plutôt que de le reprendre. Chaque section s’ouvre par un encadré d’ancrage rappelant la question secondaire, l’hypothèse et l’objectif spécifique que les données qui suivent documentent, conformément à la matrice de cohérence présentée au tableau 20. Les dix-huit tableaux de l’enquête sont tous conservés et présentés intégralement, y compris lorsque deux d’entre eux mesurent des aspects voisins d’une même variable : dans ce cas, plutôt que d’en supprimer un, nous explicitons ce qui les distingue et ce que leur écart nous apprend.</w:t>
      </w:r>
    </w:p>
    <w:p>
      <w:pPr>
        <w:spacing w:after="120"/>
        <w:ind w:firstLine="567"/>
        <w:jc w:val="both"/>
      </w:pPr>
      <w:r>
        <w:rPr>
          <w:rFonts w:ascii="Times New Roman" w:hAnsi="Times New Roman"/>
          <w:b w:val="0"/>
          <w:i w:val="0"/>
          <w:sz w:val="24"/>
        </w:rPr>
        <w:t>Le chapitre suit l’ordre suivant : une vue d’ensemble des difficultés ; l’état des ressources humaines ; l’analyse différenciée par profil sociolinguistique ; puis, successivement, le volume horaire, le contenu, l’exposition antérieure à la langue, la compréhension du cours, la langue d’évaluation, le niveau auto-évalué et les modalités pédagogiques. Viennent ensuite les suggestions de la population enquêtée, une analyse transversale sur quatre plans, l’interprétation théorique, la discussion et, enfin, la vérification systématique des hypothèses.</w:t>
      </w:r>
    </w:p>
    <w:p>
      <w:pPr>
        <w:pStyle w:val="Heading2"/>
        <w:jc w:val="left"/>
      </w:pPr>
      <w:r>
        <w:t>4.1. Vue d’ensemble : les difficultés issues de l’enquête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principale et les questions secondaires QS2 et QS3 ; elle éprouve les hypothèses HS1 et HS5 et sert l’objectif spécifique OS4 (identifier les compétences maîtrisées ou non au terme des deux ans de formation).</w:t>
      </w:r>
    </w:p>
    <w:p>
      <w:pPr>
        <w:keepNext/>
        <w:spacing w:before="200" w:after="80"/>
        <w:jc w:val="left"/>
      </w:pPr>
      <w:r>
        <w:rPr>
          <w:rFonts w:ascii="Times New Roman" w:hAnsi="Times New Roman"/>
          <w:b/>
          <w:sz w:val="22"/>
        </w:rPr>
        <w:t>Tableau 4 : Récapitulatif des difficultés relevées par les EPE à l’issue du dépouillement du questionnaire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928"/>
            <w:shd w:val="clear" w:color="auto" w:fill="D9E2F3"/>
          </w:tcPr>
          <w:p>
            <w:pPr>
              <w:spacing w:after="40" w:before="40" w:line="240" w:lineRule="auto"/>
              <w:jc w:val="center"/>
            </w:pPr>
            <w:r/>
            <w:r>
              <w:rPr>
                <w:rFonts w:ascii="Times New Roman" w:hAnsi="Times New Roman"/>
                <w:b/>
                <w:sz w:val="18"/>
              </w:rPr>
              <w:t>Catégorie</w:t>
            </w:r>
          </w:p>
        </w:tc>
        <w:tc>
          <w:tcPr>
            <w:tcW w:type="dxa" w:w="907"/>
            <w:shd w:val="clear" w:color="auto" w:fill="D9E2F3"/>
          </w:tcPr>
          <w:p>
            <w:pPr>
              <w:spacing w:after="40" w:before="40" w:line="240" w:lineRule="auto"/>
              <w:jc w:val="center"/>
            </w:pPr>
            <w:r/>
            <w:r>
              <w:rPr>
                <w:rFonts w:ascii="Times New Roman" w:hAnsi="Times New Roman"/>
                <w:b/>
                <w:sz w:val="18"/>
              </w:rPr>
              <w:t>Effectif</w:t>
            </w:r>
          </w:p>
        </w:tc>
        <w:tc>
          <w:tcPr>
            <w:tcW w:type="dxa" w:w="1361"/>
            <w:shd w:val="clear" w:color="auto" w:fill="D9E2F3"/>
          </w:tcPr>
          <w:p>
            <w:pPr>
              <w:spacing w:after="40" w:before="40" w:line="240" w:lineRule="auto"/>
              <w:jc w:val="center"/>
            </w:pPr>
            <w:r/>
            <w:r>
              <w:rPr>
                <w:rFonts w:ascii="Times New Roman" w:hAnsi="Times New Roman"/>
                <w:b/>
                <w:sz w:val="18"/>
              </w:rPr>
              <w:t>Prononciation (tons)</w:t>
            </w:r>
          </w:p>
        </w:tc>
        <w:tc>
          <w:tcPr>
            <w:tcW w:type="dxa" w:w="2041"/>
            <w:shd w:val="clear" w:color="auto" w:fill="D9E2F3"/>
          </w:tcPr>
          <w:p>
            <w:pPr>
              <w:spacing w:after="40" w:before="40" w:line="240" w:lineRule="auto"/>
              <w:jc w:val="center"/>
            </w:pPr>
            <w:r/>
            <w:r>
              <w:rPr>
                <w:rFonts w:ascii="Times New Roman" w:hAnsi="Times New Roman"/>
                <w:b/>
                <w:sz w:val="18"/>
              </w:rPr>
              <w:t>Orthographe, grammaire, conjugaison, lecture et compréhension</w:t>
            </w:r>
          </w:p>
        </w:tc>
        <w:tc>
          <w:tcPr>
            <w:tcW w:type="dxa" w:w="1361"/>
            <w:shd w:val="clear" w:color="auto" w:fill="D9E2F3"/>
          </w:tcPr>
          <w:p>
            <w:pPr>
              <w:spacing w:after="40" w:before="40" w:line="240" w:lineRule="auto"/>
              <w:jc w:val="center"/>
            </w:pPr>
            <w:r/>
            <w:r>
              <w:rPr>
                <w:rFonts w:ascii="Times New Roman" w:hAnsi="Times New Roman"/>
                <w:b/>
                <w:sz w:val="18"/>
              </w:rPr>
              <w:t>Manque de support didactique</w:t>
            </w:r>
          </w:p>
        </w:tc>
        <w:tc>
          <w:tcPr>
            <w:tcW w:type="dxa" w:w="1361"/>
            <w:shd w:val="clear" w:color="auto" w:fill="D9E2F3"/>
          </w:tcPr>
          <w:p>
            <w:pPr>
              <w:spacing w:after="40" w:before="40" w:line="240" w:lineRule="auto"/>
              <w:jc w:val="center"/>
            </w:pPr>
            <w:r/>
            <w:r>
              <w:rPr>
                <w:rFonts w:ascii="Times New Roman" w:hAnsi="Times New Roman"/>
                <w:b/>
                <w:sz w:val="18"/>
              </w:rPr>
              <w:t>Alphabet et syllabation non maîtrisés</w:t>
            </w:r>
          </w:p>
        </w:tc>
      </w:tr>
      <w:tr>
        <w:tc>
          <w:tcPr>
            <w:tcW w:type="dxa" w:w="1928"/>
          </w:tcPr>
          <w:p>
            <w:pPr>
              <w:spacing w:after="40" w:before="40" w:line="240" w:lineRule="auto"/>
              <w:jc w:val="left"/>
            </w:pPr>
            <w:r/>
            <w:r>
              <w:rPr>
                <w:rFonts w:ascii="Times New Roman" w:hAnsi="Times New Roman"/>
                <w:b w:val="0"/>
                <w:sz w:val="18"/>
              </w:rPr>
              <w:t>Non-locuteurs</w:t>
            </w:r>
          </w:p>
        </w:tc>
        <w:tc>
          <w:tcPr>
            <w:tcW w:type="dxa" w:w="907"/>
          </w:tcPr>
          <w:p>
            <w:pPr>
              <w:spacing w:after="40" w:before="40" w:line="240" w:lineRule="auto"/>
              <w:jc w:val="center"/>
            </w:pPr>
            <w:r/>
            <w:r>
              <w:rPr>
                <w:rFonts w:ascii="Times New Roman" w:hAnsi="Times New Roman"/>
                <w:b w:val="0"/>
                <w:sz w:val="18"/>
              </w:rPr>
              <w:t>7</w:t>
            </w:r>
          </w:p>
        </w:tc>
        <w:tc>
          <w:tcPr>
            <w:tcW w:type="dxa" w:w="1361"/>
          </w:tcPr>
          <w:p>
            <w:pPr>
              <w:spacing w:after="40" w:before="40" w:line="240" w:lineRule="auto"/>
              <w:jc w:val="center"/>
            </w:pPr>
            <w:r/>
            <w:r>
              <w:rPr>
                <w:rFonts w:ascii="Times New Roman" w:hAnsi="Times New Roman"/>
                <w:b w:val="0"/>
                <w:sz w:val="18"/>
              </w:rPr>
              <w:t>5</w:t>
            </w:r>
          </w:p>
        </w:tc>
        <w:tc>
          <w:tcPr>
            <w:tcW w:type="dxa" w:w="2041"/>
          </w:tcPr>
          <w:p>
            <w:pPr>
              <w:spacing w:after="40" w:before="40" w:line="240" w:lineRule="auto"/>
              <w:jc w:val="center"/>
            </w:pPr>
            <w:r/>
            <w:r>
              <w:rPr>
                <w:rFonts w:ascii="Times New Roman" w:hAnsi="Times New Roman"/>
                <w:b w:val="0"/>
                <w:sz w:val="18"/>
              </w:rPr>
              <w:t>4</w:t>
            </w:r>
          </w:p>
        </w:tc>
        <w:tc>
          <w:tcPr>
            <w:tcW w:type="dxa" w:w="1361"/>
          </w:tcPr>
          <w:p>
            <w:pPr>
              <w:spacing w:after="40" w:before="40" w:line="240" w:lineRule="auto"/>
              <w:jc w:val="center"/>
            </w:pPr>
            <w:r/>
            <w:r>
              <w:rPr>
                <w:rFonts w:ascii="Times New Roman" w:hAnsi="Times New Roman"/>
                <w:b w:val="0"/>
                <w:sz w:val="18"/>
              </w:rPr>
              <w:t>6</w:t>
            </w:r>
          </w:p>
        </w:tc>
        <w:tc>
          <w:tcPr>
            <w:tcW w:type="dxa" w:w="1361"/>
          </w:tcPr>
          <w:p>
            <w:pPr>
              <w:spacing w:after="40" w:before="40" w:line="240" w:lineRule="auto"/>
              <w:jc w:val="center"/>
            </w:pPr>
            <w:r/>
            <w:r>
              <w:rPr>
                <w:rFonts w:ascii="Times New Roman" w:hAnsi="Times New Roman"/>
                <w:b w:val="0"/>
                <w:sz w:val="18"/>
              </w:rPr>
              <w:t>3</w:t>
            </w:r>
          </w:p>
        </w:tc>
      </w:tr>
      <w:tr>
        <w:tc>
          <w:tcPr>
            <w:tcW w:type="dxa" w:w="1928"/>
          </w:tcPr>
          <w:p>
            <w:pPr>
              <w:spacing w:after="40" w:before="40" w:line="240" w:lineRule="auto"/>
              <w:jc w:val="left"/>
            </w:pPr>
            <w:r/>
            <w:r>
              <w:rPr>
                <w:rFonts w:ascii="Times New Roman" w:hAnsi="Times New Roman"/>
                <w:b w:val="0"/>
                <w:sz w:val="18"/>
              </w:rPr>
              <w:t>Locuteurs (non catégorisés)</w:t>
            </w:r>
          </w:p>
        </w:tc>
        <w:tc>
          <w:tcPr>
            <w:tcW w:type="dxa" w:w="907"/>
          </w:tcPr>
          <w:p>
            <w:pPr>
              <w:spacing w:after="40" w:before="40" w:line="240" w:lineRule="auto"/>
              <w:jc w:val="center"/>
            </w:pPr>
            <w:r/>
            <w:r>
              <w:rPr>
                <w:rFonts w:ascii="Times New Roman" w:hAnsi="Times New Roman"/>
                <w:b w:val="0"/>
                <w:sz w:val="18"/>
              </w:rPr>
              <w:t>8</w:t>
            </w:r>
          </w:p>
        </w:tc>
        <w:tc>
          <w:tcPr>
            <w:tcW w:type="dxa" w:w="1361"/>
          </w:tcPr>
          <w:p>
            <w:pPr>
              <w:spacing w:after="40" w:before="40" w:line="240" w:lineRule="auto"/>
              <w:jc w:val="center"/>
            </w:pPr>
            <w:r/>
            <w:r>
              <w:rPr>
                <w:rFonts w:ascii="Times New Roman" w:hAnsi="Times New Roman"/>
                <w:b w:val="0"/>
                <w:sz w:val="18"/>
              </w:rPr>
              <w:t>4</w:t>
            </w:r>
          </w:p>
        </w:tc>
        <w:tc>
          <w:tcPr>
            <w:tcW w:type="dxa" w:w="2041"/>
          </w:tcPr>
          <w:p>
            <w:pPr>
              <w:spacing w:after="40" w:before="40" w:line="240" w:lineRule="auto"/>
              <w:jc w:val="center"/>
            </w:pPr>
            <w:r/>
            <w:r>
              <w:rPr>
                <w:rFonts w:ascii="Times New Roman" w:hAnsi="Times New Roman"/>
                <w:b w:val="0"/>
                <w:sz w:val="18"/>
              </w:rPr>
              <w:t>6</w:t>
            </w:r>
          </w:p>
        </w:tc>
        <w:tc>
          <w:tcPr>
            <w:tcW w:type="dxa" w:w="1361"/>
          </w:tcPr>
          <w:p>
            <w:pPr>
              <w:spacing w:after="40" w:before="40" w:line="240" w:lineRule="auto"/>
              <w:jc w:val="center"/>
            </w:pPr>
            <w:r/>
            <w:r>
              <w:rPr>
                <w:rFonts w:ascii="Times New Roman" w:hAnsi="Times New Roman"/>
                <w:b w:val="0"/>
                <w:sz w:val="18"/>
              </w:rPr>
              <w:t>5</w:t>
            </w:r>
          </w:p>
        </w:tc>
        <w:tc>
          <w:tcPr>
            <w:tcW w:type="dxa" w:w="1361"/>
          </w:tcPr>
          <w:p>
            <w:pPr>
              <w:spacing w:after="40" w:before="40" w:line="240" w:lineRule="auto"/>
              <w:jc w:val="center"/>
            </w:pPr>
            <w:r/>
            <w:r>
              <w:rPr>
                <w:rFonts w:ascii="Times New Roman" w:hAnsi="Times New Roman"/>
                <w:b w:val="0"/>
                <w:sz w:val="18"/>
              </w:rPr>
              <w:t>1</w:t>
            </w:r>
          </w:p>
        </w:tc>
      </w:tr>
      <w:tr>
        <w:tc>
          <w:tcPr>
            <w:tcW w:type="dxa" w:w="1928"/>
          </w:tcPr>
          <w:p>
            <w:pPr>
              <w:spacing w:after="40" w:before="40" w:line="240" w:lineRule="auto"/>
              <w:jc w:val="left"/>
            </w:pPr>
            <w:r/>
            <w:r>
              <w:rPr>
                <w:rFonts w:ascii="Times New Roman" w:hAnsi="Times New Roman"/>
                <w:b w:val="0"/>
                <w:sz w:val="18"/>
              </w:rPr>
              <w:t>Locuteurs non natifs</w:t>
            </w:r>
          </w:p>
        </w:tc>
        <w:tc>
          <w:tcPr>
            <w:tcW w:type="dxa" w:w="907"/>
          </w:tcPr>
          <w:p>
            <w:pPr>
              <w:spacing w:after="40" w:before="40" w:line="240" w:lineRule="auto"/>
              <w:jc w:val="center"/>
            </w:pPr>
            <w:r/>
            <w:r>
              <w:rPr>
                <w:rFonts w:ascii="Times New Roman" w:hAnsi="Times New Roman"/>
                <w:b w:val="0"/>
                <w:sz w:val="18"/>
              </w:rPr>
              <w:t>15</w:t>
            </w:r>
          </w:p>
        </w:tc>
        <w:tc>
          <w:tcPr>
            <w:tcW w:type="dxa" w:w="1361"/>
          </w:tcPr>
          <w:p>
            <w:pPr>
              <w:spacing w:after="40" w:before="40" w:line="240" w:lineRule="auto"/>
              <w:jc w:val="center"/>
            </w:pPr>
            <w:r/>
            <w:r>
              <w:rPr>
                <w:rFonts w:ascii="Times New Roman" w:hAnsi="Times New Roman"/>
                <w:b w:val="0"/>
                <w:sz w:val="18"/>
              </w:rPr>
              <w:t>7</w:t>
            </w:r>
          </w:p>
        </w:tc>
        <w:tc>
          <w:tcPr>
            <w:tcW w:type="dxa" w:w="2041"/>
          </w:tcPr>
          <w:p>
            <w:pPr>
              <w:spacing w:after="40" w:before="40" w:line="240" w:lineRule="auto"/>
              <w:jc w:val="center"/>
            </w:pPr>
            <w:r/>
            <w:r>
              <w:rPr>
                <w:rFonts w:ascii="Times New Roman" w:hAnsi="Times New Roman"/>
                <w:b w:val="0"/>
                <w:sz w:val="18"/>
              </w:rPr>
              <w:t>7</w:t>
            </w:r>
          </w:p>
        </w:tc>
        <w:tc>
          <w:tcPr>
            <w:tcW w:type="dxa" w:w="1361"/>
          </w:tcPr>
          <w:p>
            <w:pPr>
              <w:spacing w:after="40" w:before="40" w:line="240" w:lineRule="auto"/>
              <w:jc w:val="center"/>
            </w:pPr>
            <w:r/>
            <w:r>
              <w:rPr>
                <w:rFonts w:ascii="Times New Roman" w:hAnsi="Times New Roman"/>
                <w:b w:val="0"/>
                <w:sz w:val="18"/>
              </w:rPr>
              <w:t>10</w:t>
            </w:r>
          </w:p>
        </w:tc>
        <w:tc>
          <w:tcPr>
            <w:tcW w:type="dxa" w:w="1361"/>
          </w:tcPr>
          <w:p>
            <w:pPr>
              <w:spacing w:after="40" w:before="40" w:line="240" w:lineRule="auto"/>
              <w:jc w:val="center"/>
            </w:pPr>
            <w:r/>
            <w:r>
              <w:rPr>
                <w:rFonts w:ascii="Times New Roman" w:hAnsi="Times New Roman"/>
                <w:b w:val="0"/>
                <w:sz w:val="18"/>
              </w:rPr>
              <w:t>2</w:t>
            </w:r>
          </w:p>
        </w:tc>
      </w:tr>
      <w:tr>
        <w:tc>
          <w:tcPr>
            <w:tcW w:type="dxa" w:w="1928"/>
          </w:tcPr>
          <w:p>
            <w:pPr>
              <w:spacing w:after="40" w:before="40" w:line="240" w:lineRule="auto"/>
              <w:jc w:val="left"/>
            </w:pPr>
            <w:r/>
            <w:r>
              <w:rPr>
                <w:rFonts w:ascii="Times New Roman" w:hAnsi="Times New Roman"/>
                <w:b w:val="0"/>
                <w:sz w:val="18"/>
              </w:rPr>
              <w:t>Locuteurs natifs</w:t>
            </w:r>
          </w:p>
        </w:tc>
        <w:tc>
          <w:tcPr>
            <w:tcW w:type="dxa" w:w="907"/>
          </w:tcPr>
          <w:p>
            <w:pPr>
              <w:spacing w:after="40" w:before="40" w:line="240" w:lineRule="auto"/>
              <w:jc w:val="center"/>
            </w:pPr>
            <w:r/>
            <w:r>
              <w:rPr>
                <w:rFonts w:ascii="Times New Roman" w:hAnsi="Times New Roman"/>
                <w:b w:val="0"/>
                <w:sz w:val="18"/>
              </w:rPr>
              <w:t>20</w:t>
            </w:r>
          </w:p>
        </w:tc>
        <w:tc>
          <w:tcPr>
            <w:tcW w:type="dxa" w:w="1361"/>
          </w:tcPr>
          <w:p>
            <w:pPr>
              <w:spacing w:after="40" w:before="40" w:line="240" w:lineRule="auto"/>
              <w:jc w:val="center"/>
            </w:pPr>
            <w:r/>
            <w:r>
              <w:rPr>
                <w:rFonts w:ascii="Times New Roman" w:hAnsi="Times New Roman"/>
                <w:b w:val="0"/>
                <w:sz w:val="18"/>
              </w:rPr>
              <w:t>7</w:t>
            </w:r>
          </w:p>
        </w:tc>
        <w:tc>
          <w:tcPr>
            <w:tcW w:type="dxa" w:w="2041"/>
          </w:tcPr>
          <w:p>
            <w:pPr>
              <w:spacing w:after="40" w:before="40" w:line="240" w:lineRule="auto"/>
              <w:jc w:val="center"/>
            </w:pPr>
            <w:r/>
            <w:r>
              <w:rPr>
                <w:rFonts w:ascii="Times New Roman" w:hAnsi="Times New Roman"/>
                <w:b w:val="0"/>
                <w:sz w:val="18"/>
              </w:rPr>
              <w:t>15</w:t>
            </w:r>
          </w:p>
        </w:tc>
        <w:tc>
          <w:tcPr>
            <w:tcW w:type="dxa" w:w="1361"/>
          </w:tcPr>
          <w:p>
            <w:pPr>
              <w:spacing w:after="40" w:before="40" w:line="240" w:lineRule="auto"/>
              <w:jc w:val="center"/>
            </w:pPr>
            <w:r/>
            <w:r>
              <w:rPr>
                <w:rFonts w:ascii="Times New Roman" w:hAnsi="Times New Roman"/>
                <w:b w:val="0"/>
                <w:sz w:val="18"/>
              </w:rPr>
              <w:t>6</w:t>
            </w:r>
          </w:p>
        </w:tc>
        <w:tc>
          <w:tcPr>
            <w:tcW w:type="dxa" w:w="1361"/>
          </w:tcPr>
          <w:p>
            <w:pPr>
              <w:spacing w:after="40" w:before="40" w:line="240" w:lineRule="auto"/>
              <w:jc w:val="center"/>
            </w:pPr>
            <w:r/>
            <w:r>
              <w:rPr>
                <w:rFonts w:ascii="Times New Roman" w:hAnsi="Times New Roman"/>
                <w:b w:val="0"/>
                <w:sz w:val="18"/>
              </w:rPr>
              <w:t>6</w:t>
            </w:r>
          </w:p>
        </w:tc>
      </w:tr>
      <w:tr>
        <w:tc>
          <w:tcPr>
            <w:tcW w:type="dxa" w:w="1928"/>
          </w:tcPr>
          <w:p>
            <w:pPr>
              <w:spacing w:after="40" w:before="40" w:line="240" w:lineRule="auto"/>
              <w:jc w:val="left"/>
            </w:pPr>
            <w:r/>
            <w:r>
              <w:rPr>
                <w:rFonts w:ascii="Times New Roman" w:hAnsi="Times New Roman"/>
                <w:b w:val="0"/>
                <w:sz w:val="18"/>
              </w:rPr>
              <w:t>Total</w:t>
            </w:r>
          </w:p>
        </w:tc>
        <w:tc>
          <w:tcPr>
            <w:tcW w:type="dxa" w:w="907"/>
          </w:tcPr>
          <w:p>
            <w:pPr>
              <w:spacing w:after="40" w:before="40" w:line="240" w:lineRule="auto"/>
              <w:jc w:val="center"/>
            </w:pPr>
            <w:r/>
            <w:r>
              <w:rPr>
                <w:rFonts w:ascii="Times New Roman" w:hAnsi="Times New Roman"/>
                <w:b w:val="0"/>
                <w:sz w:val="18"/>
              </w:rPr>
              <w:t>50</w:t>
            </w:r>
          </w:p>
        </w:tc>
        <w:tc>
          <w:tcPr>
            <w:tcW w:type="dxa" w:w="1361"/>
          </w:tcPr>
          <w:p>
            <w:pPr>
              <w:spacing w:after="40" w:before="40" w:line="240" w:lineRule="auto"/>
              <w:jc w:val="center"/>
            </w:pPr>
            <w:r/>
            <w:r>
              <w:rPr>
                <w:rFonts w:ascii="Times New Roman" w:hAnsi="Times New Roman"/>
                <w:b w:val="0"/>
                <w:sz w:val="18"/>
              </w:rPr>
              <w:t>23</w:t>
            </w:r>
          </w:p>
        </w:tc>
        <w:tc>
          <w:tcPr>
            <w:tcW w:type="dxa" w:w="2041"/>
          </w:tcPr>
          <w:p>
            <w:pPr>
              <w:spacing w:after="40" w:before="40" w:line="240" w:lineRule="auto"/>
              <w:jc w:val="center"/>
            </w:pPr>
            <w:r/>
            <w:r>
              <w:rPr>
                <w:rFonts w:ascii="Times New Roman" w:hAnsi="Times New Roman"/>
                <w:b w:val="0"/>
                <w:sz w:val="18"/>
              </w:rPr>
              <w:t>32</w:t>
            </w:r>
          </w:p>
        </w:tc>
        <w:tc>
          <w:tcPr>
            <w:tcW w:type="dxa" w:w="1361"/>
          </w:tcPr>
          <w:p>
            <w:pPr>
              <w:spacing w:after="40" w:before="40" w:line="240" w:lineRule="auto"/>
              <w:jc w:val="center"/>
            </w:pPr>
            <w:r/>
            <w:r>
              <w:rPr>
                <w:rFonts w:ascii="Times New Roman" w:hAnsi="Times New Roman"/>
                <w:b w:val="0"/>
                <w:sz w:val="18"/>
              </w:rPr>
              <w:t>27</w:t>
            </w:r>
          </w:p>
        </w:tc>
        <w:tc>
          <w:tcPr>
            <w:tcW w:type="dxa" w:w="1361"/>
          </w:tcPr>
          <w:p>
            <w:pPr>
              <w:spacing w:after="40" w:before="40" w:line="240" w:lineRule="auto"/>
              <w:jc w:val="center"/>
            </w:pPr>
            <w:r/>
            <w:r>
              <w:rPr>
                <w:rFonts w:ascii="Times New Roman" w:hAnsi="Times New Roman"/>
                <w:b w:val="0"/>
                <w:sz w:val="18"/>
              </w:rPr>
              <w:t>12</w:t>
            </w:r>
          </w:p>
        </w:tc>
      </w:tr>
      <w:tr>
        <w:tc>
          <w:tcPr>
            <w:tcW w:type="dxa" w:w="1928"/>
          </w:tcPr>
          <w:p>
            <w:pPr>
              <w:spacing w:after="40" w:before="40" w:line="240" w:lineRule="auto"/>
              <w:jc w:val="left"/>
            </w:pPr>
            <w:r/>
            <w:r>
              <w:rPr>
                <w:rFonts w:ascii="Times New Roman" w:hAnsi="Times New Roman"/>
                <w:b w:val="0"/>
                <w:sz w:val="18"/>
              </w:rPr>
              <w:t>Pourcentage</w:t>
            </w:r>
          </w:p>
        </w:tc>
        <w:tc>
          <w:tcPr>
            <w:tcW w:type="dxa" w:w="907"/>
          </w:tcPr>
          <w:p>
            <w:pPr>
              <w:spacing w:after="40" w:before="40" w:line="240" w:lineRule="auto"/>
              <w:jc w:val="center"/>
            </w:pPr>
            <w:r/>
            <w:r>
              <w:rPr>
                <w:rFonts w:ascii="Times New Roman" w:hAnsi="Times New Roman"/>
                <w:b w:val="0"/>
                <w:sz w:val="18"/>
              </w:rPr>
              <w:t>100 %</w:t>
            </w:r>
          </w:p>
        </w:tc>
        <w:tc>
          <w:tcPr>
            <w:tcW w:type="dxa" w:w="1361"/>
          </w:tcPr>
          <w:p>
            <w:pPr>
              <w:spacing w:after="40" w:before="40" w:line="240" w:lineRule="auto"/>
              <w:jc w:val="center"/>
            </w:pPr>
            <w:r/>
            <w:r>
              <w:rPr>
                <w:rFonts w:ascii="Times New Roman" w:hAnsi="Times New Roman"/>
                <w:b w:val="0"/>
                <w:sz w:val="18"/>
              </w:rPr>
              <w:t>46 %</w:t>
            </w:r>
          </w:p>
        </w:tc>
        <w:tc>
          <w:tcPr>
            <w:tcW w:type="dxa" w:w="2041"/>
          </w:tcPr>
          <w:p>
            <w:pPr>
              <w:spacing w:after="40" w:before="40" w:line="240" w:lineRule="auto"/>
              <w:jc w:val="center"/>
            </w:pPr>
            <w:r/>
            <w:r>
              <w:rPr>
                <w:rFonts w:ascii="Times New Roman" w:hAnsi="Times New Roman"/>
                <w:b w:val="0"/>
                <w:sz w:val="18"/>
              </w:rPr>
              <w:t>64 %</w:t>
            </w:r>
          </w:p>
        </w:tc>
        <w:tc>
          <w:tcPr>
            <w:tcW w:type="dxa" w:w="1361"/>
          </w:tcPr>
          <w:p>
            <w:pPr>
              <w:spacing w:after="40" w:before="40" w:line="240" w:lineRule="auto"/>
              <w:jc w:val="center"/>
            </w:pPr>
            <w:r/>
            <w:r>
              <w:rPr>
                <w:rFonts w:ascii="Times New Roman" w:hAnsi="Times New Roman"/>
                <w:b w:val="0"/>
                <w:sz w:val="18"/>
              </w:rPr>
              <w:t>54 %</w:t>
            </w:r>
          </w:p>
        </w:tc>
        <w:tc>
          <w:tcPr>
            <w:tcW w:type="dxa" w:w="1361"/>
          </w:tcPr>
          <w:p>
            <w:pPr>
              <w:spacing w:after="40" w:before="40" w:line="240" w:lineRule="auto"/>
              <w:jc w:val="center"/>
            </w:pPr>
            <w:r/>
            <w:r>
              <w:rPr>
                <w:rFonts w:ascii="Times New Roman" w:hAnsi="Times New Roman"/>
                <w:b w:val="0"/>
                <w:sz w:val="18"/>
              </w:rPr>
              <w:t>24 %</w:t>
            </w:r>
          </w:p>
        </w:tc>
      </w:tr>
    </w:tbl>
    <w:p>
      <w:pPr>
        <w:spacing w:after="0"/>
      </w:pPr>
    </w:p>
    <w:p>
      <w:pPr>
        <w:spacing w:after="200"/>
        <w:jc w:val="left"/>
      </w:pPr>
      <w:r>
        <w:rPr>
          <w:rFonts w:ascii="Times New Roman" w:hAnsi="Times New Roman"/>
          <w:i/>
          <w:sz w:val="20"/>
        </w:rPr>
        <w:t>Source : dépouillement du questionnaire, ENFPE de Notsè, promotion 3, mai 2026 (n = 50). Les items n’étant pas exclusifs, la somme des pourcentages d’une ligne excède 100 %.</w:t>
      </w:r>
    </w:p>
    <w:p>
      <w:pPr>
        <w:spacing w:after="120"/>
        <w:ind w:firstLine="567"/>
        <w:jc w:val="both"/>
      </w:pPr>
      <w:r>
        <w:rPr>
          <w:rFonts w:ascii="Times New Roman" w:hAnsi="Times New Roman"/>
          <w:b w:val="0"/>
          <w:i w:val="0"/>
          <w:sz w:val="24"/>
        </w:rPr>
        <w:t>Lecture des données. Sur l’ensemble de l’échantillon, les difficultés liées à l’écrit — orthographe, grammaire, conjugaison, lecture et compréhension — arrivent en tête avec 64 %, devant le manque de support didactique (54 %), la prononciation et les tons (46 %) et, loin derrière, la non-maîtrise de l’alphabet et de la syllabation (24 %).</w:t>
      </w:r>
    </w:p>
    <w:p>
      <w:pPr>
        <w:spacing w:after="120"/>
        <w:ind w:firstLine="567"/>
        <w:jc w:val="both"/>
      </w:pPr>
      <w:r>
        <w:rPr>
          <w:rFonts w:ascii="Times New Roman" w:hAnsi="Times New Roman"/>
          <w:b w:val="0"/>
          <w:i w:val="0"/>
          <w:sz w:val="24"/>
        </w:rPr>
        <w:t>Analyse. Prise globalement, cette hiérarchie pourrait suggérer une conclusion simple : les EPE éprouvent avant tout des difficultés à l’écrit. Or la lecture par ligne invalide aussitôt cette lecture globale. L’ensemble de ces résultats fait apparaître un déplacement progressif de la nature du problème dominant selon le degré de proximité du locuteur avec la langue. Le manque de support didactique prévaut chez les non-locuteurs ; les difficultés à l’écrit s’observent de façon croissante dans les catégories intermédiaires pour culminer chez les locuteurs natifs. Ce gradient démontre que la difficulté d’apprentissage n’est pas uniforme, mais fonction du profil sociolinguistique de l’apprenant. Il plaide en faveur d’une politique d’enseignement différenciée plutôt que d’un modèle pédagogique unique appliqué indistinctement à des publics radicalement hétérogènes.</w:t>
      </w:r>
    </w:p>
    <w:p>
      <w:pPr>
        <w:spacing w:after="120"/>
        <w:ind w:firstLine="567"/>
        <w:jc w:val="both"/>
      </w:pPr>
      <w:r>
        <w:rPr>
          <w:rFonts w:ascii="Times New Roman" w:hAnsi="Times New Roman"/>
          <w:b w:val="0"/>
          <w:i w:val="0"/>
          <w:sz w:val="24"/>
        </w:rPr>
        <w:t>Un constat mérite toutefois d’être souligné en raison de sa portée pratique : celui du manque de support didactique, qui demeure élevé dans les quatre catégories, se situant entre 30 % et 85,7 % selon les groupes. Cet aspect constitue de fait le seul facteur sur lequel une intervention institutionnelle — production de matériel pédagogique et formation des enseignants — serait susceptible de produire un effet transversal bénéfique à l’ensemble des profils de locuteurs. Ce constat constitue le point d’appui central des recommandations formulées au chapitre 5. Il rejoint d’ailleurs le Document de réflexion et d’orientation de la CONFEMEN, qui déplore l’absence de matériels didactiques de qualité et de manuels, jugée préjudiciable à la qualité de l’enseignement, et estime que ceux-ci sont également capitaux pour le vivre-ensemble, afin d’éviter une accentuation de la discrimination entre les composantes nationales (CONFEMEN, 2022, p. 53).</w:t>
      </w:r>
    </w:p>
    <w:p>
      <w:pPr>
        <w:spacing w:after="120"/>
        <w:ind w:firstLine="567"/>
        <w:jc w:val="both"/>
      </w:pPr>
      <w:r>
        <w:rPr>
          <w:rFonts w:ascii="Times New Roman" w:hAnsi="Times New Roman"/>
          <w:b w:val="0"/>
          <w:i w:val="0"/>
          <w:sz w:val="24"/>
        </w:rPr>
        <w:t>Apport de l’observation de classe. En dehors des difficultés déclarées dans le questionnaire, l’observation de classe a également révélé de grandes lacunes dans la tenue de dialogues simples en éwégbé standard, sans l’influence du mina, tant chez les EPE locuteurs natifs que non natifs, sans oublier les non-locuteurs. Certains d’entre eux ne participent même pas aux cours. Interrogés sur la question, les non-locuteurs déclarent notamment ne pas comprendre la langue éwé, ce qui les bloque lors des interventions en période de cours. Ce résultat d’observation est important en ce qu’il corrobore, par une source indépendante, les déclarations du questionnaire : la triangulation est ici établie.</w:t>
      </w:r>
    </w:p>
    <w:p>
      <w:pPr>
        <w:spacing w:after="120"/>
        <w:ind w:firstLine="567"/>
        <w:jc w:val="both"/>
      </w:pPr>
      <w:r>
        <w:rPr>
          <w:rFonts w:ascii="Times New Roman" w:hAnsi="Times New Roman"/>
          <w:b w:val="0"/>
          <w:i w:val="0"/>
          <w:sz w:val="24"/>
        </w:rPr>
        <w:t>Apport des entretiens. Les entretiens individuels menés avec certains EPE en dehors des cours révèlent cependant une réelle bonne volonté de leur part. À les entendre, le fait de n’avoir jamais étudié la langue constitue, pour la plupart d’entre eux, un frein à leur élan, et nécessiterait davantage de temps d’apprentissage et de pratique, tant à l’oral qu’à l’écrit. Beaucoup dénoncent en outre le fait que, lors des stages, les cours de langue éwé ne sont pas effectivement dispensés dans les classes du primaire où ils sont pourtant censés intervenir au terme de leur formation. Tout cela, ajouté au faible poids de la langue sur le plan professionnel et à la passivité du politique, ne constitue pas une réelle incitation à l’assiduité dans l’apprentissage. Ces témoignages viennent confirmer les théories centrales de Bourdieu (1982) et de Moscovici (1961), relatives respectivement à la « valeur » et à la « représentation sociale » de la langue.</w:t>
      </w:r>
    </w:p>
    <w:p>
      <w:pPr>
        <w:spacing w:after="120"/>
        <w:ind w:firstLine="567"/>
        <w:jc w:val="both"/>
      </w:pPr>
      <w:r>
        <w:rPr>
          <w:rFonts w:ascii="Times New Roman" w:hAnsi="Times New Roman"/>
          <w:b w:val="0"/>
          <w:i w:val="0"/>
          <w:sz w:val="24"/>
        </w:rPr>
        <w:t>Conclusion partielle. Ce premier tableau établit donc deux choses. D’une part, aucune des quatre compétences linguistiques évaluées n’est maîtrisée par une majorité confortable de l’échantillon au terme de deux ans de formation, ce qui répond déjà partiellement à OS4. D’autre part, la cause dominante varie selon le profil, ce qui interdit toute réponse uniforme et fonde la structure des sections suivantes.</w:t>
      </w:r>
    </w:p>
    <w:p>
      <w:pPr>
        <w:pStyle w:val="Heading2"/>
        <w:jc w:val="left"/>
      </w:pPr>
      <w:r>
        <w:t>4.2. Les ressources humaines du dispositif</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secondaire QS1 (les ressources humaines affectées à l’enseignement de l’éwégbé sont-elles suffisantes et suffisamment formées ?), éprouve l’hypothèse HS3 et sert l’objectif spécifique OS1.</w:t>
      </w:r>
    </w:p>
    <w:p>
      <w:pPr>
        <w:spacing w:after="120"/>
        <w:ind w:firstLine="567"/>
        <w:jc w:val="both"/>
      </w:pPr>
      <w:r>
        <w:rPr>
          <w:rFonts w:ascii="Times New Roman" w:hAnsi="Times New Roman"/>
          <w:b w:val="0"/>
          <w:i w:val="0"/>
          <w:sz w:val="24"/>
        </w:rPr>
        <w:t>Les données mobilisées ici proviennent du tableau 1 (chapitre 1), des entretiens conduits avec les deux formateurs en langues nationales et de nos observations directes durant les trois mois de stage. Trois constats en ressortent.</w:t>
      </w:r>
    </w:p>
    <w:p>
      <w:pPr>
        <w:spacing w:after="120"/>
        <w:ind w:firstLine="567"/>
        <w:jc w:val="both"/>
      </w:pPr>
      <w:r>
        <w:rPr>
          <w:rFonts w:ascii="Times New Roman" w:hAnsi="Times New Roman"/>
          <w:b w:val="0"/>
          <w:i w:val="0"/>
          <w:sz w:val="24"/>
        </w:rPr>
        <w:t>Premier constat : le ratio d’encadrement. L’ENFPE de Notsè compte trente et une personnes, dont treize professeurs titulaires et sept professeurs associés, pour une double cohorte d’environ sept cents élèves-professeurs d’école répartis en quatorze groupes-classes : environ quatre cents pour la promotion 3, en huit groupes-classes, et plus de trois cents pour la promotion 4, en six groupes-classes. Pour l’enseignement des langues nationales, ce centre ne dispose que d’un formateur par langue. Un formateur unique doit ainsi couvrir quatorze groupes-classes en éwégbé. Cette donnée, purement structurelle, suffit à répondre par la négative à la première partie de QS1 : les ressources humaines ne sont pas suffisantes, et aucune ingéniosité pédagogique individuelle ne peut compenser un tel ratio.</w:t>
      </w:r>
    </w:p>
    <w:p>
      <w:pPr>
        <w:spacing w:after="120"/>
        <w:ind w:firstLine="567"/>
        <w:jc w:val="both"/>
      </w:pPr>
      <w:r>
        <w:rPr>
          <w:rFonts w:ascii="Times New Roman" w:hAnsi="Times New Roman"/>
          <w:b w:val="0"/>
          <w:i w:val="0"/>
          <w:sz w:val="24"/>
        </w:rPr>
        <w:t>Deuxième constat : la qualification. L’unique formateur d’éwégbé est, comme c’est souvent le cas, un ancien enseignant du secondaire reconverti. Ce profil correspond exactement à celui décrit par Atakpa (2019) dans les Colleges of Education de la Volta Region : des tuteurs disposant d’une solide maîtrise de la littérature mais d’une formation limitée en linguistique, en didactique appliquée et en didactique du L1. Il ne s’agit nullement de mettre en cause l’engagement des intéressés, dont notre stage nous a permis de mesurer le professionnalisme, mais de constater une absence de filière : il n’existe au Togo, à notre connaissance, aucun institut ni école supérieure dédiée à la formation de formateurs en langues nationales, hormis le département de linguistique. La seconde partie de QS1 appelle donc une réponse tout aussi négative, et l’hypothèse HS3 s’en trouve confirmée.</w:t>
      </w:r>
    </w:p>
    <w:p>
      <w:pPr>
        <w:spacing w:after="120"/>
        <w:ind w:firstLine="567"/>
        <w:jc w:val="both"/>
      </w:pPr>
      <w:r>
        <w:rPr>
          <w:rFonts w:ascii="Times New Roman" w:hAnsi="Times New Roman"/>
          <w:b w:val="0"/>
          <w:i w:val="0"/>
          <w:sz w:val="24"/>
        </w:rPr>
        <w:t>Troisième constat : l’absence de référentiel. L’UNESCO (1999), dans sa Stratégie de formation des enseignants en enseignement bilingue ou plurilingue (version Afrique), préconise des référentiels de compétences clairs pour les enseignants bilingues. Aucun référentiel de ce type n’encadre, à ce jour, la fonction de formateur en langues nationales dans les ENFPE. Le formateur exerce donc sans définition explicite des compétences qu’il doit lui-même posséder ni de celles qu’il doit faire acquérir — situation qui rejaillit directement sur la transposition didactique analysée à la section 4.13.</w:t>
      </w:r>
    </w:p>
    <w:p>
      <w:pPr>
        <w:pStyle w:val="Heading2"/>
        <w:jc w:val="left"/>
      </w:pPr>
      <w:r>
        <w:t>4.3. Analyse différenciée des difficultés par profil sociolinguistique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les questions secondaires QS2 et QS3, éprouve l’hypothèse HS1 et sert les objectifs spécifiques OS2 et OS4. Elle constitue l’apport méthodologique central du mémoire.</w:t>
      </w:r>
    </w:p>
    <w:p>
      <w:pPr>
        <w:spacing w:after="120"/>
        <w:ind w:firstLine="567"/>
        <w:jc w:val="both"/>
      </w:pPr>
      <w:r>
        <w:rPr>
          <w:rFonts w:ascii="Times New Roman" w:hAnsi="Times New Roman"/>
          <w:b w:val="0"/>
          <w:i w:val="0"/>
          <w:sz w:val="24"/>
        </w:rPr>
        <w:t>Le dépouillement selon l’aspect sociodémographique et linguistique se présente comme suit. Chacun des quatre profils fait l’objet d’un tableau propre, suivi d’une analyse qui ne reprend pas les éléments déjà établis pour les autres groupes.</w:t>
      </w:r>
    </w:p>
    <w:p>
      <w:pPr>
        <w:pStyle w:val="Heading3"/>
        <w:jc w:val="left"/>
      </w:pPr>
      <w:r>
        <w:t>4.3.1. Les non-locuteurs (n = 7)</w:t>
      </w:r>
    </w:p>
    <w:p>
      <w:pPr>
        <w:keepNext/>
        <w:spacing w:before="200" w:after="80"/>
        <w:jc w:val="left"/>
      </w:pPr>
      <w:r>
        <w:rPr>
          <w:rFonts w:ascii="Times New Roman" w:hAnsi="Times New Roman"/>
          <w:b/>
          <w:sz w:val="22"/>
        </w:rPr>
        <w:t>Tableau 5 : Répartition des difficultés chez les non-locuteurs (effectif total : 07)</w:t>
      </w:r>
    </w:p>
    <w:tbl>
      <w:tblPr>
        <w:tblStyle w:val="TableGrid"/>
        <w:tblW w:type="auto" w:w="0"/>
        <w:jc w:val="center"/>
        <w:tblLook w:firstColumn="1" w:firstRow="1" w:lastColumn="0" w:lastRow="0" w:noHBand="0" w:noVBand="1" w:val="04A0"/>
      </w:tblPr>
      <w:tblGrid>
        <w:gridCol w:w="2929"/>
        <w:gridCol w:w="2929"/>
        <w:gridCol w:w="2929"/>
      </w:tblGrid>
      <w:tr>
        <w:tc>
          <w:tcPr>
            <w:tcW w:type="dxa" w:w="5386"/>
            <w:shd w:val="clear" w:color="auto" w:fill="D9E2F3"/>
          </w:tcPr>
          <w:p>
            <w:pPr>
              <w:spacing w:after="40" w:before="40" w:line="240" w:lineRule="auto"/>
              <w:jc w:val="center"/>
            </w:pPr>
            <w:r/>
            <w:r>
              <w:rPr>
                <w:rFonts w:ascii="Times New Roman" w:hAnsi="Times New Roman"/>
                <w:b/>
                <w:sz w:val="21"/>
              </w:rPr>
              <w:t>Problème</w:t>
            </w:r>
          </w:p>
        </w:tc>
        <w:tc>
          <w:tcPr>
            <w:tcW w:type="dxa" w:w="1701"/>
            <w:shd w:val="clear" w:color="auto" w:fill="D9E2F3"/>
          </w:tcPr>
          <w:p>
            <w:pPr>
              <w:spacing w:after="40" w:before="40" w:line="240" w:lineRule="auto"/>
              <w:jc w:val="center"/>
            </w:pPr>
            <w:r/>
            <w:r>
              <w:rPr>
                <w:rFonts w:ascii="Times New Roman" w:hAnsi="Times New Roman"/>
                <w:b/>
                <w:sz w:val="21"/>
              </w:rPr>
              <w:t>Effectif</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5386"/>
          </w:tcPr>
          <w:p>
            <w:pPr>
              <w:spacing w:after="40" w:before="40" w:line="240" w:lineRule="auto"/>
              <w:jc w:val="left"/>
            </w:pPr>
            <w:r/>
            <w:r>
              <w:rPr>
                <w:rFonts w:ascii="Times New Roman" w:hAnsi="Times New Roman"/>
                <w:b w:val="0"/>
                <w:sz w:val="21"/>
              </w:rPr>
              <w:t>Prononciation (tons)</w:t>
            </w:r>
          </w:p>
        </w:tc>
        <w:tc>
          <w:tcPr>
            <w:tcW w:type="dxa" w:w="1701"/>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71,4 %</w:t>
            </w:r>
          </w:p>
        </w:tc>
      </w:tr>
      <w:tr>
        <w:tc>
          <w:tcPr>
            <w:tcW w:type="dxa" w:w="5386"/>
          </w:tcPr>
          <w:p>
            <w:pPr>
              <w:spacing w:after="40" w:before="40" w:line="240" w:lineRule="auto"/>
              <w:jc w:val="left"/>
            </w:pPr>
            <w:r/>
            <w:r>
              <w:rPr>
                <w:rFonts w:ascii="Times New Roman" w:hAnsi="Times New Roman"/>
                <w:b w:val="0"/>
                <w:sz w:val="21"/>
              </w:rPr>
              <w:t>Orthographe, grammaire, conjugaison, lecture, compréhension</w:t>
            </w:r>
          </w:p>
        </w:tc>
        <w:tc>
          <w:tcPr>
            <w:tcW w:type="dxa" w:w="1701"/>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57,1 %</w:t>
            </w:r>
          </w:p>
        </w:tc>
      </w:tr>
      <w:tr>
        <w:tc>
          <w:tcPr>
            <w:tcW w:type="dxa" w:w="5386"/>
          </w:tcPr>
          <w:p>
            <w:pPr>
              <w:spacing w:after="40" w:before="40" w:line="240" w:lineRule="auto"/>
              <w:jc w:val="left"/>
            </w:pPr>
            <w:r/>
            <w:r>
              <w:rPr>
                <w:rFonts w:ascii="Times New Roman" w:hAnsi="Times New Roman"/>
                <w:b w:val="0"/>
                <w:sz w:val="21"/>
              </w:rPr>
              <w:t>Manque de support didactique</w:t>
            </w:r>
          </w:p>
        </w:tc>
        <w:tc>
          <w:tcPr>
            <w:tcW w:type="dxa" w:w="1701"/>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85,7 %</w:t>
            </w:r>
          </w:p>
        </w:tc>
      </w:tr>
      <w:tr>
        <w:tc>
          <w:tcPr>
            <w:tcW w:type="dxa" w:w="5386"/>
          </w:tcPr>
          <w:p>
            <w:pPr>
              <w:spacing w:after="40" w:before="40" w:line="240" w:lineRule="auto"/>
              <w:jc w:val="left"/>
            </w:pPr>
            <w:r/>
            <w:r>
              <w:rPr>
                <w:rFonts w:ascii="Times New Roman" w:hAnsi="Times New Roman"/>
                <w:b w:val="0"/>
                <w:sz w:val="21"/>
              </w:rPr>
              <w:t>Non-maîtrise de l’alphabet et de la syllabation</w:t>
            </w:r>
          </w:p>
        </w:tc>
        <w:tc>
          <w:tcPr>
            <w:tcW w:type="dxa" w:w="1701"/>
          </w:tcPr>
          <w:p>
            <w:pPr>
              <w:spacing w:after="40" w:before="40" w:line="240" w:lineRule="auto"/>
              <w:jc w:val="center"/>
            </w:pPr>
            <w:r/>
            <w:r>
              <w:rPr>
                <w:rFonts w:ascii="Times New Roman" w:hAnsi="Times New Roman"/>
                <w:b w:val="0"/>
                <w:sz w:val="21"/>
              </w:rPr>
              <w:t>03</w:t>
            </w:r>
          </w:p>
        </w:tc>
        <w:tc>
          <w:tcPr>
            <w:tcW w:type="dxa" w:w="1701"/>
          </w:tcPr>
          <w:p>
            <w:pPr>
              <w:spacing w:after="40" w:before="40" w:line="240" w:lineRule="auto"/>
              <w:jc w:val="center"/>
            </w:pPr>
            <w:r/>
            <w:r>
              <w:rPr>
                <w:rFonts w:ascii="Times New Roman" w:hAnsi="Times New Roman"/>
                <w:b w:val="0"/>
                <w:sz w:val="21"/>
              </w:rPr>
              <w:t>42,9 %</w:t>
            </w:r>
          </w:p>
        </w:tc>
      </w:tr>
    </w:tbl>
    <w:p>
      <w:pPr>
        <w:spacing w:after="0"/>
      </w:pPr>
    </w:p>
    <w:p>
      <w:pPr>
        <w:spacing w:after="200"/>
        <w:jc w:val="left"/>
      </w:pPr>
      <w:r>
        <w:rPr>
          <w:rFonts w:ascii="Times New Roman" w:hAnsi="Times New Roman"/>
          <w:i/>
          <w:sz w:val="20"/>
        </w:rPr>
        <w:t>Source : dépouillement du questionnaire (n = 7).</w:t>
      </w:r>
    </w:p>
    <w:p>
      <w:pPr>
        <w:spacing w:after="120"/>
        <w:ind w:firstLine="567"/>
        <w:jc w:val="both"/>
      </w:pPr>
      <w:r>
        <w:rPr>
          <w:rFonts w:ascii="Times New Roman" w:hAnsi="Times New Roman"/>
          <w:b w:val="0"/>
          <w:i w:val="0"/>
          <w:sz w:val="24"/>
        </w:rPr>
        <w:t>Lecture et analyse. Chez les non-locuteurs, le manque de support didactique domine largement (85,7 %). Ce chiffre s’explique par une logique simple : cet échantillon découvre la langue éwé sans base préalable et dépend donc fortement d’un matériel pédagogique structuré. L’autre question est de savoir si ce matériel, à supposer qu’il existe, est bien adapté et prend en compte toutes les couches d’apprenants dans son élaboration. La prononciation et les tons arrivent en seconde position (71,4 %), ce qui traduit l’absence de toute familiarité antérieure avec le système tonal de l’éwégbé. Les problèmes d’orthographe, de grammaire, de conjugaison, de lecture et de compréhension (57,1 %) confirment les effets de cette absence de bases : près de six non-locuteurs sur dix ne peuvent ni lire, ni écrire, ni comprendre de petits textes. Enfin, la non-maîtrise de l’alphabet, bien que plus faible (42,9 %), reste notable puisqu’elle touche près de la moitié du groupe ; c’est un obstacle de base qui devrait normalement précéder les autres difficultés dans une progression pédagogique cohérente.</w:t>
      </w:r>
    </w:p>
    <w:p>
      <w:pPr>
        <w:spacing w:after="120"/>
        <w:ind w:firstLine="567"/>
        <w:jc w:val="both"/>
      </w:pPr>
      <w:r>
        <w:rPr>
          <w:rFonts w:ascii="Times New Roman" w:hAnsi="Times New Roman"/>
          <w:b w:val="0"/>
          <w:i w:val="0"/>
          <w:sz w:val="24"/>
        </w:rPr>
        <w:t>Données complémentaires. Sur les sept enquêtés, un seul a suivi des cours d’éwégbé, en classe de troisième. Six sur sept (85,7 %) estiment que le volume horaire alloué au cours de langue éwé à l’ENFPE est insuffisant et que le contenu du cours ne permet pas une maîtrise suffisante de la langue. Cinq (71,4 %) déclarent comprendre facilement le cours ; aucun ne possède de manuel en éwégbé, mais tous reconnaissent l’importance de l’enseignement des langues nationales dans les ENFPE. Trois jugent leur niveau moyen, deux le jugent faible et deux très faible. Cinq (71,4 %) trouvent normal que les cours et les épreuves d’évaluation en langues nationales soient présentés en français. Quant aux méthodes pédagogiques, quatre sur sept (57,1 %) estiment que les cours d’éwé sont des cours magistraux.</w:t>
      </w:r>
    </w:p>
    <w:p>
      <w:pPr>
        <w:spacing w:after="120"/>
        <w:ind w:firstLine="567"/>
        <w:jc w:val="both"/>
      </w:pPr>
      <w:r>
        <w:rPr>
          <w:rFonts w:ascii="Times New Roman" w:hAnsi="Times New Roman"/>
          <w:b w:val="0"/>
          <w:i w:val="0"/>
          <w:sz w:val="24"/>
        </w:rPr>
        <w:t>Interprétation. Les résultats obtenus auprès des non-locuteurs mettent en évidence une combinaison particulièrement contraignante, que l’on peut qualifier de double barrière d’entrée : l’absence d’outils pédagogiques adaptés (85,7 %) se combine à l’absence de tout repère phonologique antérieur (71,4 %) propre à un apprenant découvrant la langue sans immersion préalable. Ces deux facteurs ne s’additionnent pas : ils se multiplient, chacun privant l’apprenant du moyen de compenser l’autre.</w:t>
      </w:r>
    </w:p>
    <w:p>
      <w:pPr>
        <w:spacing w:after="120"/>
        <w:ind w:firstLine="567"/>
        <w:jc w:val="both"/>
      </w:pPr>
      <w:r>
        <w:rPr>
          <w:rFonts w:ascii="Times New Roman" w:hAnsi="Times New Roman"/>
          <w:b w:val="0"/>
          <w:i w:val="0"/>
          <w:sz w:val="24"/>
        </w:rPr>
        <w:t>Ce constat s’inscrit directement dans le cadre de l’insécurité linguistique : privé de support adapté dès ses premiers contacts avec la langue, le non-locuteur développe une appréhension durable, susceptible d’expliquer l’abandon ou la faible motivation à progresser. Il convient dès lors de s’interroger sur l’adéquation du matériel pédagogique actuellement disponible, souvent conçu pour un public déjà locuteur plutôt que pour de véritables débutants. Cette critique rejoint les positions de Bamgbose (2000) sur les conséquences pratiques des politiques linguistiques mal dotées en ressources, et sur la nécessité d’un aménagement du corpus préalable à toute politique d’enseignement des langues nationales.</w:t>
      </w:r>
    </w:p>
    <w:p>
      <w:pPr>
        <w:spacing w:after="120"/>
        <w:ind w:firstLine="567"/>
        <w:jc w:val="both"/>
      </w:pPr>
      <w:r>
        <w:rPr>
          <w:rFonts w:ascii="Times New Roman" w:hAnsi="Times New Roman"/>
          <w:b w:val="0"/>
          <w:i w:val="0"/>
          <w:sz w:val="24"/>
        </w:rPr>
        <w:t>Cette situation, qui ne saurait être propre au Togo, rejoint un constat récurrent dans la littérature sur l’aménagement linguistique en Afrique subsaharienne, où l’écart entre l’ambition politique de promouvoir les langues nationales et les moyens réellement alloués à leur enseignement demeure un facteur d’échec récurrent. Dans le cas précis des non-locuteurs, ce déficit revêt une gravité particulière : contrairement aux autres catégories, ce public ne dispose d’aucune compétence orale ou écrite antérieure sur laquelle s’appuyer pour compenser l’absence de matériel structuré. L’enjeu didactique consiste alors à concevoir des outils véritablement pensés pour un apprentissage ab initio — alphabet, système tonal et structures de base — plutôt que des adaptations sommaires de manuels destinés à des locuteurs déjà familiers avec la langue. Cette exigence rejoint également la question, plus large, de la formation initiale des formateurs chargés d’accueillir ce public, dont la préparation devrait explicitement intégrer les spécificités de l’enseignement à des débutants absolus.</w:t>
      </w:r>
    </w:p>
    <w:p>
      <w:pPr>
        <w:pStyle w:val="Heading3"/>
        <w:jc w:val="left"/>
      </w:pPr>
      <w:r>
        <w:t>4.3.2. Les locuteurs non catégorisés (n = 8)</w:t>
      </w:r>
    </w:p>
    <w:p>
      <w:pPr>
        <w:keepNext/>
        <w:spacing w:before="200" w:after="80"/>
        <w:jc w:val="left"/>
      </w:pPr>
      <w:r>
        <w:rPr>
          <w:rFonts w:ascii="Times New Roman" w:hAnsi="Times New Roman"/>
          <w:b/>
          <w:sz w:val="22"/>
        </w:rPr>
        <w:t>Tableau 6 : Répartition des difficultés chez les locuteurs non catégorisés (effectif total : 08)</w:t>
      </w:r>
    </w:p>
    <w:tbl>
      <w:tblPr>
        <w:tblStyle w:val="TableGrid"/>
        <w:tblW w:type="auto" w:w="0"/>
        <w:jc w:val="center"/>
        <w:tblLook w:firstColumn="1" w:firstRow="1" w:lastColumn="0" w:lastRow="0" w:noHBand="0" w:noVBand="1" w:val="04A0"/>
      </w:tblPr>
      <w:tblGrid>
        <w:gridCol w:w="2929"/>
        <w:gridCol w:w="2929"/>
        <w:gridCol w:w="2929"/>
      </w:tblGrid>
      <w:tr>
        <w:tc>
          <w:tcPr>
            <w:tcW w:type="dxa" w:w="5386"/>
            <w:shd w:val="clear" w:color="auto" w:fill="D9E2F3"/>
          </w:tcPr>
          <w:p>
            <w:pPr>
              <w:spacing w:after="40" w:before="40" w:line="240" w:lineRule="auto"/>
              <w:jc w:val="center"/>
            </w:pPr>
            <w:r/>
            <w:r>
              <w:rPr>
                <w:rFonts w:ascii="Times New Roman" w:hAnsi="Times New Roman"/>
                <w:b/>
                <w:sz w:val="21"/>
              </w:rPr>
              <w:t>Problème</w:t>
            </w:r>
          </w:p>
        </w:tc>
        <w:tc>
          <w:tcPr>
            <w:tcW w:type="dxa" w:w="1701"/>
            <w:shd w:val="clear" w:color="auto" w:fill="D9E2F3"/>
          </w:tcPr>
          <w:p>
            <w:pPr>
              <w:spacing w:after="40" w:before="40" w:line="240" w:lineRule="auto"/>
              <w:jc w:val="center"/>
            </w:pPr>
            <w:r/>
            <w:r>
              <w:rPr>
                <w:rFonts w:ascii="Times New Roman" w:hAnsi="Times New Roman"/>
                <w:b/>
                <w:sz w:val="21"/>
              </w:rPr>
              <w:t>Effectif</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5386"/>
          </w:tcPr>
          <w:p>
            <w:pPr>
              <w:spacing w:after="40" w:before="40" w:line="240" w:lineRule="auto"/>
              <w:jc w:val="left"/>
            </w:pPr>
            <w:r/>
            <w:r>
              <w:rPr>
                <w:rFonts w:ascii="Times New Roman" w:hAnsi="Times New Roman"/>
                <w:b w:val="0"/>
                <w:sz w:val="21"/>
              </w:rPr>
              <w:t>Prononciation (tons)</w:t>
            </w:r>
          </w:p>
        </w:tc>
        <w:tc>
          <w:tcPr>
            <w:tcW w:type="dxa" w:w="1701"/>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50 %</w:t>
            </w:r>
          </w:p>
        </w:tc>
      </w:tr>
      <w:tr>
        <w:tc>
          <w:tcPr>
            <w:tcW w:type="dxa" w:w="5386"/>
          </w:tcPr>
          <w:p>
            <w:pPr>
              <w:spacing w:after="40" w:before="40" w:line="240" w:lineRule="auto"/>
              <w:jc w:val="left"/>
            </w:pPr>
            <w:r/>
            <w:r>
              <w:rPr>
                <w:rFonts w:ascii="Times New Roman" w:hAnsi="Times New Roman"/>
                <w:b w:val="0"/>
                <w:sz w:val="21"/>
              </w:rPr>
              <w:t>Orthographe, grammaire, conjugaison, lecture, compréhension</w:t>
            </w:r>
          </w:p>
        </w:tc>
        <w:tc>
          <w:tcPr>
            <w:tcW w:type="dxa" w:w="1701"/>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75 %</w:t>
            </w:r>
          </w:p>
        </w:tc>
      </w:tr>
      <w:tr>
        <w:tc>
          <w:tcPr>
            <w:tcW w:type="dxa" w:w="5386"/>
          </w:tcPr>
          <w:p>
            <w:pPr>
              <w:spacing w:after="40" w:before="40" w:line="240" w:lineRule="auto"/>
              <w:jc w:val="left"/>
            </w:pPr>
            <w:r/>
            <w:r>
              <w:rPr>
                <w:rFonts w:ascii="Times New Roman" w:hAnsi="Times New Roman"/>
                <w:b w:val="0"/>
                <w:sz w:val="21"/>
              </w:rPr>
              <w:t>Manque de support didactique</w:t>
            </w:r>
          </w:p>
        </w:tc>
        <w:tc>
          <w:tcPr>
            <w:tcW w:type="dxa" w:w="1701"/>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62,5 %</w:t>
            </w:r>
          </w:p>
        </w:tc>
      </w:tr>
      <w:tr>
        <w:tc>
          <w:tcPr>
            <w:tcW w:type="dxa" w:w="5386"/>
          </w:tcPr>
          <w:p>
            <w:pPr>
              <w:spacing w:after="40" w:before="40" w:line="240" w:lineRule="auto"/>
              <w:jc w:val="left"/>
            </w:pPr>
            <w:r/>
            <w:r>
              <w:rPr>
                <w:rFonts w:ascii="Times New Roman" w:hAnsi="Times New Roman"/>
                <w:b w:val="0"/>
                <w:sz w:val="21"/>
              </w:rPr>
              <w:t>Non-maîtrise de l’alphabet et de la syllabation</w:t>
            </w:r>
          </w:p>
        </w:tc>
        <w:tc>
          <w:tcPr>
            <w:tcW w:type="dxa" w:w="1701"/>
          </w:tcPr>
          <w:p>
            <w:pPr>
              <w:spacing w:after="40" w:before="40" w:line="240" w:lineRule="auto"/>
              <w:jc w:val="center"/>
            </w:pPr>
            <w:r/>
            <w:r>
              <w:rPr>
                <w:rFonts w:ascii="Times New Roman" w:hAnsi="Times New Roman"/>
                <w:b w:val="0"/>
                <w:sz w:val="21"/>
              </w:rPr>
              <w:t>01</w:t>
            </w:r>
          </w:p>
        </w:tc>
        <w:tc>
          <w:tcPr>
            <w:tcW w:type="dxa" w:w="1701"/>
          </w:tcPr>
          <w:p>
            <w:pPr>
              <w:spacing w:after="40" w:before="40" w:line="240" w:lineRule="auto"/>
              <w:jc w:val="center"/>
            </w:pPr>
            <w:r/>
            <w:r>
              <w:rPr>
                <w:rFonts w:ascii="Times New Roman" w:hAnsi="Times New Roman"/>
                <w:b w:val="0"/>
                <w:sz w:val="21"/>
              </w:rPr>
              <w:t>12,5 %</w:t>
            </w:r>
          </w:p>
        </w:tc>
      </w:tr>
    </w:tbl>
    <w:p>
      <w:pPr>
        <w:spacing w:after="0"/>
      </w:pPr>
    </w:p>
    <w:p>
      <w:pPr>
        <w:spacing w:after="200"/>
        <w:jc w:val="left"/>
      </w:pPr>
      <w:r>
        <w:rPr>
          <w:rFonts w:ascii="Times New Roman" w:hAnsi="Times New Roman"/>
          <w:i/>
          <w:sz w:val="20"/>
        </w:rPr>
        <w:t>Source : dépouillement du questionnaire (n = 8).</w:t>
      </w:r>
    </w:p>
    <w:p>
      <w:pPr>
        <w:spacing w:after="120"/>
        <w:ind w:firstLine="567"/>
        <w:jc w:val="both"/>
      </w:pPr>
      <w:r>
        <w:rPr>
          <w:rFonts w:ascii="Times New Roman" w:hAnsi="Times New Roman"/>
          <w:b w:val="0"/>
          <w:i w:val="0"/>
          <w:sz w:val="24"/>
        </w:rPr>
        <w:t>Lecture et analyse. Ce groupe présente un profil distinct : les difficultés en orthographe et en grammaire sont dominantes (75 %), tandis que l’alphabet et la syllabation ne posent quasiment plus de problème (12,5 %). Cela suggère des locuteurs disposant déjà d’une certaine maîtrise orale ou d’une familiarité de base avec la langue, vraisemblablement fondée sur une transmission familiale ou communautaire, mais butant sur les compétences écrites plus complexes telles que la norme orthographique et les structures grammaticales, faute d’avoir bénéficié d’une scolarisation formelle en éwégbé. Ce résultat pose l’interrogation du rapport entre compétence orale et compétence écrite comme deux dimensions dissociables — interrogation que la section 4.3.4 portera à son point d’incandescence. Le manque de support didactique reste tout de même élevé (62,5 %), confirmant un déficit transversal en matériel pédagogique, quel que soit le profil du locuteur.</w:t>
      </w:r>
    </w:p>
    <w:p>
      <w:pPr>
        <w:spacing w:after="120"/>
        <w:ind w:firstLine="567"/>
        <w:jc w:val="both"/>
      </w:pPr>
      <w:r>
        <w:rPr>
          <w:rFonts w:ascii="Times New Roman" w:hAnsi="Times New Roman"/>
          <w:b w:val="0"/>
          <w:i w:val="0"/>
          <w:sz w:val="24"/>
        </w:rPr>
        <w:t>Données complémentaires. Pour cette vague de huit EPE, 50 % ont suivi des cours d’éwégbé, dans les proportions suivantes : un en classe de troisième, deux en troisième et en première, puis un en première et en terminale ; les 50 % restants n’en ont jamais suivi. Six sur huit (75 %) estiment que le volume horaire alloué au cours de langue éwé à l’ENFPE est insuffisant, et sept sur huit (87,5 %) pensent que le contenu du cours ne permet pas une maîtrise suffisante de la langue. Cinq (62,5 %) comprennent facilement le cours, deux non, et une abstention est enregistrée. Aucun ne possède de manuel en éwégbé, mais tous reconnaissent également l’importance de l’enseignement des langues nationales dans les ENFPE. Trois jugent leur niveau bon et trois le jugent moyen, tandis que deux ne se sont pas prononcés. Au total, sept sur huit (87,5 %) trouvent normal que les cours et les épreuves d’évaluation en langues nationales soient présentés en français. Quant aux méthodes pédagogiques, tous indiquent que les cours se déroulent de façon participative, avec des travaux de groupe.</w:t>
      </w:r>
    </w:p>
    <w:p>
      <w:pPr>
        <w:spacing w:after="120"/>
        <w:ind w:firstLine="567"/>
        <w:jc w:val="both"/>
      </w:pPr>
      <w:r>
        <w:rPr>
          <w:rFonts w:ascii="Times New Roman" w:hAnsi="Times New Roman"/>
          <w:b w:val="0"/>
          <w:i w:val="0"/>
          <w:sz w:val="24"/>
        </w:rPr>
        <w:t>Interprétation. Ce groupe présente la particularité d’être celui qui exprime le moins de contestation sur le dispositif tout en affichant un taux élevé de difficultés à l’écrit. Cette combinaison — une oralité installée, une écriture défaillante, mais une acceptation quasi unanime du français comme langue d’évaluation (87,5 %) — en fait le profil le plus révélateur de ce que Bourdieu nomme l’intériorisation de la hiérarchie linguistique : le locuteur reconnaît sa propre langue comme objet d’affection mais non comme instrument légitime d’évaluation scolaire.</w:t>
      </w:r>
    </w:p>
    <w:p>
      <w:pPr>
        <w:pStyle w:val="Heading3"/>
        <w:jc w:val="left"/>
      </w:pPr>
      <w:r>
        <w:t>4.3.3. Les locuteurs non natifs (n = 15)</w:t>
      </w:r>
    </w:p>
    <w:p>
      <w:pPr>
        <w:keepNext/>
        <w:spacing w:before="200" w:after="80"/>
        <w:jc w:val="left"/>
      </w:pPr>
      <w:r>
        <w:rPr>
          <w:rFonts w:ascii="Times New Roman" w:hAnsi="Times New Roman"/>
          <w:b/>
          <w:sz w:val="22"/>
        </w:rPr>
        <w:t>Tableau 7 : Répartition des difficultés chez les locuteurs non natifs (effectif total : 15)</w:t>
      </w:r>
    </w:p>
    <w:tbl>
      <w:tblPr>
        <w:tblStyle w:val="TableGrid"/>
        <w:tblW w:type="auto" w:w="0"/>
        <w:jc w:val="center"/>
        <w:tblLook w:firstColumn="1" w:firstRow="1" w:lastColumn="0" w:lastRow="0" w:noHBand="0" w:noVBand="1" w:val="04A0"/>
      </w:tblPr>
      <w:tblGrid>
        <w:gridCol w:w="2929"/>
        <w:gridCol w:w="2929"/>
        <w:gridCol w:w="2929"/>
      </w:tblGrid>
      <w:tr>
        <w:tc>
          <w:tcPr>
            <w:tcW w:type="dxa" w:w="5386"/>
            <w:shd w:val="clear" w:color="auto" w:fill="D9E2F3"/>
          </w:tcPr>
          <w:p>
            <w:pPr>
              <w:spacing w:after="40" w:before="40" w:line="240" w:lineRule="auto"/>
              <w:jc w:val="center"/>
            </w:pPr>
            <w:r/>
            <w:r>
              <w:rPr>
                <w:rFonts w:ascii="Times New Roman" w:hAnsi="Times New Roman"/>
                <w:b/>
                <w:sz w:val="21"/>
              </w:rPr>
              <w:t>Problème</w:t>
            </w:r>
          </w:p>
        </w:tc>
        <w:tc>
          <w:tcPr>
            <w:tcW w:type="dxa" w:w="1701"/>
            <w:shd w:val="clear" w:color="auto" w:fill="D9E2F3"/>
          </w:tcPr>
          <w:p>
            <w:pPr>
              <w:spacing w:after="40" w:before="40" w:line="240" w:lineRule="auto"/>
              <w:jc w:val="center"/>
            </w:pPr>
            <w:r/>
            <w:r>
              <w:rPr>
                <w:rFonts w:ascii="Times New Roman" w:hAnsi="Times New Roman"/>
                <w:b/>
                <w:sz w:val="21"/>
              </w:rPr>
              <w:t>Effectif</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5386"/>
          </w:tcPr>
          <w:p>
            <w:pPr>
              <w:spacing w:after="40" w:before="40" w:line="240" w:lineRule="auto"/>
              <w:jc w:val="left"/>
            </w:pPr>
            <w:r/>
            <w:r>
              <w:rPr>
                <w:rFonts w:ascii="Times New Roman" w:hAnsi="Times New Roman"/>
                <w:b w:val="0"/>
                <w:sz w:val="21"/>
              </w:rPr>
              <w:t>Prononciation (tons)</w:t>
            </w:r>
          </w:p>
        </w:tc>
        <w:tc>
          <w:tcPr>
            <w:tcW w:type="dxa" w:w="1701"/>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46,7 %</w:t>
            </w:r>
          </w:p>
        </w:tc>
      </w:tr>
      <w:tr>
        <w:tc>
          <w:tcPr>
            <w:tcW w:type="dxa" w:w="5386"/>
          </w:tcPr>
          <w:p>
            <w:pPr>
              <w:spacing w:after="40" w:before="40" w:line="240" w:lineRule="auto"/>
              <w:jc w:val="left"/>
            </w:pPr>
            <w:r/>
            <w:r>
              <w:rPr>
                <w:rFonts w:ascii="Times New Roman" w:hAnsi="Times New Roman"/>
                <w:b w:val="0"/>
                <w:sz w:val="21"/>
              </w:rPr>
              <w:t>Orthographe, grammaire, conjugaison, lecture, compréhension</w:t>
            </w:r>
          </w:p>
        </w:tc>
        <w:tc>
          <w:tcPr>
            <w:tcW w:type="dxa" w:w="1701"/>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46,7 %</w:t>
            </w:r>
          </w:p>
        </w:tc>
      </w:tr>
      <w:tr>
        <w:tc>
          <w:tcPr>
            <w:tcW w:type="dxa" w:w="5386"/>
          </w:tcPr>
          <w:p>
            <w:pPr>
              <w:spacing w:after="40" w:before="40" w:line="240" w:lineRule="auto"/>
              <w:jc w:val="left"/>
            </w:pPr>
            <w:r/>
            <w:r>
              <w:rPr>
                <w:rFonts w:ascii="Times New Roman" w:hAnsi="Times New Roman"/>
                <w:b w:val="0"/>
                <w:sz w:val="21"/>
              </w:rPr>
              <w:t>Manque de support didactique</w:t>
            </w:r>
          </w:p>
        </w:tc>
        <w:tc>
          <w:tcPr>
            <w:tcW w:type="dxa" w:w="1701"/>
          </w:tcPr>
          <w:p>
            <w:pPr>
              <w:spacing w:after="40" w:before="40" w:line="240" w:lineRule="auto"/>
              <w:jc w:val="center"/>
            </w:pPr>
            <w:r/>
            <w:r>
              <w:rPr>
                <w:rFonts w:ascii="Times New Roman" w:hAnsi="Times New Roman"/>
                <w:b w:val="0"/>
                <w:sz w:val="21"/>
              </w:rPr>
              <w:t>10</w:t>
            </w:r>
          </w:p>
        </w:tc>
        <w:tc>
          <w:tcPr>
            <w:tcW w:type="dxa" w:w="1701"/>
          </w:tcPr>
          <w:p>
            <w:pPr>
              <w:spacing w:after="40" w:before="40" w:line="240" w:lineRule="auto"/>
              <w:jc w:val="center"/>
            </w:pPr>
            <w:r/>
            <w:r>
              <w:rPr>
                <w:rFonts w:ascii="Times New Roman" w:hAnsi="Times New Roman"/>
                <w:b w:val="0"/>
                <w:sz w:val="21"/>
              </w:rPr>
              <w:t>66,7 %</w:t>
            </w:r>
          </w:p>
        </w:tc>
      </w:tr>
      <w:tr>
        <w:tc>
          <w:tcPr>
            <w:tcW w:type="dxa" w:w="5386"/>
          </w:tcPr>
          <w:p>
            <w:pPr>
              <w:spacing w:after="40" w:before="40" w:line="240" w:lineRule="auto"/>
              <w:jc w:val="left"/>
            </w:pPr>
            <w:r/>
            <w:r>
              <w:rPr>
                <w:rFonts w:ascii="Times New Roman" w:hAnsi="Times New Roman"/>
                <w:b w:val="0"/>
                <w:sz w:val="21"/>
              </w:rPr>
              <w:t>Non-maîtrise de l’alphabet et de la syllabation</w:t>
            </w:r>
          </w:p>
        </w:tc>
        <w:tc>
          <w:tcPr>
            <w:tcW w:type="dxa" w:w="1701"/>
          </w:tcPr>
          <w:p>
            <w:pPr>
              <w:spacing w:after="40" w:before="40" w:line="240" w:lineRule="auto"/>
              <w:jc w:val="center"/>
            </w:pPr>
            <w:r/>
            <w:r>
              <w:rPr>
                <w:rFonts w:ascii="Times New Roman" w:hAnsi="Times New Roman"/>
                <w:b w:val="0"/>
                <w:sz w:val="21"/>
              </w:rPr>
              <w:t>02</w:t>
            </w:r>
          </w:p>
        </w:tc>
        <w:tc>
          <w:tcPr>
            <w:tcW w:type="dxa" w:w="1701"/>
          </w:tcPr>
          <w:p>
            <w:pPr>
              <w:spacing w:after="40" w:before="40" w:line="240" w:lineRule="auto"/>
              <w:jc w:val="center"/>
            </w:pPr>
            <w:r/>
            <w:r>
              <w:rPr>
                <w:rFonts w:ascii="Times New Roman" w:hAnsi="Times New Roman"/>
                <w:b w:val="0"/>
                <w:sz w:val="21"/>
              </w:rPr>
              <w:t>13,3 %</w:t>
            </w:r>
          </w:p>
        </w:tc>
      </w:tr>
    </w:tbl>
    <w:p>
      <w:pPr>
        <w:spacing w:after="0"/>
      </w:pPr>
    </w:p>
    <w:p>
      <w:pPr>
        <w:spacing w:after="200"/>
        <w:jc w:val="left"/>
      </w:pPr>
      <w:r>
        <w:rPr>
          <w:rFonts w:ascii="Times New Roman" w:hAnsi="Times New Roman"/>
          <w:i/>
          <w:sz w:val="20"/>
        </w:rPr>
        <w:t>Source : dépouillement du questionnaire (n = 15).</w:t>
      </w:r>
    </w:p>
    <w:p>
      <w:pPr>
        <w:spacing w:after="120"/>
        <w:ind w:firstLine="567"/>
        <w:jc w:val="both"/>
      </w:pPr>
      <w:r>
        <w:rPr>
          <w:rFonts w:ascii="Times New Roman" w:hAnsi="Times New Roman"/>
          <w:b w:val="0"/>
          <w:i w:val="0"/>
          <w:sz w:val="24"/>
        </w:rPr>
        <w:t>Lecture et analyse. Les locuteurs non natifs, groupe le plus nombreux après les natifs, se distinguent par un équilibre parfait entre prononciation et compétences écrites (46,7 % chacune), toutes deux nettement inférieures au manque de support didactique (66,7 %), qui demeure ici encore le problème dominant. Quant à l’alphabet et à la syllabation, ils restent marginaux avec 13,3 %, ce qui témoigne d’une certaine cohérence : il s’agit de locuteurs déjà fonctionnels à l’oral, dans une autre variante ou par contact, et dont les difficultés se déplacent vers l’affinement des tons et de la norme d’écriture plutôt que vers les bases.</w:t>
      </w:r>
    </w:p>
    <w:p>
      <w:pPr>
        <w:spacing w:after="120"/>
        <w:ind w:firstLine="567"/>
        <w:jc w:val="both"/>
      </w:pPr>
      <w:r>
        <w:rPr>
          <w:rFonts w:ascii="Times New Roman" w:hAnsi="Times New Roman"/>
          <w:b w:val="0"/>
          <w:i w:val="0"/>
          <w:sz w:val="24"/>
        </w:rPr>
        <w:t>Données complémentaires. Au nombre de quinze, seuls quatre (26,7 %) ont suivi ce cours, dont deux en classe de troisième et deux en classe de première. Tous estiment que le volume horaire alloué au cours de langue éwé à l’ENFPE est insuffisant et que le contenu du cours ne permet pas une maîtrise suffisante de la langue. Sept (46,7 %) comprennent facilement le cours, contre huit (53,3 %) qui ne le comprennent pas. Aucun ne possède de manuel en éwégbé, mais tous reconnaissent l’importance de l’enseignement des langues nationales dans les ENFPE. Un estime avoir un bon niveau, dix se jugent moyens, un se voit faible tandis que trois se reconnaissent très faibles. Par ailleurs, un sur les quinze (6,7 %) trouve très bien, huit (53,3 %) considèrent normal, tandis que six (40 %) trouvent mauvais que les cours et les épreuves d’évaluation en langues nationales soient présentés en français. Quant aux méthodes pédagogiques, quatre (26,7 %) considèrent les cours comme magistraux.</w:t>
      </w:r>
    </w:p>
    <w:p>
      <w:pPr>
        <w:spacing w:after="120"/>
        <w:ind w:firstLine="567"/>
        <w:jc w:val="both"/>
      </w:pPr>
      <w:r>
        <w:rPr>
          <w:rFonts w:ascii="Times New Roman" w:hAnsi="Times New Roman"/>
          <w:b w:val="0"/>
          <w:i w:val="0"/>
          <w:sz w:val="24"/>
        </w:rPr>
        <w:t>Interprétation. Ce groupe occupe une position intermédiaire qui en fait le meilleur révélateur du caractère inadapté d’un enseignement uniforme. Ni débutant absolu, ni locuteur accompli, le non-natif est placé dans un dispositif qui présuppose des acquis qu’il ne possède qu’en partie. C’est l’unique groupe où une majorité déclare ne pas comprendre le cours (53,3 %), et c’est aussi celui dont l’unanimité se fait sur l’insuffisance du volume horaire. Il concentre ainsi, sans les bénéfices compensatoires des deux extrêmes, les effets de l’indifférenciation pédagogique.</w:t>
      </w:r>
    </w:p>
    <w:p>
      <w:pPr>
        <w:pStyle w:val="Heading3"/>
        <w:jc w:val="left"/>
      </w:pPr>
      <w:r>
        <w:t>4.3.4. Les locuteurs natifs (n = 20)</w:t>
      </w:r>
    </w:p>
    <w:p>
      <w:pPr>
        <w:keepNext/>
        <w:spacing w:before="200" w:after="80"/>
        <w:jc w:val="left"/>
      </w:pPr>
      <w:r>
        <w:rPr>
          <w:rFonts w:ascii="Times New Roman" w:hAnsi="Times New Roman"/>
          <w:b/>
          <w:sz w:val="22"/>
        </w:rPr>
        <w:t>Tableau 8 : Répartition des difficultés chez les locuteurs natifs (effectif total : 20)</w:t>
      </w:r>
    </w:p>
    <w:tbl>
      <w:tblPr>
        <w:tblStyle w:val="TableGrid"/>
        <w:tblW w:type="auto" w:w="0"/>
        <w:jc w:val="center"/>
        <w:tblLook w:firstColumn="1" w:firstRow="1" w:lastColumn="0" w:lastRow="0" w:noHBand="0" w:noVBand="1" w:val="04A0"/>
      </w:tblPr>
      <w:tblGrid>
        <w:gridCol w:w="2929"/>
        <w:gridCol w:w="2929"/>
        <w:gridCol w:w="2929"/>
      </w:tblGrid>
      <w:tr>
        <w:tc>
          <w:tcPr>
            <w:tcW w:type="dxa" w:w="5386"/>
            <w:shd w:val="clear" w:color="auto" w:fill="D9E2F3"/>
          </w:tcPr>
          <w:p>
            <w:pPr>
              <w:spacing w:after="40" w:before="40" w:line="240" w:lineRule="auto"/>
              <w:jc w:val="center"/>
            </w:pPr>
            <w:r/>
            <w:r>
              <w:rPr>
                <w:rFonts w:ascii="Times New Roman" w:hAnsi="Times New Roman"/>
                <w:b/>
                <w:sz w:val="21"/>
              </w:rPr>
              <w:t>Problème</w:t>
            </w:r>
          </w:p>
        </w:tc>
        <w:tc>
          <w:tcPr>
            <w:tcW w:type="dxa" w:w="1701"/>
            <w:shd w:val="clear" w:color="auto" w:fill="D9E2F3"/>
          </w:tcPr>
          <w:p>
            <w:pPr>
              <w:spacing w:after="40" w:before="40" w:line="240" w:lineRule="auto"/>
              <w:jc w:val="center"/>
            </w:pPr>
            <w:r/>
            <w:r>
              <w:rPr>
                <w:rFonts w:ascii="Times New Roman" w:hAnsi="Times New Roman"/>
                <w:b/>
                <w:sz w:val="21"/>
              </w:rPr>
              <w:t>Effectif</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5386"/>
          </w:tcPr>
          <w:p>
            <w:pPr>
              <w:spacing w:after="40" w:before="40" w:line="240" w:lineRule="auto"/>
              <w:jc w:val="left"/>
            </w:pPr>
            <w:r/>
            <w:r>
              <w:rPr>
                <w:rFonts w:ascii="Times New Roman" w:hAnsi="Times New Roman"/>
                <w:b w:val="0"/>
                <w:sz w:val="21"/>
              </w:rPr>
              <w:t>Prononciation (tons)</w:t>
            </w:r>
          </w:p>
        </w:tc>
        <w:tc>
          <w:tcPr>
            <w:tcW w:type="dxa" w:w="1701"/>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35 %</w:t>
            </w:r>
          </w:p>
        </w:tc>
      </w:tr>
      <w:tr>
        <w:tc>
          <w:tcPr>
            <w:tcW w:type="dxa" w:w="5386"/>
          </w:tcPr>
          <w:p>
            <w:pPr>
              <w:spacing w:after="40" w:before="40" w:line="240" w:lineRule="auto"/>
              <w:jc w:val="left"/>
            </w:pPr>
            <w:r/>
            <w:r>
              <w:rPr>
                <w:rFonts w:ascii="Times New Roman" w:hAnsi="Times New Roman"/>
                <w:b w:val="0"/>
                <w:sz w:val="21"/>
              </w:rPr>
              <w:t>Orthographe, grammaire, conjugaison, lecture, compréhension</w:t>
            </w:r>
          </w:p>
        </w:tc>
        <w:tc>
          <w:tcPr>
            <w:tcW w:type="dxa" w:w="1701"/>
          </w:tcPr>
          <w:p>
            <w:pPr>
              <w:spacing w:after="40" w:before="40" w:line="240" w:lineRule="auto"/>
              <w:jc w:val="center"/>
            </w:pPr>
            <w:r/>
            <w:r>
              <w:rPr>
                <w:rFonts w:ascii="Times New Roman" w:hAnsi="Times New Roman"/>
                <w:b w:val="0"/>
                <w:sz w:val="21"/>
              </w:rPr>
              <w:t>15</w:t>
            </w:r>
          </w:p>
        </w:tc>
        <w:tc>
          <w:tcPr>
            <w:tcW w:type="dxa" w:w="1701"/>
          </w:tcPr>
          <w:p>
            <w:pPr>
              <w:spacing w:after="40" w:before="40" w:line="240" w:lineRule="auto"/>
              <w:jc w:val="center"/>
            </w:pPr>
            <w:r/>
            <w:r>
              <w:rPr>
                <w:rFonts w:ascii="Times New Roman" w:hAnsi="Times New Roman"/>
                <w:b w:val="0"/>
                <w:sz w:val="21"/>
              </w:rPr>
              <w:t>75 %</w:t>
            </w:r>
          </w:p>
        </w:tc>
      </w:tr>
      <w:tr>
        <w:tc>
          <w:tcPr>
            <w:tcW w:type="dxa" w:w="5386"/>
          </w:tcPr>
          <w:p>
            <w:pPr>
              <w:spacing w:after="40" w:before="40" w:line="240" w:lineRule="auto"/>
              <w:jc w:val="left"/>
            </w:pPr>
            <w:r/>
            <w:r>
              <w:rPr>
                <w:rFonts w:ascii="Times New Roman" w:hAnsi="Times New Roman"/>
                <w:b w:val="0"/>
                <w:sz w:val="21"/>
              </w:rPr>
              <w:t>Manque de support didactique</w:t>
            </w:r>
          </w:p>
        </w:tc>
        <w:tc>
          <w:tcPr>
            <w:tcW w:type="dxa" w:w="1701"/>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30 %</w:t>
            </w:r>
          </w:p>
        </w:tc>
      </w:tr>
      <w:tr>
        <w:tc>
          <w:tcPr>
            <w:tcW w:type="dxa" w:w="5386"/>
          </w:tcPr>
          <w:p>
            <w:pPr>
              <w:spacing w:after="40" w:before="40" w:line="240" w:lineRule="auto"/>
              <w:jc w:val="left"/>
            </w:pPr>
            <w:r/>
            <w:r>
              <w:rPr>
                <w:rFonts w:ascii="Times New Roman" w:hAnsi="Times New Roman"/>
                <w:b w:val="0"/>
                <w:sz w:val="21"/>
              </w:rPr>
              <w:t>Non-maîtrise de l’alphabet et de la syllabation</w:t>
            </w:r>
          </w:p>
        </w:tc>
        <w:tc>
          <w:tcPr>
            <w:tcW w:type="dxa" w:w="1701"/>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30 %</w:t>
            </w:r>
          </w:p>
        </w:tc>
      </w:tr>
    </w:tbl>
    <w:p>
      <w:pPr>
        <w:spacing w:after="0"/>
      </w:pPr>
    </w:p>
    <w:p>
      <w:pPr>
        <w:spacing w:after="200"/>
        <w:jc w:val="left"/>
      </w:pPr>
      <w:r>
        <w:rPr>
          <w:rFonts w:ascii="Times New Roman" w:hAnsi="Times New Roman"/>
          <w:i/>
          <w:sz w:val="20"/>
        </w:rPr>
        <w:t>Source : dépouillement du questionnaire (n = 20).</w:t>
      </w:r>
    </w:p>
    <w:p>
      <w:pPr>
        <w:spacing w:after="120"/>
        <w:ind w:firstLine="567"/>
        <w:jc w:val="both"/>
      </w:pPr>
      <w:r>
        <w:rPr>
          <w:rFonts w:ascii="Times New Roman" w:hAnsi="Times New Roman"/>
          <w:b w:val="0"/>
          <w:i w:val="0"/>
          <w:sz w:val="24"/>
        </w:rPr>
        <w:t>Lecture et analyse. Il s’agit ici du résultat le plus frappant de l’enquête et, sans doute, de l’apport le plus significatif de la présente analyse. Chez les natifs, la prononciation n’est presque plus un problème : les 35 % relevés constituent le taux le plus bas des quatre groupes identifiés. Ces données confirment logiquement une maîtrise orale acquise nativement. En revanche, les difficultés en orthographe, en grammaire, en lecture et en compréhension atteignent 75 %, soit le taux le plus élevé de tout le tableau, tous groupes confondus.</w:t>
      </w:r>
    </w:p>
    <w:p>
      <w:pPr>
        <w:spacing w:after="120"/>
        <w:ind w:firstLine="567"/>
        <w:jc w:val="both"/>
      </w:pPr>
      <w:r>
        <w:rPr>
          <w:rFonts w:ascii="Times New Roman" w:hAnsi="Times New Roman"/>
          <w:b w:val="0"/>
          <w:i w:val="0"/>
          <w:sz w:val="24"/>
        </w:rPr>
        <w:t>Interprétation. Ce paradoxe apparent laisse transparaître une compétence orale native combinée à une fragilité marquée à l’écrit. Il trouve un ancrage théorique pertinent dans la notion de diglossie et dans le statut fonctionnel réservé à l’éwégbé face au français comme langue de scolarisation. Il révèle qu’un grand nombre de locuteurs natifs n’ont jamais été alphabétisés dans leur propre langue, faute d’un enseignement formel de l’éwégbé à l’école. Ce résultat interroge directement les politiques éducatives togolaises et la place accordée aux langues nationales dans les curricula.</w:t>
      </w:r>
    </w:p>
    <w:p>
      <w:pPr>
        <w:spacing w:after="120"/>
        <w:ind w:firstLine="567"/>
        <w:jc w:val="both"/>
      </w:pPr>
      <w:r>
        <w:rPr>
          <w:rFonts w:ascii="Times New Roman" w:hAnsi="Times New Roman"/>
          <w:b w:val="0"/>
          <w:i w:val="0"/>
          <w:sz w:val="24"/>
        </w:rPr>
        <w:t>Il illustre un phénomène bien documenté en sociolinguistique : la maîtrise orale ne garantit pas la maîtrise de l’écrit, surtout lorsque la langue est peu ou pas enseignée de façon formelle à l’école. Le manque de support didactique (30 %) et la non-maîtrise de l’alphabet (30 %) restent présents, mais demeurent secondaires par rapport au problème central, qui relève exclusivement de l’écrit standardisé.</w:t>
      </w:r>
    </w:p>
    <w:p>
      <w:pPr>
        <w:spacing w:after="120"/>
        <w:ind w:firstLine="567"/>
        <w:jc w:val="both"/>
      </w:pPr>
      <w:r>
        <w:rPr>
          <w:rFonts w:ascii="Times New Roman" w:hAnsi="Times New Roman"/>
          <w:b w:val="0"/>
          <w:i w:val="0"/>
          <w:sz w:val="24"/>
        </w:rPr>
        <w:t>Sur le plan théorique, ce constat invite à nuancer les typologies de locuteurs mobilisées dans ce mémoire : la catégorie de locuteur natif, si elle atteste d’une maîtrise orale, reste insuffisante pour appréhender la compétence linguistique dans sa globalité dès lors que la dimension écrite en est dissociée. Il fournit également un point d’ancrage empirique direct pour dialoguer avec les travaux d’Afeli sur les dispositifs de formation en éwégbé. Dans les termes de Cummins, on dira que les locuteurs natifs disposent de BICS élevées et de CALP quasi nulles en éwégbé — configuration exactement inverse de celle qu’exige l’enseignement d’une discipline dans cette langue.</w:t>
      </w:r>
    </w:p>
    <w:p>
      <w:pPr>
        <w:spacing w:after="120"/>
        <w:ind w:firstLine="567"/>
        <w:jc w:val="both"/>
      </w:pPr>
      <w:r>
        <w:rPr>
          <w:rFonts w:ascii="Times New Roman" w:hAnsi="Times New Roman"/>
          <w:b w:val="0"/>
          <w:i w:val="0"/>
          <w:sz w:val="24"/>
        </w:rPr>
        <w:t>Données complémentaires. Sur les vingt locuteurs natifs, quinze (75 %) ont suivi des cours d’éwégbé, dont huit de la troisième à la première, trois en classe de troisième, un en seconde et première, deux en terminale, un uniquement en première, et un autre en troisième, première, terminale puis à l’université. Dix-neuf sur vingt (95 %) comprennent facilement le cours. Un seul possède un manuel en éwégbé, mais l’estime inadapté au programme. Tous reconnaissent l’importance de l’enseignement des langues nationales dans les ENFPE. Onze estiment avoir un bon niveau, contre neuf qui se jugent moyens. Deux (10 %) jugent très bien et six (30 %) trouvent normal, tandis que douze (60 %) fustigent le fait que les cours et les épreuves d’évaluation en langues nationales soient présentés en français. Quant aux méthodes pédagogiques, les vingt locuteurs natifs, tout comme les locuteurs non catégorisés, estiment à 100 % que les cours se déroulent de façon participative, avec des travaux de groupe.</w:t>
      </w:r>
    </w:p>
    <w:p>
      <w:pPr>
        <w:pStyle w:val="Heading3"/>
        <w:jc w:val="left"/>
      </w:pPr>
      <w:r>
        <w:t>4.3.5. Lecture transversale : le gradient sociolinguistique</w:t>
      </w:r>
    </w:p>
    <w:p>
      <w:pPr>
        <w:spacing w:after="120"/>
        <w:ind w:firstLine="567"/>
        <w:jc w:val="both"/>
      </w:pPr>
      <w:r>
        <w:rPr>
          <w:rFonts w:ascii="Times New Roman" w:hAnsi="Times New Roman"/>
          <w:b w:val="0"/>
          <w:i w:val="0"/>
          <w:sz w:val="24"/>
        </w:rPr>
        <w:t>La mise en regard des quatre tableaux fait apparaître deux mouvements inverses et systématiques, qui constituent le résultat structurant de cette recherche.</w:t>
      </w:r>
    </w:p>
    <w:p>
      <w:pPr>
        <w:spacing w:after="120"/>
        <w:ind w:firstLine="567"/>
        <w:jc w:val="both"/>
      </w:pPr>
      <w:r>
        <w:rPr>
          <w:rFonts w:ascii="Times New Roman" w:hAnsi="Times New Roman"/>
          <w:b w:val="0"/>
          <w:i w:val="0"/>
          <w:sz w:val="24"/>
        </w:rPr>
        <w:t>Le premier mouvement est décroissant : le manque de support didactique passe de 85,7 % chez les non-locuteurs à 62,5 % chez les non catégorisés, 66,7 % chez les non-natifs et 30 % chez les natifs. Plus l’apprenant est proche de la langue, moins il dépend du matériel, parce qu’il dispose d’une ressource interne de substitution : sa propre compétence orale.</w:t>
      </w:r>
    </w:p>
    <w:p>
      <w:pPr>
        <w:spacing w:after="120"/>
        <w:ind w:firstLine="567"/>
        <w:jc w:val="both"/>
      </w:pPr>
      <w:r>
        <w:rPr>
          <w:rFonts w:ascii="Times New Roman" w:hAnsi="Times New Roman"/>
          <w:b w:val="0"/>
          <w:i w:val="0"/>
          <w:sz w:val="24"/>
        </w:rPr>
        <w:t>Le second mouvement est croissant : les difficultés à l’écrit passent de 57,1 % chez les non-locuteurs à 75 % chez les non catégorisés, redescendent à 46,7 % chez les non-natifs — seule irrégularité de la série — et culminent à 75 % chez les natifs. La non-maîtrise de l’alphabet, elle, suit une courbe en U : élevée chez les non-locuteurs (42,9 %), quasi nulle chez les non catégorisés (12,5 %) et les non-natifs (13,3 %), elle remonte à 30 % chez les natifs.</w:t>
      </w:r>
    </w:p>
    <w:p>
      <w:pPr>
        <w:spacing w:after="120"/>
        <w:ind w:firstLine="567"/>
        <w:jc w:val="both"/>
      </w:pPr>
      <w:r>
        <w:rPr>
          <w:rFonts w:ascii="Times New Roman" w:hAnsi="Times New Roman"/>
          <w:b w:val="0"/>
          <w:i w:val="0"/>
          <w:sz w:val="24"/>
        </w:rPr>
        <w:t>Cette courbe en U mérite qu’on s’y arrête, car elle est contre-intuitive : comment un locuteur natif peut-il ignorer l’alphabet de sa propre langue davantage qu’un locuteur non natif ? L’explication tient précisément au caractère oral de sa compétence. Le locuteur non natif a généralement acquis l’éwégbé dans un contexte où l’écrit était présent — école, église, milieu urbain —, tandis que le natif l’a reçu par transmission familiale exclusivement orale. Il n’a jamais eu besoin de l’alphabet pour parler ; il en découvre l’existence à l’ENFPE, à vingt ans passés. Ce résultat est l’expression la plus nette de ce que la réforme de 1975 n’a pas été appliquée.</w:t>
      </w:r>
    </w:p>
    <w:p>
      <w:pPr>
        <w:spacing w:after="120"/>
        <w:ind w:firstLine="567"/>
        <w:jc w:val="both"/>
      </w:pPr>
      <w:r>
        <w:rPr>
          <w:rFonts w:ascii="Times New Roman" w:hAnsi="Times New Roman"/>
          <w:b w:val="0"/>
          <w:i w:val="0"/>
          <w:sz w:val="24"/>
        </w:rPr>
        <w:t>En définitive, aucun des quatre profils n’est correctement servi par un dispositif unique. Le non-locuteur a besoin d’un enseignement ab initio ; le natif, d’une alphabétisation dans sa propre langue ; le non-natif, d’une remise à niveau structurée. Les regrouper dans un même groupe-classe, avec le même contenu, le même volume horaire et la même évaluation, revient à ne satisfaire aucun d’entre eux. C’est l’hypothèse HS5 — le contenu de la formation ne prépare pas suffisamment les élèves-professeurs — qui trouve ici sa confirmation la plus nette.</w:t>
      </w:r>
    </w:p>
    <w:p>
      <w:pPr>
        <w:pStyle w:val="Heading2"/>
        <w:jc w:val="left"/>
      </w:pPr>
      <w:r>
        <w:t>4.4. Le volume horaire : deux mesures, une même conclusion</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secondaire QS3 (les contenus, les méthodes et les modalités d’évaluation répondent-ils aux besoins des élèves-professeurs ?), éprouve l’hypothèse HS2 (le faible volume horaire et la prédominance des explications théoriques réduisent les occasions de pratiquer l’éwégbé) et sert l’objectif spécifique OS5.</w:t>
      </w:r>
    </w:p>
    <w:p>
      <w:pPr>
        <w:spacing w:after="120"/>
        <w:ind w:firstLine="567"/>
        <w:jc w:val="both"/>
      </w:pPr>
      <w:r>
        <w:rPr>
          <w:rFonts w:ascii="Times New Roman" w:hAnsi="Times New Roman"/>
          <w:b w:val="0"/>
          <w:i w:val="0"/>
          <w:sz w:val="24"/>
        </w:rPr>
        <w:t>Rappelons d’abord la donnée objective, obtenue auprès de l’administration et du formateur titulaire : le volume horaire consacré à l’unité d’enseignement « Langues nationales » s’élève à douze heures au semestre 1, douze heures au semestre 2 et dix-huit heures au semestre 3, soit quarante-deux heures au total sur deux ans. Les douze heures du semestre 1 étant entièrement consacrées à l’enseignement des instructions officielles et à quelques notions de langue, il reste trente heures de travail effectif sur la langue elle-même. Ce volume est par ailleurs partagé entre l’éwégbé et le kabiyè, qui constituent une seule et même unité d’enseignement.</w:t>
      </w:r>
    </w:p>
    <w:p>
      <w:pPr>
        <w:spacing w:after="120"/>
        <w:ind w:firstLine="567"/>
        <w:jc w:val="both"/>
      </w:pPr>
      <w:r>
        <w:rPr>
          <w:rFonts w:ascii="Times New Roman" w:hAnsi="Times New Roman"/>
          <w:b w:val="0"/>
          <w:i w:val="0"/>
          <w:sz w:val="24"/>
        </w:rPr>
        <w:t>Notre enquête a mesuré la perception qu’en ont les EPE au moyen de deux instruments distincts, qui donnent lieu aux tableaux 9 et 14. Plutôt que de retenir l’un et d’écarter l’autre, nous les présentons tous deux et nous expliquons ce qui les sépare.</w:t>
      </w:r>
    </w:p>
    <w:p>
      <w:pPr>
        <w:keepNext/>
        <w:spacing w:before="200" w:after="80"/>
        <w:jc w:val="left"/>
      </w:pPr>
      <w:r>
        <w:rPr>
          <w:rFonts w:ascii="Times New Roman" w:hAnsi="Times New Roman"/>
          <w:b/>
          <w:sz w:val="22"/>
        </w:rPr>
        <w:t>Tableau 9 : Appréciation du volume horaire par catégorie d’EPE (mentions spontanées)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Volume d’heures jugé insuffisant</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7</w:t>
            </w:r>
          </w:p>
        </w:tc>
        <w:tc>
          <w:tcPr>
            <w:tcW w:type="dxa" w:w="3005"/>
          </w:tcPr>
          <w:p>
            <w:pPr>
              <w:spacing w:after="40" w:before="40" w:line="240" w:lineRule="auto"/>
              <w:jc w:val="center"/>
            </w:pPr>
            <w:r/>
            <w:r>
              <w:rPr>
                <w:rFonts w:ascii="Times New Roman" w:hAnsi="Times New Roman"/>
                <w:b w:val="0"/>
                <w:sz w:val="21"/>
              </w:rPr>
              <w:t>6</w:t>
            </w:r>
          </w:p>
        </w:tc>
        <w:tc>
          <w:tcPr>
            <w:tcW w:type="dxa" w:w="1701"/>
          </w:tcPr>
          <w:p>
            <w:pPr>
              <w:spacing w:after="40" w:before="40" w:line="240" w:lineRule="auto"/>
              <w:jc w:val="center"/>
            </w:pPr>
            <w:r/>
            <w:r>
              <w:rPr>
                <w:rFonts w:ascii="Times New Roman" w:hAnsi="Times New Roman"/>
                <w:b w:val="0"/>
                <w:sz w:val="21"/>
              </w:rPr>
              <w:t>85,7 %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8</w:t>
            </w:r>
          </w:p>
        </w:tc>
        <w:tc>
          <w:tcPr>
            <w:tcW w:type="dxa" w:w="3005"/>
          </w:tcPr>
          <w:p>
            <w:pPr>
              <w:spacing w:after="40" w:before="40" w:line="240" w:lineRule="auto"/>
              <w:jc w:val="center"/>
            </w:pPr>
            <w:r/>
            <w:r>
              <w:rPr>
                <w:rFonts w:ascii="Times New Roman" w:hAnsi="Times New Roman"/>
                <w:b w:val="0"/>
                <w:sz w:val="21"/>
              </w:rPr>
              <w:t>3</w:t>
            </w:r>
          </w:p>
        </w:tc>
        <w:tc>
          <w:tcPr>
            <w:tcW w:type="dxa" w:w="1701"/>
          </w:tcPr>
          <w:p>
            <w:pPr>
              <w:spacing w:after="40" w:before="40" w:line="240" w:lineRule="auto"/>
              <w:jc w:val="center"/>
            </w:pPr>
            <w:r/>
            <w:r>
              <w:rPr>
                <w:rFonts w:ascii="Times New Roman" w:hAnsi="Times New Roman"/>
                <w:b w:val="0"/>
                <w:sz w:val="21"/>
              </w:rPr>
              <w:t>37,5 %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10</w:t>
            </w:r>
          </w:p>
        </w:tc>
        <w:tc>
          <w:tcPr>
            <w:tcW w:type="dxa" w:w="1701"/>
          </w:tcPr>
          <w:p>
            <w:pPr>
              <w:spacing w:after="40" w:before="40" w:line="240" w:lineRule="auto"/>
              <w:jc w:val="center"/>
            </w:pPr>
            <w:r/>
            <w:r>
              <w:rPr>
                <w:rFonts w:ascii="Times New Roman" w:hAnsi="Times New Roman"/>
                <w:b w:val="0"/>
                <w:sz w:val="21"/>
              </w:rPr>
              <w:t>66,7 %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7</w:t>
            </w:r>
          </w:p>
        </w:tc>
        <w:tc>
          <w:tcPr>
            <w:tcW w:type="dxa" w:w="1701"/>
          </w:tcPr>
          <w:p>
            <w:pPr>
              <w:spacing w:after="40" w:before="40" w:line="240" w:lineRule="auto"/>
              <w:jc w:val="center"/>
            </w:pPr>
            <w:r/>
            <w:r>
              <w:rPr>
                <w:rFonts w:ascii="Times New Roman" w:hAnsi="Times New Roman"/>
                <w:b w:val="0"/>
                <w:sz w:val="21"/>
              </w:rPr>
              <w:t>35 %</w:t>
            </w:r>
          </w:p>
        </w:tc>
      </w:tr>
      <w:tr>
        <w:tc>
          <w:tcPr>
            <w:tcW w:type="dxa" w:w="2835"/>
          </w:tcPr>
          <w:p>
            <w:pPr>
              <w:spacing w:after="40" w:before="40" w:line="240" w:lineRule="auto"/>
              <w:jc w:val="left"/>
            </w:pPr>
            <w:r/>
            <w:r>
              <w:rPr>
                <w:rFonts w:ascii="Times New Roman" w:hAnsi="Times New Roman"/>
                <w:b w:val="0"/>
                <w:sz w:val="21"/>
              </w:rPr>
              <w:t>Total</w:t>
            </w:r>
          </w:p>
        </w:tc>
        <w:tc>
          <w:tcPr>
            <w:tcW w:type="dxa" w:w="1247"/>
          </w:tcPr>
          <w:p>
            <w:pPr>
              <w:spacing w:after="40" w:before="40" w:line="240" w:lineRule="auto"/>
              <w:jc w:val="center"/>
            </w:pPr>
            <w:r/>
            <w:r>
              <w:rPr>
                <w:rFonts w:ascii="Times New Roman" w:hAnsi="Times New Roman"/>
                <w:b w:val="0"/>
                <w:sz w:val="21"/>
              </w:rPr>
              <w:t>50</w:t>
            </w:r>
          </w:p>
        </w:tc>
        <w:tc>
          <w:tcPr>
            <w:tcW w:type="dxa" w:w="3005"/>
          </w:tcPr>
          <w:p>
            <w:pPr>
              <w:spacing w:after="40" w:before="40" w:line="240" w:lineRule="auto"/>
              <w:jc w:val="center"/>
            </w:pPr>
            <w:r/>
            <w:r>
              <w:rPr>
                <w:rFonts w:ascii="Times New Roman" w:hAnsi="Times New Roman"/>
                <w:b w:val="0"/>
                <w:sz w:val="21"/>
              </w:rPr>
              <w:t>26</w:t>
            </w:r>
          </w:p>
        </w:tc>
        <w:tc>
          <w:tcPr>
            <w:tcW w:type="dxa" w:w="1701"/>
          </w:tcPr>
          <w:p>
            <w:pPr>
              <w:spacing w:after="40" w:before="40" w:line="240" w:lineRule="auto"/>
              <w:jc w:val="center"/>
            </w:pPr>
            <w:r/>
            <w:r>
              <w:rPr>
                <w:rFonts w:ascii="Times New Roman" w:hAnsi="Times New Roman"/>
                <w:b w:val="0"/>
                <w:sz w:val="21"/>
              </w:rPr>
              <w:t>52 %</w:t>
            </w:r>
          </w:p>
        </w:tc>
      </w:tr>
    </w:tbl>
    <w:p>
      <w:pPr>
        <w:spacing w:after="0"/>
      </w:pPr>
    </w:p>
    <w:p>
      <w:pPr>
        <w:spacing w:after="200"/>
        <w:jc w:val="left"/>
      </w:pPr>
      <w:r>
        <w:rPr>
          <w:rFonts w:ascii="Times New Roman" w:hAnsi="Times New Roman"/>
          <w:i/>
          <w:sz w:val="20"/>
        </w:rPr>
        <w:t>Source : dépouillement des réponses ouvertes à la rubrique « difficultés rencontrées » (n = 50).</w:t>
      </w:r>
    </w:p>
    <w:p>
      <w:pPr>
        <w:keepNext/>
        <w:spacing w:before="200" w:after="80"/>
        <w:jc w:val="left"/>
      </w:pPr>
      <w:r>
        <w:rPr>
          <w:rFonts w:ascii="Times New Roman" w:hAnsi="Times New Roman"/>
          <w:b/>
          <w:sz w:val="22"/>
        </w:rPr>
        <w:t>Tableau 14 : Volume horaire jugé insuffisant (question fermée)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Jugent insuffisant</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85,7 %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75 %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15</w:t>
            </w:r>
          </w:p>
        </w:tc>
        <w:tc>
          <w:tcPr>
            <w:tcW w:type="dxa" w:w="1701"/>
          </w:tcPr>
          <w:p>
            <w:pPr>
              <w:spacing w:after="40" w:before="40" w:line="240" w:lineRule="auto"/>
              <w:jc w:val="center"/>
            </w:pPr>
            <w:r/>
            <w:r>
              <w:rPr>
                <w:rFonts w:ascii="Times New Roman" w:hAnsi="Times New Roman"/>
                <w:b w:val="0"/>
                <w:sz w:val="21"/>
              </w:rPr>
              <w:t>100 %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16</w:t>
            </w:r>
          </w:p>
        </w:tc>
        <w:tc>
          <w:tcPr>
            <w:tcW w:type="dxa" w:w="1701"/>
          </w:tcPr>
          <w:p>
            <w:pPr>
              <w:spacing w:after="40" w:before="40" w:line="240" w:lineRule="auto"/>
              <w:jc w:val="center"/>
            </w:pPr>
            <w:r/>
            <w:r>
              <w:rPr>
                <w:rFonts w:ascii="Times New Roman" w:hAnsi="Times New Roman"/>
                <w:b w:val="0"/>
                <w:sz w:val="21"/>
              </w:rPr>
              <w:t>80 %</w:t>
            </w:r>
          </w:p>
        </w:tc>
      </w:tr>
    </w:tbl>
    <w:p>
      <w:pPr>
        <w:spacing w:after="0"/>
      </w:pPr>
    </w:p>
    <w:p>
      <w:pPr>
        <w:spacing w:after="200"/>
        <w:jc w:val="left"/>
      </w:pPr>
      <w:r>
        <w:rPr>
          <w:rFonts w:ascii="Times New Roman" w:hAnsi="Times New Roman"/>
          <w:i/>
          <w:sz w:val="20"/>
        </w:rPr>
        <w:t>Source : dépouillement de l’item fermé du questionnaire (n = 50).</w:t>
      </w:r>
    </w:p>
    <w:p>
      <w:pPr>
        <w:spacing w:before="120" w:after="160"/>
        <w:ind w:left="340" w:right="170"/>
        <w:jc w:val="both"/>
      </w:pPr>
      <w:r>
        <w:rPr>
          <w:rFonts w:ascii="Times New Roman" w:hAnsi="Times New Roman"/>
          <w:b/>
          <w:sz w:val="22"/>
        </w:rPr>
        <w:t xml:space="preserve">Note méthodologique sur l’écart entre les tableaux 9 et 14 — </w:t>
      </w:r>
      <w:r>
        <w:rPr>
          <w:rFonts w:ascii="Times New Roman" w:hAnsi="Times New Roman"/>
          <w:sz w:val="22"/>
        </w:rPr>
        <w:t>Ces deux tableaux portent sur la même variable — le caractère suffisant ou non du volume horaire — mais ne procèdent pas du même mode de recueil, ce qui explique leur divergence. Le tableau 9 comptabilise les mentions spontanées : il recense les EPE qui, invités à énumérer librement les difficultés rencontrées, ont cité d’eux-mêmes le manque d’heures. Le tableau 14 comptabilise les réponses à un item fermé, où la question était explicitement posée. L’écart observé — 52 % contre une moyenne largement supérieure à 80 % — est exactement celui que la méthodologie d’enquête conduit à attendre : un facteur est toujours moins souvent cité spontanément qu’approuvé lorsqu’il est proposé. Les données individuelles rapportées aux sections 4.3.1 à 4.3.4 corroborent les chiffres du tableau 14 : six non-locuteurs sur sept, six locuteurs non catégorisés sur huit et la totalité des quinze locuteurs non natifs y déclarent le volume horaire insuffisant. C’est donc le tableau 14 que nous retenons comme mesure de référence, le tableau 9 conservant sa valeur propre d’indicateur de saillance, c’est-à-dire du degré auquel chaque groupe perçoit ce facteur comme sa difficulté première. Nous signalons enfin une coquille dans le document de travail initial, qui portait « 74,5 % » au lieu de 75 % pour six répondants sur huit ; elle est corrigée ici.</w:t>
      </w:r>
    </w:p>
    <w:p>
      <w:pPr>
        <w:spacing w:after="120"/>
        <w:ind w:firstLine="567"/>
        <w:jc w:val="both"/>
      </w:pPr>
      <w:r>
        <w:rPr>
          <w:rFonts w:ascii="Times New Roman" w:hAnsi="Times New Roman"/>
          <w:b w:val="0"/>
          <w:i w:val="0"/>
          <w:sz w:val="24"/>
        </w:rPr>
        <w:t>Analyse du tableau 9 (saillance du facteur horaire). Les 85,7 % de non-locuteurs qui citent spontanément le volume horaire constituent de loin le taux le plus élevé des quatre catégories : plus de huit non-locuteurs sur dix estiment d’emblée que le temps qui leur est consacré est insuffisant. Ce résultat s’articule directement avec l’analyse précédente sur le manque de support didactique, qui atteint le même taux de 85,7 % dans ce groupe. Les deux facteurs se renforcent mutuellement : un apprenant partant de zéro a besoin de davantage de temps d’exposition à la langue pour compenser l’absence de repères antérieurs, et un volume horaire réduit ne peut qu’aggraver de façon mécanique les effets d’un matériel pédagogique déjà insuffisant. Ce cumul de temps et de matériel permet d’affirmer que les non-locuteurs cumulent les désavantages structurels, ce qui pourrait expliquer un taux d’abandon plus élevé dans ce groupe.</w:t>
      </w:r>
    </w:p>
    <w:p>
      <w:pPr>
        <w:spacing w:after="120"/>
        <w:ind w:firstLine="567"/>
        <w:jc w:val="both"/>
      </w:pPr>
      <w:r>
        <w:rPr>
          <w:rFonts w:ascii="Times New Roman" w:hAnsi="Times New Roman"/>
          <w:b w:val="0"/>
          <w:i w:val="0"/>
          <w:sz w:val="24"/>
        </w:rPr>
        <w:t>Les locuteurs non catégorisés présentent, à l’inverse, le taux de saillance le plus faible du tableau (37,5 %). Ce résultat est cohérent avec le profil déjà dégagé pour ce groupe : disposant d’une oralité installée, ils se sentent moins pénalisés par le volume horaire, leurs difficultés se situant surtout du côté de l’écrit — orthographe et grammaire, 75 % — plutôt que du temps d’exposition à la langue. On peut alors considérer que le facteur « heures de cours » pèse différemment selon qu’il s’agit d’acquérir une compétence orale de base, où le temps est déterminant, ou de consolider une compétence écrite, où c’est davantage la qualité de l’encadrement qui compte.</w:t>
      </w:r>
    </w:p>
    <w:p>
      <w:pPr>
        <w:spacing w:after="120"/>
        <w:ind w:firstLine="567"/>
        <w:jc w:val="both"/>
      </w:pPr>
      <w:r>
        <w:rPr>
          <w:rFonts w:ascii="Times New Roman" w:hAnsi="Times New Roman"/>
          <w:b w:val="0"/>
          <w:i w:val="0"/>
          <w:sz w:val="24"/>
        </w:rPr>
        <w:t>Les locuteurs non natifs constituent le deuxième taux de saillance le plus élevé (66,7 %), confirmant le profil intermédiaire déjà observé. Déjà engagés dans un apprentissage volontaire mais toujours en construction, ils ont besoin d’un temps sensiblement plus conséquent que celui actuellement appliqué au sein des ENFPE. Mis en rapport avec leur déficit de support didactique, exprimé à 66,7 % également, ce résultat révèle une convergence qui, loin d’être une coïncidence, traduit un même déficit global d’investissement pédagogique à l’endroit de ce groupe.</w:t>
      </w:r>
    </w:p>
    <w:p>
      <w:pPr>
        <w:spacing w:after="120"/>
        <w:ind w:firstLine="567"/>
        <w:jc w:val="both"/>
      </w:pPr>
      <w:r>
        <w:rPr>
          <w:rFonts w:ascii="Times New Roman" w:hAnsi="Times New Roman"/>
          <w:b w:val="0"/>
          <w:i w:val="0"/>
          <w:sz w:val="24"/>
        </w:rPr>
        <w:t>Chez les locuteurs natifs enfin, le taux relativement bas de 35 % reflète la nature de leurs difficultés dominantes : leur problème porte principalement sur l’écrit — orthographe et grammaire, 75 % — et non sur l’exposition orale à une langue qu’ils maîtrisent déjà nativement. Dans ce contexte, il apparaît clairement que l’insuffisance du volume horaire est moins déterminante pour eux. Autrement dit, chez les locuteurs natifs, ce n’est pas forcément la quantité d’enseignement qui fait défaut, mais sa nature : un enseignement davantage centré sur la norme écrite serait plus efficace qu’un simple ajout d’heures.</w:t>
      </w:r>
    </w:p>
    <w:p>
      <w:pPr>
        <w:spacing w:after="120"/>
        <w:ind w:firstLine="567"/>
        <w:jc w:val="both"/>
      </w:pPr>
      <w:r>
        <w:rPr>
          <w:rFonts w:ascii="Times New Roman" w:hAnsi="Times New Roman"/>
          <w:b w:val="0"/>
          <w:i w:val="0"/>
          <w:sz w:val="24"/>
        </w:rPr>
        <w:t>Analyse du tableau 14 (jugement sollicité). Lorsque la question est posée directement, le constat devient quasi unanime et constitue le facteur le plus consensuel de toute notre enquête. La totalité des locuteurs non natifs (100 %) juge le volume horaire insuffisant ; viennent ensuite les non-locuteurs (85,7 %), les locuteurs natifs (80 %) et les locuteurs non catégorisés (75 %). Aucun groupe ne descend sous la barre des trois quarts. Ce résultat est d’une portée considérable : il signifie que, par-delà des profils sociolinguistiques radicalement différents et des difficultés de nature opposée, l’ensemble de la promotion converge sur un seul et même diagnostic.</w:t>
      </w:r>
    </w:p>
    <w:p>
      <w:pPr>
        <w:spacing w:after="120"/>
        <w:ind w:firstLine="567"/>
        <w:jc w:val="both"/>
      </w:pPr>
      <w:r>
        <w:rPr>
          <w:rFonts w:ascii="Times New Roman" w:hAnsi="Times New Roman"/>
          <w:b w:val="0"/>
          <w:i w:val="0"/>
          <w:sz w:val="24"/>
        </w:rPr>
        <w:t>Synthèse. En rapprochant les deux mesures, on obtient une lecture fine et non redondante : tous les groupes jugent le volume horaire insuffisant (tableau 14), mais tous ne le considèrent pas comme leur problème premier (tableau 9). Pour les non-locuteurs et les non-natifs, le temps est le problème ; pour les natifs et les non catégorisés, il n’est qu’un problème parmi d’autres, subordonné à la question de la nature de l’enseignement. L’hypothèse HS2 est donc confirmée, mais elle appelle une précision que la formulation initiale ne comportait pas : augmenter le volume horaire est nécessaire pour tous, et suffisant pour aucun.</w:t>
      </w:r>
    </w:p>
    <w:p>
      <w:pPr>
        <w:spacing w:after="120"/>
        <w:ind w:firstLine="567"/>
        <w:jc w:val="both"/>
      </w:pPr>
      <w:r>
        <w:rPr>
          <w:rFonts w:ascii="Times New Roman" w:hAnsi="Times New Roman"/>
          <w:b w:val="0"/>
          <w:i w:val="0"/>
          <w:sz w:val="24"/>
        </w:rPr>
        <w:t>Sur le plan théorique, ces trente heures effectives doivent être rapportées au modèle de Cummins, qui postule cinq à sept années pour développer des compétences cognitives et académiques dans une langue. L’écart n’est pas de degré mais d’ordre de grandeur. Aucun aménagement horaire réaliste ne comblera un tel écart dans le cadre d’une formation de deux ans ; ce qui signifie que la solution ne peut être cherchée exclusivement à l’intérieur des ENFPE, mais doit remonter en amont, vers l’enseignement de la langue au primaire et au secondaire. C’est là l’une des conclusions majeures de ce mémoire.</w:t>
      </w:r>
    </w:p>
    <w:p>
      <w:pPr>
        <w:pStyle w:val="Heading2"/>
        <w:jc w:val="left"/>
      </w:pPr>
      <w:r>
        <w:t>4.5. Le contenu de la formation : adaptation et suffisance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secondaire QS3, éprouve l’hypothèse HS5 (le contenu de la formation ne prépare pas suffisamment les élèves-professeurs à utiliser l’éwégbé pour enseigner certaines notions scolaires) et sert l’objectif spécifique OS3.</w:t>
      </w:r>
    </w:p>
    <w:p>
      <w:pPr>
        <w:spacing w:after="120"/>
        <w:ind w:firstLine="567"/>
        <w:jc w:val="both"/>
      </w:pPr>
      <w:r>
        <w:rPr>
          <w:rFonts w:ascii="Times New Roman" w:hAnsi="Times New Roman"/>
          <w:b w:val="0"/>
          <w:i w:val="0"/>
          <w:sz w:val="24"/>
        </w:rPr>
        <w:t>Comme pour le volume horaire, deux tableaux documentent la question du contenu. Ils ne mesurent cependant pas la même chose, et c’est précisément leur écart qui est instructif. Le tableau 10 recense les EPE ayant spontanément déclaré que le contenu était inadapté à leurs besoins ; le tableau 15 recense ceux qui, interrogés directement, jugent que le contenu ne permet pas une maîtrise suffisante de la langue. La première question porte sur l’adéquation au profil, la seconde sur la suffisance au regard de l’objectif.</w:t>
      </w:r>
    </w:p>
    <w:p>
      <w:pPr>
        <w:keepNext/>
        <w:spacing w:before="200" w:after="80"/>
        <w:jc w:val="left"/>
      </w:pPr>
      <w:r>
        <w:rPr>
          <w:rFonts w:ascii="Times New Roman" w:hAnsi="Times New Roman"/>
          <w:b/>
          <w:sz w:val="22"/>
        </w:rPr>
        <w:t>Tableau 10 : Contenu jugé non adapté (mentions spontanées)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Contenu non adapté</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00</w:t>
            </w:r>
          </w:p>
        </w:tc>
        <w:tc>
          <w:tcPr>
            <w:tcW w:type="dxa" w:w="1701"/>
          </w:tcPr>
          <w:p>
            <w:pPr>
              <w:spacing w:after="40" w:before="40" w:line="240" w:lineRule="auto"/>
              <w:jc w:val="center"/>
            </w:pPr>
            <w:r/>
            <w:r>
              <w:rPr>
                <w:rFonts w:ascii="Times New Roman" w:hAnsi="Times New Roman"/>
                <w:b w:val="0"/>
                <w:sz w:val="21"/>
              </w:rPr>
              <w:t>0 %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01</w:t>
            </w:r>
          </w:p>
        </w:tc>
        <w:tc>
          <w:tcPr>
            <w:tcW w:type="dxa" w:w="1701"/>
          </w:tcPr>
          <w:p>
            <w:pPr>
              <w:spacing w:after="40" w:before="40" w:line="240" w:lineRule="auto"/>
              <w:jc w:val="center"/>
            </w:pPr>
            <w:r/>
            <w:r>
              <w:rPr>
                <w:rFonts w:ascii="Times New Roman" w:hAnsi="Times New Roman"/>
                <w:b w:val="0"/>
                <w:sz w:val="21"/>
              </w:rPr>
              <w:t>12,5 %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26,7 %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30 %</w:t>
            </w:r>
          </w:p>
        </w:tc>
      </w:tr>
      <w:tr>
        <w:tc>
          <w:tcPr>
            <w:tcW w:type="dxa" w:w="2835"/>
          </w:tcPr>
          <w:p>
            <w:pPr>
              <w:spacing w:after="40" w:before="40" w:line="240" w:lineRule="auto"/>
              <w:jc w:val="left"/>
            </w:pPr>
            <w:r/>
            <w:r>
              <w:rPr>
                <w:rFonts w:ascii="Times New Roman" w:hAnsi="Times New Roman"/>
                <w:b w:val="0"/>
                <w:sz w:val="21"/>
              </w:rPr>
              <w:t>Total</w:t>
            </w:r>
          </w:p>
        </w:tc>
        <w:tc>
          <w:tcPr>
            <w:tcW w:type="dxa" w:w="1247"/>
          </w:tcPr>
          <w:p>
            <w:pPr>
              <w:spacing w:after="40" w:before="40" w:line="240" w:lineRule="auto"/>
              <w:jc w:val="center"/>
            </w:pPr>
            <w:r/>
            <w:r>
              <w:rPr>
                <w:rFonts w:ascii="Times New Roman" w:hAnsi="Times New Roman"/>
                <w:b w:val="0"/>
                <w:sz w:val="21"/>
              </w:rPr>
              <w:t>50</w:t>
            </w:r>
          </w:p>
        </w:tc>
        <w:tc>
          <w:tcPr>
            <w:tcW w:type="dxa" w:w="3005"/>
          </w:tcPr>
          <w:p>
            <w:pPr>
              <w:spacing w:after="40" w:before="40" w:line="240" w:lineRule="auto"/>
              <w:jc w:val="center"/>
            </w:pPr>
            <w:r/>
            <w:r>
              <w:rPr>
                <w:rFonts w:ascii="Times New Roman" w:hAnsi="Times New Roman"/>
                <w:b w:val="0"/>
                <w:sz w:val="21"/>
              </w:rPr>
              <w:t>11</w:t>
            </w:r>
          </w:p>
        </w:tc>
        <w:tc>
          <w:tcPr>
            <w:tcW w:type="dxa" w:w="1701"/>
          </w:tcPr>
          <w:p>
            <w:pPr>
              <w:spacing w:after="40" w:before="40" w:line="240" w:lineRule="auto"/>
              <w:jc w:val="center"/>
            </w:pPr>
            <w:r/>
            <w:r>
              <w:rPr>
                <w:rFonts w:ascii="Times New Roman" w:hAnsi="Times New Roman"/>
                <w:b w:val="0"/>
                <w:sz w:val="21"/>
              </w:rPr>
              <w:t>22 %</w:t>
            </w:r>
          </w:p>
        </w:tc>
      </w:tr>
    </w:tbl>
    <w:p>
      <w:pPr>
        <w:spacing w:after="0"/>
      </w:pPr>
    </w:p>
    <w:p>
      <w:pPr>
        <w:spacing w:after="200"/>
        <w:jc w:val="left"/>
      </w:pPr>
      <w:r>
        <w:rPr>
          <w:rFonts w:ascii="Times New Roman" w:hAnsi="Times New Roman"/>
          <w:i/>
          <w:sz w:val="20"/>
        </w:rPr>
        <w:t>Source : dépouillement des réponses ouvertes (n = 50).</w:t>
      </w:r>
    </w:p>
    <w:p>
      <w:pPr>
        <w:spacing w:after="120"/>
        <w:ind w:firstLine="567"/>
        <w:jc w:val="both"/>
      </w:pPr>
      <w:r>
        <w:rPr>
          <w:rFonts w:ascii="Times New Roman" w:hAnsi="Times New Roman"/>
          <w:b w:val="0"/>
          <w:i w:val="0"/>
          <w:sz w:val="24"/>
        </w:rPr>
        <w:t>Analyse du tableau 10. On note à première vue un résultat remarquable et contre-intuitif : aucun non-locuteur ne mentionne un contenu inadapté, alors que c’est dans ce groupe que l’on relève les plus forts taux de difficultés sur tous les autres indicateurs — 85,7 % en manque de support didactique comme en heures de cours insuffisantes, et 71,4 % en prononciation. Ce résultat mérite une discussion prudente plutôt qu’une lecture positive immédiate. Un non-locuteur, par définition, n’a aucun repère préalable pour juger de l’adéquation du contenu qu’on lui propose : découvrant la langue, il ne saurait s’appuyer sur aucune base de comparaison. L’absence de plainte sur ce point ne signifie donc pas que le contenu est bien calibré, mais plutôt que ce public n’est pas en position d’en évaluer l’adéquation. Il serait par conséquent peu judicieux d’interpréter cette abstention (0 %) comme une absence réelle de problème.</w:t>
      </w:r>
    </w:p>
    <w:p>
      <w:pPr>
        <w:spacing w:after="120"/>
        <w:ind w:firstLine="567"/>
        <w:jc w:val="both"/>
      </w:pPr>
      <w:r>
        <w:rPr>
          <w:rFonts w:ascii="Times New Roman" w:hAnsi="Times New Roman"/>
          <w:b w:val="0"/>
          <w:i w:val="0"/>
          <w:sz w:val="24"/>
        </w:rPr>
        <w:t>On note ensuite un taux faible mais cohérent (12,5 %) chez les locuteurs non catégorisés. Disposant d’une oralité installée, ces derniers jugent, consciemment ou non, le contenu proposé globalement compatible avec leurs besoins, tout en concentrant leurs difficultés ailleurs, notamment à l’écrit (75 %). Ce résultat confirme qu’il s’agit bien, pour ce maillon, d’une question de transposition didactique : le problème n’est pas ce qui est enseigné, mais la manière dont on l’enseigne.</w:t>
      </w:r>
    </w:p>
    <w:p>
      <w:pPr>
        <w:spacing w:after="120"/>
        <w:ind w:firstLine="567"/>
        <w:jc w:val="both"/>
      </w:pPr>
      <w:r>
        <w:rPr>
          <w:rFonts w:ascii="Times New Roman" w:hAnsi="Times New Roman"/>
          <w:b w:val="0"/>
          <w:i w:val="0"/>
          <w:sz w:val="24"/>
        </w:rPr>
        <w:t>On enregistre par ailleurs une nette hausse (26,7 %) chez les locuteurs non natifs, ce qui indique qu’une part notable de ce public commence à ressentir un décalage entre le contenu proposé et ses besoins réels. Détenteurs d’une compétence linguistique partielle, ils sont mieux placés que les non-locuteurs pour identifier les limites du contenu pédagogique. C’est ce qui explique qu’un facteur quasi invisible chez les débutants absolus devienne perceptible chez eux : la capacité à évaluer l’adéquation d’un contenu croît avec le niveau de compétence déjà acquis par celui qui l’évalue.</w:t>
      </w:r>
    </w:p>
    <w:p>
      <w:pPr>
        <w:spacing w:after="120"/>
        <w:ind w:firstLine="567"/>
        <w:jc w:val="both"/>
      </w:pPr>
      <w:r>
        <w:rPr>
          <w:rFonts w:ascii="Times New Roman" w:hAnsi="Times New Roman"/>
          <w:b w:val="0"/>
          <w:i w:val="0"/>
          <w:sz w:val="24"/>
        </w:rPr>
        <w:t>Les locuteurs natifs détiennent enfin le taux le plus élevé (30 %). Ici aussi, le résultat s’inscrit en cohérence avec le profil dégagé en amont. Dotés d’une compétence orale native mais d’une expérience scolaire de l’éwégbé souvent limitée ou inexistante, en raison de la non-mise en œuvre effective de la réforme de 1975, les locuteurs natifs sont les mieux placés pour percevoir un décalage entre le contenu proposé et leurs besoins réels, centrés sur l’écrit et la norme. Nous ne saurions perdre de vue que le contenu est le plus souvent construit autour d’une progression portant sur l’alphabet et les structures de base, qui n’apporte que peu aux natifs.</w:t>
      </w:r>
    </w:p>
    <w:p>
      <w:pPr>
        <w:spacing w:after="120"/>
        <w:ind w:firstLine="567"/>
        <w:jc w:val="both"/>
      </w:pPr>
      <w:r>
        <w:rPr>
          <w:rFonts w:ascii="Times New Roman" w:hAnsi="Times New Roman"/>
          <w:b w:val="0"/>
          <w:i w:val="0"/>
          <w:sz w:val="24"/>
        </w:rPr>
        <w:t>Ce résultat confirme donc l’argument avancé plus haut : un contenu pensé de façon uniforme, sans distinction entre les différents profils, désavantage considérablement les locuteurs natifs, dont les besoins pédagogiques sont qualitativement différents de ceux des autres catégories. Il faut noter que le gradient croissant observé ici — 0 %, 12,5 %, 26,7 %, 30 % — est l’exact inverse de celui du manque de support didactique. Cette symétrie n’est pas fortuite : elle mesure la capacité critique des apprenants, qui croît avec leur compétence.</w:t>
      </w:r>
    </w:p>
    <w:p>
      <w:pPr>
        <w:keepNext/>
        <w:spacing w:before="200" w:after="80"/>
        <w:jc w:val="left"/>
      </w:pPr>
      <w:r>
        <w:rPr>
          <w:rFonts w:ascii="Times New Roman" w:hAnsi="Times New Roman"/>
          <w:b/>
          <w:sz w:val="22"/>
        </w:rPr>
        <w:t>Tableau 15 : Contenu du cours jugé insuffisant pour une maîtrise de la langue (question fermée)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Jugent insuffisant</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85,7 %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87,5 %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15</w:t>
            </w:r>
          </w:p>
        </w:tc>
        <w:tc>
          <w:tcPr>
            <w:tcW w:type="dxa" w:w="1701"/>
          </w:tcPr>
          <w:p>
            <w:pPr>
              <w:spacing w:after="40" w:before="40" w:line="240" w:lineRule="auto"/>
              <w:jc w:val="center"/>
            </w:pPr>
            <w:r/>
            <w:r>
              <w:rPr>
                <w:rFonts w:ascii="Times New Roman" w:hAnsi="Times New Roman"/>
                <w:b w:val="0"/>
                <w:sz w:val="21"/>
              </w:rPr>
              <w:t>100 %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16</w:t>
            </w:r>
          </w:p>
        </w:tc>
        <w:tc>
          <w:tcPr>
            <w:tcW w:type="dxa" w:w="1701"/>
          </w:tcPr>
          <w:p>
            <w:pPr>
              <w:spacing w:after="40" w:before="40" w:line="240" w:lineRule="auto"/>
              <w:jc w:val="center"/>
            </w:pPr>
            <w:r/>
            <w:r>
              <w:rPr>
                <w:rFonts w:ascii="Times New Roman" w:hAnsi="Times New Roman"/>
                <w:b w:val="0"/>
                <w:sz w:val="21"/>
              </w:rPr>
              <w:t>80 %</w:t>
            </w:r>
          </w:p>
        </w:tc>
      </w:tr>
    </w:tbl>
    <w:p>
      <w:pPr>
        <w:spacing w:after="0"/>
      </w:pPr>
    </w:p>
    <w:p>
      <w:pPr>
        <w:spacing w:after="200"/>
        <w:jc w:val="left"/>
      </w:pPr>
      <w:r>
        <w:rPr>
          <w:rFonts w:ascii="Times New Roman" w:hAnsi="Times New Roman"/>
          <w:i/>
          <w:sz w:val="20"/>
        </w:rPr>
        <w:t>Source : dépouillement de l’item fermé du questionnaire (n = 50 ; une abstention).</w:t>
      </w:r>
    </w:p>
    <w:p>
      <w:pPr>
        <w:spacing w:after="120"/>
        <w:ind w:firstLine="567"/>
        <w:jc w:val="both"/>
      </w:pPr>
      <w:r>
        <w:rPr>
          <w:rFonts w:ascii="Times New Roman" w:hAnsi="Times New Roman"/>
          <w:b w:val="0"/>
          <w:i w:val="0"/>
          <w:sz w:val="24"/>
        </w:rPr>
        <w:t>Analyse du tableau 15. Interrogés directement, les EPE portent sur le contenu un jugement aussi consensuel que sur le volume horaire. La totalité des locuteurs non natifs (100 %) juge le contenu du cours insuffisant ; suivent les locuteurs non catégorisés (87,5 %), les non-locuteurs (85,7 %) et les locuteurs natifs (80 %), une abstention étant enregistrée.</w:t>
      </w:r>
    </w:p>
    <w:p>
      <w:pPr>
        <w:spacing w:after="120"/>
        <w:ind w:firstLine="567"/>
        <w:jc w:val="both"/>
      </w:pPr>
      <w:r>
        <w:rPr>
          <w:rFonts w:ascii="Times New Roman" w:hAnsi="Times New Roman"/>
          <w:b w:val="0"/>
          <w:i w:val="0"/>
          <w:sz w:val="24"/>
        </w:rPr>
        <w:t>Le rapprochement des tableaux 10 et 15 produit un résultat qu’aucun des deux ne livre isolément. Les non-locuteurs, qui ne formulent spontanément aucune critique sur l’adaptation du contenu (0 %), sont pourtant 85,7 % à juger ce même contenu insuffisant lorsqu’on le leur demande. Cette apparente contradiction se résout aisément : ils ne peuvent juger de l’adéquation d’un contenu qu’ils découvrent, mais ils constatent parfaitement qu’il ne les rend pas capables de parler la langue. Le premier jugement suppose une expertise ; le second, seulement une expérience. On mesure ici l’intérêt méthodologique d’avoir conservé les deux tableaux plutôt que d’en éliminer un au motif qu’ils traiteraient du même sujet.</w:t>
      </w:r>
    </w:p>
    <w:p>
      <w:pPr>
        <w:spacing w:after="120"/>
        <w:ind w:firstLine="567"/>
        <w:jc w:val="both"/>
      </w:pPr>
      <w:r>
        <w:rPr>
          <w:rFonts w:ascii="Times New Roman" w:hAnsi="Times New Roman"/>
          <w:b w:val="0"/>
          <w:i w:val="0"/>
          <w:sz w:val="24"/>
        </w:rPr>
        <w:t>L’hypothèse HS5 s’en trouve confirmée dans les termes les plus nets. Le contenu de la formation, unanimement jugé insuffisant, ne comporte par ailleurs, comme nous l’avons établi au chapitre 3, ni grammaire, ni conjugaison, ni terminologie disciplinaire permettant d’enseigner les mathématiques ou les sciences en éwégbé. Il ne prépare donc pas à l’objectif que le module de formation lui assigne pourtant explicitement : « asseoir le français et les autres sciences ».</w:t>
      </w:r>
    </w:p>
    <w:p>
      <w:pPr>
        <w:pStyle w:val="Heading2"/>
        <w:jc w:val="left"/>
      </w:pPr>
      <w:r>
        <w:t>4.6. L’exposition antérieure à l’éwégbé : un déficit qui précède l’ENFPE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les questions secondaires QS4 et QS6, éprouve l’hypothèse principale et sert les objectifs spécifiques OS4 et OS5.</w:t>
      </w:r>
    </w:p>
    <w:p>
      <w:pPr>
        <w:spacing w:after="120"/>
        <w:ind w:firstLine="567"/>
        <w:jc w:val="both"/>
      </w:pPr>
      <w:r>
        <w:rPr>
          <w:rFonts w:ascii="Times New Roman" w:hAnsi="Times New Roman"/>
          <w:b w:val="0"/>
          <w:i w:val="0"/>
          <w:sz w:val="24"/>
        </w:rPr>
        <w:t>Les trois tableaux qui suivent portent sur un même objet — la scolarisation antérieure en éwégbé — sous trois angles complémentaires : la proportion d’EPE l’ayant suivie, le détail des niveaux concernés et, symétriquement, la proportion de ceux qui n’en ont jamais bénéficié. Ils sont présentés ensemble et font l’objet d’une analyse unique, les tableaux 11 et 13 étant rigoureusement complémentaires.</w:t>
      </w:r>
    </w:p>
    <w:p>
      <w:pPr>
        <w:keepNext/>
        <w:spacing w:before="200" w:after="80"/>
        <w:jc w:val="left"/>
      </w:pPr>
      <w:r>
        <w:rPr>
          <w:rFonts w:ascii="Times New Roman" w:hAnsi="Times New Roman"/>
          <w:b/>
          <w:sz w:val="22"/>
        </w:rPr>
        <w:t>Tableau 11 : Récapitulatif des EPE ayant suivi un cours d’éwégbé au cours de leur scolarité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Ont suivi</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01</w:t>
            </w:r>
          </w:p>
        </w:tc>
        <w:tc>
          <w:tcPr>
            <w:tcW w:type="dxa" w:w="1701"/>
          </w:tcPr>
          <w:p>
            <w:pPr>
              <w:spacing w:after="40" w:before="40" w:line="240" w:lineRule="auto"/>
              <w:jc w:val="center"/>
            </w:pPr>
            <w:r/>
            <w:r>
              <w:rPr>
                <w:rFonts w:ascii="Times New Roman" w:hAnsi="Times New Roman"/>
                <w:b w:val="0"/>
                <w:sz w:val="21"/>
              </w:rPr>
              <w:t>14,3 %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50 %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26,7 %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15</w:t>
            </w:r>
          </w:p>
        </w:tc>
        <w:tc>
          <w:tcPr>
            <w:tcW w:type="dxa" w:w="1701"/>
          </w:tcPr>
          <w:p>
            <w:pPr>
              <w:spacing w:after="40" w:before="40" w:line="240" w:lineRule="auto"/>
              <w:jc w:val="center"/>
            </w:pPr>
            <w:r/>
            <w:r>
              <w:rPr>
                <w:rFonts w:ascii="Times New Roman" w:hAnsi="Times New Roman"/>
                <w:b w:val="0"/>
                <w:sz w:val="21"/>
              </w:rPr>
              <w:t>75 %</w:t>
            </w:r>
          </w:p>
        </w:tc>
      </w:tr>
    </w:tbl>
    <w:p>
      <w:pPr>
        <w:spacing w:after="0"/>
      </w:pPr>
    </w:p>
    <w:p>
      <w:pPr>
        <w:spacing w:after="200"/>
        <w:jc w:val="left"/>
      </w:pPr>
      <w:r>
        <w:rPr>
          <w:rFonts w:ascii="Times New Roman" w:hAnsi="Times New Roman"/>
          <w:i/>
          <w:sz w:val="20"/>
        </w:rPr>
        <w:t>Source : dépouillement du questionnaire (n = 50). Total : 24 EPE sur 50, soit 48 %.</w:t>
      </w:r>
    </w:p>
    <w:p>
      <w:pPr>
        <w:keepNext/>
        <w:spacing w:before="200" w:after="80"/>
        <w:jc w:val="left"/>
      </w:pPr>
      <w:r>
        <w:rPr>
          <w:rFonts w:ascii="Times New Roman" w:hAnsi="Times New Roman"/>
          <w:b/>
          <w:sz w:val="22"/>
        </w:rPr>
        <w:t>Tableau 12 : Détail par niveau scolaire des cours d’éwégbé suivis</w:t>
      </w:r>
    </w:p>
    <w:tbl>
      <w:tblPr>
        <w:tblStyle w:val="TableGrid"/>
        <w:tblW w:type="auto" w:w="0"/>
        <w:jc w:val="center"/>
        <w:tblLook w:firstColumn="1" w:firstRow="1" w:lastColumn="0" w:lastRow="0" w:noHBand="0" w:noVBand="1" w:val="04A0"/>
      </w:tblPr>
      <w:tblGrid>
        <w:gridCol w:w="4394"/>
        <w:gridCol w:w="4394"/>
      </w:tblGrid>
      <w:tr>
        <w:tc>
          <w:tcPr>
            <w:tcW w:type="dxa" w:w="2551"/>
            <w:shd w:val="clear" w:color="auto" w:fill="D9E2F3"/>
          </w:tcPr>
          <w:p>
            <w:pPr>
              <w:spacing w:after="40" w:before="40" w:line="240" w:lineRule="auto"/>
              <w:jc w:val="center"/>
            </w:pPr>
            <w:r/>
            <w:r>
              <w:rPr>
                <w:rFonts w:ascii="Times New Roman" w:hAnsi="Times New Roman"/>
                <w:b/>
                <w:sz w:val="21"/>
              </w:rPr>
              <w:t>Catégorie</w:t>
            </w:r>
          </w:p>
        </w:tc>
        <w:tc>
          <w:tcPr>
            <w:tcW w:type="dxa" w:w="6236"/>
            <w:shd w:val="clear" w:color="auto" w:fill="D9E2F3"/>
          </w:tcPr>
          <w:p>
            <w:pPr>
              <w:spacing w:after="40" w:before="40" w:line="240" w:lineRule="auto"/>
              <w:jc w:val="center"/>
            </w:pPr>
            <w:r/>
            <w:r>
              <w:rPr>
                <w:rFonts w:ascii="Times New Roman" w:hAnsi="Times New Roman"/>
                <w:b/>
                <w:sz w:val="21"/>
              </w:rPr>
              <w:t>Répartition détaillée</w:t>
            </w:r>
          </w:p>
        </w:tc>
      </w:tr>
      <w:tr>
        <w:tc>
          <w:tcPr>
            <w:tcW w:type="dxa" w:w="2551"/>
          </w:tcPr>
          <w:p>
            <w:pPr>
              <w:spacing w:after="40" w:before="40" w:line="240" w:lineRule="auto"/>
              <w:jc w:val="left"/>
            </w:pPr>
            <w:r/>
            <w:r>
              <w:rPr>
                <w:rFonts w:ascii="Times New Roman" w:hAnsi="Times New Roman"/>
                <w:b w:val="0"/>
                <w:sz w:val="21"/>
              </w:rPr>
              <w:t>Non-locuteurs</w:t>
            </w:r>
          </w:p>
        </w:tc>
        <w:tc>
          <w:tcPr>
            <w:tcW w:type="dxa" w:w="6236"/>
          </w:tcPr>
          <w:p>
            <w:pPr>
              <w:spacing w:after="40" w:before="40" w:line="240" w:lineRule="auto"/>
              <w:jc w:val="left"/>
            </w:pPr>
            <w:r/>
            <w:r>
              <w:rPr>
                <w:rFonts w:ascii="Times New Roman" w:hAnsi="Times New Roman"/>
                <w:b w:val="0"/>
                <w:sz w:val="21"/>
              </w:rPr>
              <w:t>01 en classe de troisième</w:t>
            </w:r>
          </w:p>
        </w:tc>
      </w:tr>
      <w:tr>
        <w:tc>
          <w:tcPr>
            <w:tcW w:type="dxa" w:w="2551"/>
          </w:tcPr>
          <w:p>
            <w:pPr>
              <w:spacing w:after="40" w:before="40" w:line="240" w:lineRule="auto"/>
              <w:jc w:val="left"/>
            </w:pPr>
            <w:r/>
            <w:r>
              <w:rPr>
                <w:rFonts w:ascii="Times New Roman" w:hAnsi="Times New Roman"/>
                <w:b w:val="0"/>
                <w:sz w:val="21"/>
              </w:rPr>
              <w:t>Locuteurs non catégorisés</w:t>
            </w:r>
          </w:p>
        </w:tc>
        <w:tc>
          <w:tcPr>
            <w:tcW w:type="dxa" w:w="6236"/>
          </w:tcPr>
          <w:p>
            <w:pPr>
              <w:spacing w:after="40" w:before="40" w:line="240" w:lineRule="auto"/>
              <w:jc w:val="left"/>
            </w:pPr>
            <w:r/>
            <w:r>
              <w:rPr>
                <w:rFonts w:ascii="Times New Roman" w:hAnsi="Times New Roman"/>
                <w:b w:val="0"/>
                <w:sz w:val="21"/>
              </w:rPr>
              <w:t>01 en troisième ; 01 en troisième puis en terminale ; 02 en première et terminale</w:t>
            </w:r>
          </w:p>
        </w:tc>
      </w:tr>
      <w:tr>
        <w:tc>
          <w:tcPr>
            <w:tcW w:type="dxa" w:w="2551"/>
          </w:tcPr>
          <w:p>
            <w:pPr>
              <w:spacing w:after="40" w:before="40" w:line="240" w:lineRule="auto"/>
              <w:jc w:val="left"/>
            </w:pPr>
            <w:r/>
            <w:r>
              <w:rPr>
                <w:rFonts w:ascii="Times New Roman" w:hAnsi="Times New Roman"/>
                <w:b w:val="0"/>
                <w:sz w:val="21"/>
              </w:rPr>
              <w:t>Locuteurs non natifs</w:t>
            </w:r>
          </w:p>
        </w:tc>
        <w:tc>
          <w:tcPr>
            <w:tcW w:type="dxa" w:w="6236"/>
          </w:tcPr>
          <w:p>
            <w:pPr>
              <w:spacing w:after="40" w:before="40" w:line="240" w:lineRule="auto"/>
              <w:jc w:val="left"/>
            </w:pPr>
            <w:r/>
            <w:r>
              <w:rPr>
                <w:rFonts w:ascii="Times New Roman" w:hAnsi="Times New Roman"/>
                <w:b w:val="0"/>
                <w:sz w:val="21"/>
              </w:rPr>
              <w:t>02 en troisième ; 02 en première</w:t>
            </w:r>
          </w:p>
        </w:tc>
      </w:tr>
      <w:tr>
        <w:tc>
          <w:tcPr>
            <w:tcW w:type="dxa" w:w="2551"/>
          </w:tcPr>
          <w:p>
            <w:pPr>
              <w:spacing w:after="40" w:before="40" w:line="240" w:lineRule="auto"/>
              <w:jc w:val="left"/>
            </w:pPr>
            <w:r/>
            <w:r>
              <w:rPr>
                <w:rFonts w:ascii="Times New Roman" w:hAnsi="Times New Roman"/>
                <w:b w:val="0"/>
                <w:sz w:val="21"/>
              </w:rPr>
              <w:t>Locuteurs natifs</w:t>
            </w:r>
          </w:p>
        </w:tc>
        <w:tc>
          <w:tcPr>
            <w:tcW w:type="dxa" w:w="6236"/>
          </w:tcPr>
          <w:p>
            <w:pPr>
              <w:spacing w:after="40" w:before="40" w:line="240" w:lineRule="auto"/>
              <w:jc w:val="left"/>
            </w:pPr>
            <w:r/>
            <w:r>
              <w:rPr>
                <w:rFonts w:ascii="Times New Roman" w:hAnsi="Times New Roman"/>
                <w:b w:val="0"/>
                <w:sz w:val="21"/>
              </w:rPr>
              <w:t>03 en troisième ; 01 en seconde et première ; 02 en terminale ; 01 uniquement en première ; 01 en troisième, première, terminale puis à l’université</w:t>
            </w:r>
          </w:p>
        </w:tc>
      </w:tr>
    </w:tbl>
    <w:p>
      <w:pPr>
        <w:spacing w:after="0"/>
      </w:pPr>
    </w:p>
    <w:p>
      <w:pPr>
        <w:spacing w:after="200"/>
        <w:jc w:val="left"/>
      </w:pPr>
      <w:r>
        <w:rPr>
          <w:rFonts w:ascii="Times New Roman" w:hAnsi="Times New Roman"/>
          <w:i/>
          <w:sz w:val="20"/>
        </w:rPr>
        <w:t>Source : dépouillement du questionnaire (n = 24 répondants concernés).</w:t>
      </w:r>
    </w:p>
    <w:p>
      <w:pPr>
        <w:keepNext/>
        <w:spacing w:before="200" w:after="80"/>
        <w:jc w:val="left"/>
      </w:pPr>
      <w:r>
        <w:rPr>
          <w:rFonts w:ascii="Times New Roman" w:hAnsi="Times New Roman"/>
          <w:b/>
          <w:sz w:val="22"/>
        </w:rPr>
        <w:t>Tableau 13 : EPE n’ayant jamais suivi de cours d’éwégbé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Jamais suivi</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85,7 %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04</w:t>
            </w:r>
          </w:p>
        </w:tc>
        <w:tc>
          <w:tcPr>
            <w:tcW w:type="dxa" w:w="1701"/>
          </w:tcPr>
          <w:p>
            <w:pPr>
              <w:spacing w:after="40" w:before="40" w:line="240" w:lineRule="auto"/>
              <w:jc w:val="center"/>
            </w:pPr>
            <w:r/>
            <w:r>
              <w:rPr>
                <w:rFonts w:ascii="Times New Roman" w:hAnsi="Times New Roman"/>
                <w:b w:val="0"/>
                <w:sz w:val="21"/>
              </w:rPr>
              <w:t>50 %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11</w:t>
            </w:r>
          </w:p>
        </w:tc>
        <w:tc>
          <w:tcPr>
            <w:tcW w:type="dxa" w:w="1701"/>
          </w:tcPr>
          <w:p>
            <w:pPr>
              <w:spacing w:after="40" w:before="40" w:line="240" w:lineRule="auto"/>
              <w:jc w:val="center"/>
            </w:pPr>
            <w:r/>
            <w:r>
              <w:rPr>
                <w:rFonts w:ascii="Times New Roman" w:hAnsi="Times New Roman"/>
                <w:b w:val="0"/>
                <w:sz w:val="21"/>
              </w:rPr>
              <w:t>73,3 %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25 %</w:t>
            </w:r>
          </w:p>
        </w:tc>
      </w:tr>
    </w:tbl>
    <w:p>
      <w:pPr>
        <w:spacing w:after="0"/>
      </w:pPr>
    </w:p>
    <w:p>
      <w:pPr>
        <w:spacing w:after="200"/>
        <w:jc w:val="left"/>
      </w:pPr>
      <w:r>
        <w:rPr>
          <w:rFonts w:ascii="Times New Roman" w:hAnsi="Times New Roman"/>
          <w:i/>
          <w:sz w:val="20"/>
        </w:rPr>
        <w:t>Source : dépouillement du questionnaire (n = 50). Total : 26 EPE sur 50, soit 52 %.</w:t>
      </w:r>
    </w:p>
    <w:p>
      <w:pPr>
        <w:spacing w:after="120"/>
        <w:ind w:firstLine="567"/>
        <w:jc w:val="both"/>
      </w:pPr>
      <w:r>
        <w:rPr>
          <w:rFonts w:ascii="Times New Roman" w:hAnsi="Times New Roman"/>
          <w:b w:val="0"/>
          <w:i w:val="0"/>
          <w:sz w:val="24"/>
        </w:rPr>
        <w:t>Analyse. Il ressort de ces statistiques que le taux de suivi d’un cours d’éwégbé croît nettement avec la proximité native : 14,3 % chez les non-locuteurs contre 75 % chez les natifs. Ce résultat traduit une cohérence avec l’organisation scolaire togolaise, où l’éwégbé n’est proposée que dans certains établissements — pour la plupart privés — et à certains niveaux, généralement en troisième et en première, limitant ainsi structurellement l’accès des non-locuteurs à un enseignement formel. Symétriquement, les 85,7 % de non-locuteurs et les 73,3 % de locuteurs non natifs n’ayant jamais suivi de cours d’éwégbé montrent que ces deux groupes sont les plus exclus de tout enseignement formel de la langue, alors que les natifs en bénéficient davantage, seuls 25 % d’entre eux n’en ayant jamais suivi.</w:t>
      </w:r>
    </w:p>
    <w:p>
      <w:pPr>
        <w:spacing w:after="120"/>
        <w:ind w:firstLine="567"/>
        <w:jc w:val="both"/>
      </w:pPr>
      <w:r>
        <w:rPr>
          <w:rFonts w:ascii="Times New Roman" w:hAnsi="Times New Roman"/>
          <w:b w:val="0"/>
          <w:i w:val="0"/>
          <w:sz w:val="24"/>
        </w:rPr>
        <w:t>Ces résultats ressuscitent l’épineuse question de la non-mise en œuvre de la réforme de 1975. Cinquante ans après un texte qui prévoyait que « chaque citoyen apprendra deux langues togolaises », plus de la moitié d’une promotion d’élèves-professeurs d’école — 52 % — n’a jamais reçu le moindre enseignement formel dans l’une des deux langues nationales retenues. Ce chiffre, à lui seul, constitue une évaluation de la politique linguistique togolaise.</w:t>
      </w:r>
    </w:p>
    <w:p>
      <w:pPr>
        <w:spacing w:after="120"/>
        <w:ind w:firstLine="567"/>
        <w:jc w:val="both"/>
      </w:pPr>
      <w:r>
        <w:rPr>
          <w:rFonts w:ascii="Times New Roman" w:hAnsi="Times New Roman"/>
          <w:b w:val="0"/>
          <w:i w:val="0"/>
          <w:sz w:val="24"/>
        </w:rPr>
        <w:t>Le détail par niveau (tableau 12) révèle en outre une discontinuité frappante des parcours. Les cours suivis se concentrent en classe de troisième et de première, deux niveaux qui correspondent aux années d’examen (BEPC et baccalauréat première partie). Cette concentration n’est pas pédagogique : elle est stratégique. Sur les cinquante EPE enquêtés, la plupart de ceux qui ont suivi ces cours ne l’ont fait qu’en troisième et en première pour des raisons de points bonus devant contribuer à leur réussite aux examens de fin d’année. La langue nationale y est donc abordée non comme un objet de formation, mais comme un instrument d’optimisation de la note — ce qui, en toute logique, ne produit aucun apprentissage durable. Un seul enquêté, sur cinquante, a poursuivi l’étude de l’éwégbé jusqu’à l’université.</w:t>
      </w:r>
    </w:p>
    <w:p>
      <w:pPr>
        <w:spacing w:after="120"/>
        <w:ind w:firstLine="567"/>
        <w:jc w:val="both"/>
      </w:pPr>
      <w:r>
        <w:rPr>
          <w:rFonts w:ascii="Times New Roman" w:hAnsi="Times New Roman"/>
          <w:b w:val="0"/>
          <w:i w:val="0"/>
          <w:sz w:val="24"/>
        </w:rPr>
        <w:t>Le fait que seul le quart des locuteurs natifs n’ait jamais suivi de cours d’éwégbé explicite par ailleurs l’argument selon lequel leur compétence provient essentiellement de la transmission orale ou familiale, confirmant le paradoxe d’une bonne maîtrise orale associée à une faible maîtrise de l’écrit développé à la section 4.3.4. Il faut toutefois relever un fait plus troublant encore : 75 % des natifs déclarent avoir suivi des cours d’éwégbé, et pourtant 75 % d’entre eux déclarent également des difficultés en orthographe, grammaire, lecture et compréhension. Autrement dit, l’exposition formelle telle qu’elle est actuellement pratiquée au secondaire — quelques heures en troisième et en première, dans une logique de points bonus — ne produit pas de littératie. La réponse à QS4 est donc double : les structures de suivi et d’évaluation ne sont pas seulement insuffisantes à l’ENFPE, elles sont défaillantes tout au long du parcours scolaire antérieur.</w:t>
      </w:r>
    </w:p>
    <w:p>
      <w:pPr>
        <w:pStyle w:val="Heading2"/>
        <w:jc w:val="left"/>
      </w:pPr>
      <w:r>
        <w:t>4.7. La compréhension du cours</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secondaire QS3 et sert l’objectif spécifique OS3.</w:t>
      </w:r>
    </w:p>
    <w:p>
      <w:pPr>
        <w:keepNext/>
        <w:spacing w:before="200" w:after="80"/>
        <w:jc w:val="left"/>
      </w:pPr>
      <w:r>
        <w:rPr>
          <w:rFonts w:ascii="Times New Roman" w:hAnsi="Times New Roman"/>
          <w:b/>
          <w:sz w:val="22"/>
        </w:rPr>
        <w:t>Tableau 16 : EPE déclarant comprendre facilement le cours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Comprennent</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71,4 %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62,5 %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46,7 %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19</w:t>
            </w:r>
          </w:p>
        </w:tc>
        <w:tc>
          <w:tcPr>
            <w:tcW w:type="dxa" w:w="1701"/>
          </w:tcPr>
          <w:p>
            <w:pPr>
              <w:spacing w:after="40" w:before="40" w:line="240" w:lineRule="auto"/>
              <w:jc w:val="center"/>
            </w:pPr>
            <w:r/>
            <w:r>
              <w:rPr>
                <w:rFonts w:ascii="Times New Roman" w:hAnsi="Times New Roman"/>
                <w:b w:val="0"/>
                <w:sz w:val="21"/>
              </w:rPr>
              <w:t>95 %</w:t>
            </w:r>
          </w:p>
        </w:tc>
      </w:tr>
    </w:tbl>
    <w:p>
      <w:pPr>
        <w:spacing w:after="0"/>
      </w:pPr>
    </w:p>
    <w:p>
      <w:pPr>
        <w:spacing w:after="200"/>
        <w:jc w:val="left"/>
      </w:pPr>
      <w:r>
        <w:rPr>
          <w:rFonts w:ascii="Times New Roman" w:hAnsi="Times New Roman"/>
          <w:i/>
          <w:sz w:val="20"/>
        </w:rPr>
        <w:t>Source : dépouillement du questionnaire (n = 50). Total : 36 EPE sur 50, soit 72 %.</w:t>
      </w:r>
    </w:p>
    <w:p>
      <w:pPr>
        <w:spacing w:after="120"/>
        <w:ind w:firstLine="567"/>
        <w:jc w:val="both"/>
      </w:pPr>
      <w:r>
        <w:rPr>
          <w:rFonts w:ascii="Times New Roman" w:hAnsi="Times New Roman"/>
          <w:b w:val="0"/>
          <w:i w:val="0"/>
          <w:sz w:val="24"/>
        </w:rPr>
        <w:t>Analyse. On assiste sans surprise au taux de compréhension le plus élevé chez les locuteurs natifs (95 %), ce qui confirme leur maîtrise orale native malgré les difficultés à l’écrit relevées plus haut. Cependant, il convient de souligner un contraste frappant. Comment comprendre que 71,4 % des non-locuteurs déclarent mieux comprendre le cours que les locuteurs non natifs, dont le taux de compréhension s’arrête à 46,7 %, alors que ce sont pourtant les premiers qui partent de la base la plus faible ?</w:t>
      </w:r>
    </w:p>
    <w:p>
      <w:pPr>
        <w:spacing w:after="120"/>
        <w:ind w:firstLine="567"/>
        <w:jc w:val="both"/>
      </w:pPr>
      <w:r>
        <w:rPr>
          <w:rFonts w:ascii="Times New Roman" w:hAnsi="Times New Roman"/>
          <w:b w:val="0"/>
          <w:i w:val="0"/>
          <w:sz w:val="24"/>
        </w:rPr>
        <w:t>Cette situation pourrait s’expliquer par un effet de familiarité pédagogique décroissante. Un non-locuteur débutant, bien encadré dès le départ à son niveau, peut mieux suivre et comprendre un cours calibré pour lui, tandis qu’un non-natif, placé dans un système qui présuppose des acquis intermédiaires, décroche d’autant plus si le rythme ne correspond pas à son niveau réel. Le contenu de la formation étant, comme nous l’avons vu, centré sur les bases — alphabet, salutations, présentations de soi et d’autrui —, il correspond assez bien à la position du débutant absolu, assez bien à celle du natif qui n’y voit qu’une révision, et très mal à celle de l’apprenant intermédiaire, pour qui il est à la fois trop élémentaire et trop rapide.</w:t>
      </w:r>
    </w:p>
    <w:p>
      <w:pPr>
        <w:spacing w:after="120"/>
        <w:ind w:firstLine="567"/>
        <w:jc w:val="both"/>
      </w:pPr>
      <w:r>
        <w:rPr>
          <w:rFonts w:ascii="Times New Roman" w:hAnsi="Times New Roman"/>
          <w:b w:val="0"/>
          <w:i w:val="0"/>
          <w:sz w:val="24"/>
        </w:rPr>
        <w:t>Il faut souligner une seconde interprétation, complémentaire et plus inquiétante, que les entretiens autorisent : la « compréhension » déclarée par les non-locuteurs porte en grande partie sur un cours dispensé en français. Comprendre un cours sur l’éwégbé conduit en français n’est pas comprendre l’éwégbé. Cette confusion, dont les enquêtés ne sont nullement responsables, est induite par le dispositif lui-même. Elle sera analysée à la section suivante.</w:t>
      </w:r>
    </w:p>
    <w:p>
      <w:pPr>
        <w:spacing w:after="120"/>
        <w:ind w:firstLine="567"/>
        <w:jc w:val="both"/>
      </w:pPr>
      <w:r>
        <w:rPr>
          <w:rFonts w:ascii="Times New Roman" w:hAnsi="Times New Roman"/>
          <w:b w:val="0"/>
          <w:i w:val="0"/>
          <w:sz w:val="24"/>
        </w:rPr>
        <w:t>Ce tableau est enfin le seul de l’enquête où les locuteurs non natifs sont majoritairement en difficulté (53,3 % ne comprennent pas), ce qui confirme leur statut de groupe le plus mal servi par l’indifférenciation pédagogique et justifie une attention spécifique dans nos recommandations.</w:t>
      </w:r>
    </w:p>
    <w:p>
      <w:pPr>
        <w:pStyle w:val="Heading2"/>
        <w:jc w:val="left"/>
      </w:pPr>
      <w:r>
        <w:t>4.8. La langue d’enseignement et d’évaluation : la diglossie à l’œuvre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les questions secondaires QS3 et QS5, éprouve l’hypothèse HS4 (la faible valorisation sociale et institutionnelle de l’éwégbé diminue la motivation et l’engagement des apprenants) et sert l’objectif spécifique OS6.</w:t>
      </w:r>
    </w:p>
    <w:p>
      <w:pPr>
        <w:keepNext/>
        <w:spacing w:before="200" w:after="80"/>
        <w:jc w:val="left"/>
      </w:pPr>
      <w:r>
        <w:rPr>
          <w:rFonts w:ascii="Times New Roman" w:hAnsi="Times New Roman"/>
          <w:b/>
          <w:sz w:val="22"/>
        </w:rPr>
        <w:t>Tableau 17 : EPE trouvant normal que les cours et épreuves de l’éwégbé se fassent en français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val="clear" w:color="auto" w:fill="D9E2F3"/>
          </w:tcPr>
          <w:p>
            <w:pPr>
              <w:spacing w:after="40" w:before="40" w:line="240" w:lineRule="auto"/>
              <w:jc w:val="center"/>
            </w:pPr>
            <w:r/>
            <w:r>
              <w:rPr>
                <w:rFonts w:ascii="Times New Roman" w:hAnsi="Times New Roman"/>
                <w:b/>
                <w:sz w:val="21"/>
              </w:rPr>
              <w:t>Catégorie de locuteurs</w:t>
            </w:r>
          </w:p>
        </w:tc>
        <w:tc>
          <w:tcPr>
            <w:tcW w:type="dxa" w:w="1247"/>
            <w:shd w:val="clear" w:color="auto" w:fill="D9E2F3"/>
          </w:tcPr>
          <w:p>
            <w:pPr>
              <w:spacing w:after="40" w:before="40" w:line="240" w:lineRule="auto"/>
              <w:jc w:val="center"/>
            </w:pPr>
            <w:r/>
            <w:r>
              <w:rPr>
                <w:rFonts w:ascii="Times New Roman" w:hAnsi="Times New Roman"/>
                <w:b/>
                <w:sz w:val="21"/>
              </w:rPr>
              <w:t>Effectif</w:t>
            </w:r>
          </w:p>
        </w:tc>
        <w:tc>
          <w:tcPr>
            <w:tcW w:type="dxa" w:w="3005"/>
            <w:shd w:val="clear" w:color="auto" w:fill="D9E2F3"/>
          </w:tcPr>
          <w:p>
            <w:pPr>
              <w:spacing w:after="40" w:before="40" w:line="240" w:lineRule="auto"/>
              <w:jc w:val="center"/>
            </w:pPr>
            <w:r/>
            <w:r>
              <w:rPr>
                <w:rFonts w:ascii="Times New Roman" w:hAnsi="Times New Roman"/>
                <w:b/>
                <w:sz w:val="21"/>
              </w:rPr>
              <w:t>Trouvent normal</w:t>
            </w:r>
          </w:p>
        </w:tc>
        <w:tc>
          <w:tcPr>
            <w:tcW w:type="dxa" w:w="1701"/>
            <w:shd w:val="clear" w:color="auto" w:fill="D9E2F3"/>
          </w:tcPr>
          <w:p>
            <w:pPr>
              <w:spacing w:after="40" w:before="40" w:line="240" w:lineRule="auto"/>
              <w:jc w:val="center"/>
            </w:pPr>
            <w:r/>
            <w:r>
              <w:rPr>
                <w:rFonts w:ascii="Times New Roman" w:hAnsi="Times New Roman"/>
                <w:b/>
                <w:sz w:val="21"/>
              </w:rPr>
              <w:t>Pourcentage</w:t>
            </w:r>
          </w:p>
        </w:tc>
      </w:tr>
      <w:tr>
        <w:tc>
          <w:tcPr>
            <w:tcW w:type="dxa" w:w="2835"/>
          </w:tcPr>
          <w:p>
            <w:pPr>
              <w:spacing w:after="40" w:before="40" w:line="240" w:lineRule="auto"/>
              <w:jc w:val="left"/>
            </w:pPr>
            <w:r/>
            <w:r>
              <w:rPr>
                <w:rFonts w:ascii="Times New Roman" w:hAnsi="Times New Roman"/>
                <w:b w:val="0"/>
                <w:sz w:val="21"/>
              </w:rPr>
              <w:t>Non-locuteurs</w:t>
            </w:r>
          </w:p>
        </w:tc>
        <w:tc>
          <w:tcPr>
            <w:tcW w:type="dxa" w:w="1247"/>
          </w:tcPr>
          <w:p>
            <w:pPr>
              <w:spacing w:after="40" w:before="40" w:line="240" w:lineRule="auto"/>
              <w:jc w:val="center"/>
            </w:pPr>
            <w:r/>
            <w:r>
              <w:rPr>
                <w:rFonts w:ascii="Times New Roman" w:hAnsi="Times New Roman"/>
                <w:b w:val="0"/>
                <w:sz w:val="21"/>
              </w:rPr>
              <w:t>07</w:t>
            </w:r>
          </w:p>
        </w:tc>
        <w:tc>
          <w:tcPr>
            <w:tcW w:type="dxa" w:w="3005"/>
          </w:tcPr>
          <w:p>
            <w:pPr>
              <w:spacing w:after="40" w:before="40" w:line="240" w:lineRule="auto"/>
              <w:jc w:val="center"/>
            </w:pPr>
            <w:r/>
            <w:r>
              <w:rPr>
                <w:rFonts w:ascii="Times New Roman" w:hAnsi="Times New Roman"/>
                <w:b w:val="0"/>
                <w:sz w:val="21"/>
              </w:rPr>
              <w:t>05</w:t>
            </w:r>
          </w:p>
        </w:tc>
        <w:tc>
          <w:tcPr>
            <w:tcW w:type="dxa" w:w="1701"/>
          </w:tcPr>
          <w:p>
            <w:pPr>
              <w:spacing w:after="40" w:before="40" w:line="240" w:lineRule="auto"/>
              <w:jc w:val="center"/>
            </w:pPr>
            <w:r/>
            <w:r>
              <w:rPr>
                <w:rFonts w:ascii="Times New Roman" w:hAnsi="Times New Roman"/>
                <w:b w:val="0"/>
                <w:sz w:val="21"/>
              </w:rPr>
              <w:t>71,4 %</w:t>
            </w:r>
          </w:p>
        </w:tc>
      </w:tr>
      <w:tr>
        <w:tc>
          <w:tcPr>
            <w:tcW w:type="dxa" w:w="2835"/>
          </w:tcPr>
          <w:p>
            <w:pPr>
              <w:spacing w:after="40" w:before="40" w:line="240" w:lineRule="auto"/>
              <w:jc w:val="left"/>
            </w:pPr>
            <w:r/>
            <w:r>
              <w:rPr>
                <w:rFonts w:ascii="Times New Roman" w:hAnsi="Times New Roman"/>
                <w:b w:val="0"/>
                <w:sz w:val="21"/>
              </w:rPr>
              <w:t>Locuteurs non catégorisés</w:t>
            </w:r>
          </w:p>
        </w:tc>
        <w:tc>
          <w:tcPr>
            <w:tcW w:type="dxa" w:w="1247"/>
          </w:tcPr>
          <w:p>
            <w:pPr>
              <w:spacing w:after="40" w:before="40" w:line="240" w:lineRule="auto"/>
              <w:jc w:val="center"/>
            </w:pPr>
            <w:r/>
            <w:r>
              <w:rPr>
                <w:rFonts w:ascii="Times New Roman" w:hAnsi="Times New Roman"/>
                <w:b w:val="0"/>
                <w:sz w:val="21"/>
              </w:rPr>
              <w:t>08</w:t>
            </w:r>
          </w:p>
        </w:tc>
        <w:tc>
          <w:tcPr>
            <w:tcW w:type="dxa" w:w="3005"/>
          </w:tcPr>
          <w:p>
            <w:pPr>
              <w:spacing w:after="40" w:before="40" w:line="240" w:lineRule="auto"/>
              <w:jc w:val="center"/>
            </w:pPr>
            <w:r/>
            <w:r>
              <w:rPr>
                <w:rFonts w:ascii="Times New Roman" w:hAnsi="Times New Roman"/>
                <w:b w:val="0"/>
                <w:sz w:val="21"/>
              </w:rPr>
              <w:t>07</w:t>
            </w:r>
          </w:p>
        </w:tc>
        <w:tc>
          <w:tcPr>
            <w:tcW w:type="dxa" w:w="1701"/>
          </w:tcPr>
          <w:p>
            <w:pPr>
              <w:spacing w:after="40" w:before="40" w:line="240" w:lineRule="auto"/>
              <w:jc w:val="center"/>
            </w:pPr>
            <w:r/>
            <w:r>
              <w:rPr>
                <w:rFonts w:ascii="Times New Roman" w:hAnsi="Times New Roman"/>
                <w:b w:val="0"/>
                <w:sz w:val="21"/>
              </w:rPr>
              <w:t>87,5 %</w:t>
            </w:r>
          </w:p>
        </w:tc>
      </w:tr>
      <w:tr>
        <w:tc>
          <w:tcPr>
            <w:tcW w:type="dxa" w:w="2835"/>
          </w:tcPr>
          <w:p>
            <w:pPr>
              <w:spacing w:after="40" w:before="40" w:line="240" w:lineRule="auto"/>
              <w:jc w:val="left"/>
            </w:pPr>
            <w:r/>
            <w:r>
              <w:rPr>
                <w:rFonts w:ascii="Times New Roman" w:hAnsi="Times New Roman"/>
                <w:b w:val="0"/>
                <w:sz w:val="21"/>
              </w:rPr>
              <w:t>Locuteurs non natifs</w:t>
            </w:r>
          </w:p>
        </w:tc>
        <w:tc>
          <w:tcPr>
            <w:tcW w:type="dxa" w:w="1247"/>
          </w:tcPr>
          <w:p>
            <w:pPr>
              <w:spacing w:after="40" w:before="40" w:line="240" w:lineRule="auto"/>
              <w:jc w:val="center"/>
            </w:pPr>
            <w:r/>
            <w:r>
              <w:rPr>
                <w:rFonts w:ascii="Times New Roman" w:hAnsi="Times New Roman"/>
                <w:b w:val="0"/>
                <w:sz w:val="21"/>
              </w:rPr>
              <w:t>15</w:t>
            </w:r>
          </w:p>
        </w:tc>
        <w:tc>
          <w:tcPr>
            <w:tcW w:type="dxa" w:w="3005"/>
          </w:tcPr>
          <w:p>
            <w:pPr>
              <w:spacing w:after="40" w:before="40" w:line="240" w:lineRule="auto"/>
              <w:jc w:val="center"/>
            </w:pPr>
            <w:r/>
            <w:r>
              <w:rPr>
                <w:rFonts w:ascii="Times New Roman" w:hAnsi="Times New Roman"/>
                <w:b w:val="0"/>
                <w:sz w:val="21"/>
              </w:rPr>
              <w:t>08</w:t>
            </w:r>
          </w:p>
        </w:tc>
        <w:tc>
          <w:tcPr>
            <w:tcW w:type="dxa" w:w="1701"/>
          </w:tcPr>
          <w:p>
            <w:pPr>
              <w:spacing w:after="40" w:before="40" w:line="240" w:lineRule="auto"/>
              <w:jc w:val="center"/>
            </w:pPr>
            <w:r/>
            <w:r>
              <w:rPr>
                <w:rFonts w:ascii="Times New Roman" w:hAnsi="Times New Roman"/>
                <w:b w:val="0"/>
                <w:sz w:val="21"/>
              </w:rPr>
              <w:t>53,3 %</w:t>
            </w:r>
          </w:p>
        </w:tc>
      </w:tr>
      <w:tr>
        <w:tc>
          <w:tcPr>
            <w:tcW w:type="dxa" w:w="2835"/>
          </w:tcPr>
          <w:p>
            <w:pPr>
              <w:spacing w:after="40" w:before="40" w:line="240" w:lineRule="auto"/>
              <w:jc w:val="left"/>
            </w:pPr>
            <w:r/>
            <w:r>
              <w:rPr>
                <w:rFonts w:ascii="Times New Roman" w:hAnsi="Times New Roman"/>
                <w:b w:val="0"/>
                <w:sz w:val="21"/>
              </w:rPr>
              <w:t>Locuteurs natifs</w:t>
            </w:r>
          </w:p>
        </w:tc>
        <w:tc>
          <w:tcPr>
            <w:tcW w:type="dxa" w:w="1247"/>
          </w:tcPr>
          <w:p>
            <w:pPr>
              <w:spacing w:after="40" w:before="40" w:line="240" w:lineRule="auto"/>
              <w:jc w:val="center"/>
            </w:pPr>
            <w:r/>
            <w:r>
              <w:rPr>
                <w:rFonts w:ascii="Times New Roman" w:hAnsi="Times New Roman"/>
                <w:b w:val="0"/>
                <w:sz w:val="21"/>
              </w:rPr>
              <w:t>20</w:t>
            </w:r>
          </w:p>
        </w:tc>
        <w:tc>
          <w:tcPr>
            <w:tcW w:type="dxa" w:w="3005"/>
          </w:tcPr>
          <w:p>
            <w:pPr>
              <w:spacing w:after="40" w:before="40" w:line="240" w:lineRule="auto"/>
              <w:jc w:val="center"/>
            </w:pPr>
            <w:r/>
            <w:r>
              <w:rPr>
                <w:rFonts w:ascii="Times New Roman" w:hAnsi="Times New Roman"/>
                <w:b w:val="0"/>
                <w:sz w:val="21"/>
              </w:rPr>
              <w:t>06</w:t>
            </w:r>
          </w:p>
        </w:tc>
        <w:tc>
          <w:tcPr>
            <w:tcW w:type="dxa" w:w="1701"/>
          </w:tcPr>
          <w:p>
            <w:pPr>
              <w:spacing w:after="40" w:before="40" w:line="240" w:lineRule="auto"/>
              <w:jc w:val="center"/>
            </w:pPr>
            <w:r/>
            <w:r>
              <w:rPr>
                <w:rFonts w:ascii="Times New Roman" w:hAnsi="Times New Roman"/>
                <w:b w:val="0"/>
                <w:sz w:val="21"/>
              </w:rPr>
              <w:t>30 %</w:t>
            </w:r>
          </w:p>
        </w:tc>
      </w:tr>
    </w:tbl>
    <w:p>
      <w:pPr>
        <w:spacing w:after="0"/>
      </w:pPr>
    </w:p>
    <w:p>
      <w:pPr>
        <w:spacing w:after="200"/>
        <w:jc w:val="left"/>
      </w:pPr>
      <w:r>
        <w:rPr>
          <w:rFonts w:ascii="Times New Roman" w:hAnsi="Times New Roman"/>
          <w:i/>
          <w:sz w:val="20"/>
        </w:rPr>
        <w:t>Source : dépouillement du questionnaire (n = 50). Total : 26 EPE sur 50, soit 52 %.</w:t>
      </w:r>
    </w:p>
    <w:p>
      <w:pPr>
        <w:spacing w:after="120"/>
        <w:ind w:firstLine="567"/>
        <w:jc w:val="both"/>
      </w:pPr>
      <w:r>
        <w:rPr>
          <w:rFonts w:ascii="Times New Roman" w:hAnsi="Times New Roman"/>
          <w:b w:val="0"/>
          <w:i w:val="0"/>
          <w:sz w:val="24"/>
        </w:rPr>
        <w:t>Analyse. L’analyse de ce tableau fait appel à la notion de diglossie, qui renvoie au fait « qu’une personne ou un groupe de personnes parlent deux langues, l’une de ces langues ayant un statut social et culturel inférieur à l’autre » (Module de formation en LN éwé, p. 13). L’acceptation de l’usage du français comme langue d’évaluation et de dispensation des cours de langues nationales diminue à mesure que la proximité native augmente : 87,5 % chez les locuteurs non catégorisés et 71,4 % chez les non-locuteurs, contre 53,3 % chez les non natifs et seulement 30 % chez les natifs.</w:t>
      </w:r>
    </w:p>
    <w:p>
      <w:pPr>
        <w:spacing w:after="120"/>
        <w:ind w:firstLine="567"/>
        <w:jc w:val="both"/>
      </w:pPr>
      <w:r>
        <w:rPr>
          <w:rFonts w:ascii="Times New Roman" w:hAnsi="Times New Roman"/>
          <w:b w:val="0"/>
          <w:i w:val="0"/>
          <w:sz w:val="24"/>
        </w:rPr>
        <w:t>Ce sont donc les locuteurs natifs qui contestent majoritairement cette pratique — douze d’entre eux sur vingt, soit 60 %, la jugent explicitement mauvaise —, et ce n’est pas un hasard : ce sont eux qui en subissent le plus les conséquences. Ce choix institutionnel, loin de promouvoir leur langue, leur crée des difficultés à l’écrit en éwé, faute d’un enseignement et d’une évaluation conduits dans cette langue. Le tableau 8 en atteste : 75 % de difficultés à l’écrit chez ceux-là mêmes qui parlent la langue depuis l’enfance.</w:t>
      </w:r>
    </w:p>
    <w:p>
      <w:pPr>
        <w:spacing w:after="120"/>
        <w:ind w:firstLine="567"/>
        <w:jc w:val="both"/>
      </w:pPr>
      <w:r>
        <w:rPr>
          <w:rFonts w:ascii="Times New Roman" w:hAnsi="Times New Roman"/>
          <w:b w:val="0"/>
          <w:i w:val="0"/>
          <w:sz w:val="24"/>
        </w:rPr>
        <w:t>Interprétation. Ce tableau est, de toute l’enquête, celui qui illustre le plus directement les thèses de Bourdieu et de Moscovici. Une majorité d’élèves-professeurs d’école — 52 % — trouve normal que la langue qu’ils apprennent soit enseignée et évaluée dans une autre langue. Cette normalité déclarée n’est pas une opinion parmi d’autres : c’est une représentation sociale intériorisée, produite par des décennies de pratique institutionnelle où le français a occupé seul la position de langue légitime. Dans les termes de Bourdieu, les enquêtés reconnaissent la valeur du français sur le marché linguistique scolaire alors même qu’ils ne le possèdent pas mieux que l’éwégbé.</w:t>
      </w:r>
    </w:p>
    <w:p>
      <w:pPr>
        <w:spacing w:after="120"/>
        <w:ind w:firstLine="567"/>
        <w:jc w:val="both"/>
      </w:pPr>
      <w:r>
        <w:rPr>
          <w:rFonts w:ascii="Times New Roman" w:hAnsi="Times New Roman"/>
          <w:b w:val="0"/>
          <w:i w:val="0"/>
          <w:sz w:val="24"/>
        </w:rPr>
        <w:t>Le fait que ce soient les non-locuteurs et les non catégorisés qui acceptent le plus cette situation s’explique aisément : pour eux, le français est la seule langue disponible pour accéder au contenu ; sa disparition rendrait le cours inintelligible. Mais c’est précisément là que le cercle se referme. Le cours est dispensé en français parce que certains ne comprennent pas l’éwégbé ; et certains ne comprendront jamais l’éwégbé parce que le cours est dispensé en français. Le dispositif produit ainsi la justification de sa propre défaillance. Rompre ce cercle suppose une progression différenciée, où l’immersion s’accroît au fil des séquences, plutôt qu’un choix binaire entre le tout-français et le tout-éwégbé.</w:t>
      </w:r>
    </w:p>
    <w:p>
      <w:pPr>
        <w:spacing w:after="120"/>
        <w:ind w:firstLine="567"/>
        <w:jc w:val="both"/>
      </w:pPr>
      <w:r>
        <w:rPr>
          <w:rFonts w:ascii="Times New Roman" w:hAnsi="Times New Roman"/>
          <w:b w:val="0"/>
          <w:i w:val="0"/>
          <w:sz w:val="24"/>
        </w:rPr>
        <w:t>Il faut ajouter que cette pratique entre en contradiction directe avec le référentiel de l’UNESCO (1999), qui exige de l’enseignant bilingue la maîtrise effective des deux langues L1 et L2. On ne saurait former à la maîtrise d’une langue dans une autre langue : c’est là un principe élémentaire de la didactique des langues, que le dispositif actuel méconnaît. L’hypothèse HS4 est donc confirmée, non seulement dans sa dimension motivationnelle, mais aussi dans une dimension proprement didactique que sa formulation initiale n’anticipait pas.</w:t>
      </w:r>
    </w:p>
    <w:p>
      <w:pPr>
        <w:pStyle w:val="Heading2"/>
        <w:jc w:val="left"/>
      </w:pPr>
      <w:r>
        <w:t>4.9. Le niveau auto-évalué : une insécurité linguistique généralisée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les questions secondaires QS5 et QS6, éprouve l’hypothèse HS4 et sert les objectifs spécifiques OS4 et OS6.</w:t>
      </w:r>
    </w:p>
    <w:p>
      <w:pPr>
        <w:keepNext/>
        <w:spacing w:before="200" w:after="80"/>
        <w:jc w:val="left"/>
      </w:pPr>
      <w:r>
        <w:rPr>
          <w:rFonts w:ascii="Times New Roman" w:hAnsi="Times New Roman"/>
          <w:b/>
          <w:sz w:val="22"/>
        </w:rPr>
        <w:t>Tableau 18 : Niveau auto-évalué en éwégbé</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2268"/>
            <w:shd w:val="clear" w:color="auto" w:fill="D9E2F3"/>
          </w:tcPr>
          <w:p>
            <w:pPr>
              <w:spacing w:after="40" w:before="40" w:line="240" w:lineRule="auto"/>
              <w:jc w:val="center"/>
            </w:pPr>
            <w:r/>
            <w:r>
              <w:rPr>
                <w:rFonts w:ascii="Times New Roman" w:hAnsi="Times New Roman"/>
                <w:b/>
                <w:sz w:val="18"/>
              </w:rPr>
              <w:t>Catégorie de locuteurs</w:t>
            </w:r>
          </w:p>
        </w:tc>
        <w:tc>
          <w:tcPr>
            <w:tcW w:type="dxa" w:w="1077"/>
            <w:shd w:val="clear" w:color="auto" w:fill="D9E2F3"/>
          </w:tcPr>
          <w:p>
            <w:pPr>
              <w:spacing w:after="40" w:before="40" w:line="240" w:lineRule="auto"/>
              <w:jc w:val="center"/>
            </w:pPr>
            <w:r/>
            <w:r>
              <w:rPr>
                <w:rFonts w:ascii="Times New Roman" w:hAnsi="Times New Roman"/>
                <w:b/>
                <w:sz w:val="18"/>
              </w:rPr>
              <w:t>Très bon</w:t>
            </w:r>
          </w:p>
        </w:tc>
        <w:tc>
          <w:tcPr>
            <w:tcW w:type="dxa" w:w="1077"/>
            <w:shd w:val="clear" w:color="auto" w:fill="D9E2F3"/>
          </w:tcPr>
          <w:p>
            <w:pPr>
              <w:spacing w:after="40" w:before="40" w:line="240" w:lineRule="auto"/>
              <w:jc w:val="center"/>
            </w:pPr>
            <w:r/>
            <w:r>
              <w:rPr>
                <w:rFonts w:ascii="Times New Roman" w:hAnsi="Times New Roman"/>
                <w:b/>
                <w:sz w:val="18"/>
              </w:rPr>
              <w:t>Bon</w:t>
            </w:r>
          </w:p>
        </w:tc>
        <w:tc>
          <w:tcPr>
            <w:tcW w:type="dxa" w:w="1191"/>
            <w:shd w:val="clear" w:color="auto" w:fill="D9E2F3"/>
          </w:tcPr>
          <w:p>
            <w:pPr>
              <w:spacing w:after="40" w:before="40" w:line="240" w:lineRule="auto"/>
              <w:jc w:val="center"/>
            </w:pPr>
            <w:r/>
            <w:r>
              <w:rPr>
                <w:rFonts w:ascii="Times New Roman" w:hAnsi="Times New Roman"/>
                <w:b/>
                <w:sz w:val="18"/>
              </w:rPr>
              <w:t>Moyen</w:t>
            </w:r>
          </w:p>
        </w:tc>
        <w:tc>
          <w:tcPr>
            <w:tcW w:type="dxa" w:w="1077"/>
            <w:shd w:val="clear" w:color="auto" w:fill="D9E2F3"/>
          </w:tcPr>
          <w:p>
            <w:pPr>
              <w:spacing w:after="40" w:before="40" w:line="240" w:lineRule="auto"/>
              <w:jc w:val="center"/>
            </w:pPr>
            <w:r/>
            <w:r>
              <w:rPr>
                <w:rFonts w:ascii="Times New Roman" w:hAnsi="Times New Roman"/>
                <w:b/>
                <w:sz w:val="18"/>
              </w:rPr>
              <w:t>Faible</w:t>
            </w:r>
          </w:p>
        </w:tc>
        <w:tc>
          <w:tcPr>
            <w:tcW w:type="dxa" w:w="1191"/>
            <w:shd w:val="clear" w:color="auto" w:fill="D9E2F3"/>
          </w:tcPr>
          <w:p>
            <w:pPr>
              <w:spacing w:after="40" w:before="40" w:line="240" w:lineRule="auto"/>
              <w:jc w:val="center"/>
            </w:pPr>
            <w:r/>
            <w:r>
              <w:rPr>
                <w:rFonts w:ascii="Times New Roman" w:hAnsi="Times New Roman"/>
                <w:b/>
                <w:sz w:val="18"/>
              </w:rPr>
              <w:t>Très faible</w:t>
            </w:r>
          </w:p>
        </w:tc>
        <w:tc>
          <w:tcPr>
            <w:tcW w:type="dxa" w:w="907"/>
            <w:shd w:val="clear" w:color="auto" w:fill="D9E2F3"/>
          </w:tcPr>
          <w:p>
            <w:pPr>
              <w:spacing w:after="40" w:before="40" w:line="240" w:lineRule="auto"/>
              <w:jc w:val="center"/>
            </w:pPr>
            <w:r/>
            <w:r>
              <w:rPr>
                <w:rFonts w:ascii="Times New Roman" w:hAnsi="Times New Roman"/>
                <w:b/>
                <w:sz w:val="18"/>
              </w:rPr>
              <w:t>Total</w:t>
            </w:r>
          </w:p>
        </w:tc>
      </w:tr>
      <w:tr>
        <w:tc>
          <w:tcPr>
            <w:tcW w:type="dxa" w:w="2268"/>
          </w:tcPr>
          <w:p>
            <w:pPr>
              <w:spacing w:after="40" w:before="40" w:line="240" w:lineRule="auto"/>
              <w:jc w:val="left"/>
            </w:pPr>
            <w:r/>
            <w:r>
              <w:rPr>
                <w:rFonts w:ascii="Times New Roman" w:hAnsi="Times New Roman"/>
                <w:b w:val="0"/>
                <w:sz w:val="18"/>
              </w:rPr>
              <w:t>Non-locuteurs (07)</w:t>
            </w:r>
          </w:p>
        </w:tc>
        <w:tc>
          <w:tcPr>
            <w:tcW w:type="dxa" w:w="1077"/>
          </w:tcPr>
          <w:p>
            <w:pPr>
              <w:spacing w:after="40" w:before="40" w:line="240" w:lineRule="auto"/>
              <w:jc w:val="center"/>
            </w:pPr>
            <w:r/>
            <w:r>
              <w:rPr>
                <w:rFonts w:ascii="Times New Roman" w:hAnsi="Times New Roman"/>
                <w:b w:val="0"/>
                <w:sz w:val="18"/>
              </w:rPr>
              <w:t>00 (0 %)</w:t>
            </w:r>
          </w:p>
        </w:tc>
        <w:tc>
          <w:tcPr>
            <w:tcW w:type="dxa" w:w="1077"/>
          </w:tcPr>
          <w:p>
            <w:pPr>
              <w:spacing w:after="40" w:before="40" w:line="240" w:lineRule="auto"/>
              <w:jc w:val="center"/>
            </w:pPr>
            <w:r/>
            <w:r>
              <w:rPr>
                <w:rFonts w:ascii="Times New Roman" w:hAnsi="Times New Roman"/>
                <w:b w:val="0"/>
                <w:sz w:val="18"/>
              </w:rPr>
              <w:t>00 (0 %)</w:t>
            </w:r>
          </w:p>
        </w:tc>
        <w:tc>
          <w:tcPr>
            <w:tcW w:type="dxa" w:w="1191"/>
          </w:tcPr>
          <w:p>
            <w:pPr>
              <w:spacing w:after="40" w:before="40" w:line="240" w:lineRule="auto"/>
              <w:jc w:val="center"/>
            </w:pPr>
            <w:r/>
            <w:r>
              <w:rPr>
                <w:rFonts w:ascii="Times New Roman" w:hAnsi="Times New Roman"/>
                <w:b w:val="0"/>
                <w:sz w:val="18"/>
              </w:rPr>
              <w:t>03 (42,9 %)</w:t>
            </w:r>
          </w:p>
        </w:tc>
        <w:tc>
          <w:tcPr>
            <w:tcW w:type="dxa" w:w="1077"/>
          </w:tcPr>
          <w:p>
            <w:pPr>
              <w:spacing w:after="40" w:before="40" w:line="240" w:lineRule="auto"/>
              <w:jc w:val="center"/>
            </w:pPr>
            <w:r/>
            <w:r>
              <w:rPr>
                <w:rFonts w:ascii="Times New Roman" w:hAnsi="Times New Roman"/>
                <w:b w:val="0"/>
                <w:sz w:val="18"/>
              </w:rPr>
              <w:t>02 (28,6 %)</w:t>
            </w:r>
          </w:p>
        </w:tc>
        <w:tc>
          <w:tcPr>
            <w:tcW w:type="dxa" w:w="1191"/>
          </w:tcPr>
          <w:p>
            <w:pPr>
              <w:spacing w:after="40" w:before="40" w:line="240" w:lineRule="auto"/>
              <w:jc w:val="center"/>
            </w:pPr>
            <w:r/>
            <w:r>
              <w:rPr>
                <w:rFonts w:ascii="Times New Roman" w:hAnsi="Times New Roman"/>
                <w:b w:val="0"/>
                <w:sz w:val="18"/>
              </w:rPr>
              <w:t>02 (28,6 %)</w:t>
            </w:r>
          </w:p>
        </w:tc>
        <w:tc>
          <w:tcPr>
            <w:tcW w:type="dxa" w:w="907"/>
          </w:tcPr>
          <w:p>
            <w:pPr>
              <w:spacing w:after="40" w:before="40" w:line="240" w:lineRule="auto"/>
              <w:jc w:val="center"/>
            </w:pPr>
            <w:r/>
            <w:r>
              <w:rPr>
                <w:rFonts w:ascii="Times New Roman" w:hAnsi="Times New Roman"/>
                <w:b w:val="0"/>
                <w:sz w:val="18"/>
              </w:rPr>
              <w:t>07</w:t>
            </w:r>
          </w:p>
        </w:tc>
      </w:tr>
      <w:tr>
        <w:tc>
          <w:tcPr>
            <w:tcW w:type="dxa" w:w="2268"/>
          </w:tcPr>
          <w:p>
            <w:pPr>
              <w:spacing w:after="40" w:before="40" w:line="240" w:lineRule="auto"/>
              <w:jc w:val="left"/>
            </w:pPr>
            <w:r/>
            <w:r>
              <w:rPr>
                <w:rFonts w:ascii="Times New Roman" w:hAnsi="Times New Roman"/>
                <w:b w:val="0"/>
                <w:sz w:val="18"/>
              </w:rPr>
              <w:t>Locuteurs non catégorisés (08)</w:t>
            </w:r>
          </w:p>
        </w:tc>
        <w:tc>
          <w:tcPr>
            <w:tcW w:type="dxa" w:w="1077"/>
          </w:tcPr>
          <w:p>
            <w:pPr>
              <w:spacing w:after="40" w:before="40" w:line="240" w:lineRule="auto"/>
              <w:jc w:val="center"/>
            </w:pPr>
            <w:r/>
            <w:r>
              <w:rPr>
                <w:rFonts w:ascii="Times New Roman" w:hAnsi="Times New Roman"/>
                <w:b w:val="0"/>
                <w:sz w:val="18"/>
              </w:rPr>
              <w:t>00 (0 %)</w:t>
            </w:r>
          </w:p>
        </w:tc>
        <w:tc>
          <w:tcPr>
            <w:tcW w:type="dxa" w:w="1077"/>
          </w:tcPr>
          <w:p>
            <w:pPr>
              <w:spacing w:after="40" w:before="40" w:line="240" w:lineRule="auto"/>
              <w:jc w:val="center"/>
            </w:pPr>
            <w:r/>
            <w:r>
              <w:rPr>
                <w:rFonts w:ascii="Times New Roman" w:hAnsi="Times New Roman"/>
                <w:b w:val="0"/>
                <w:sz w:val="18"/>
              </w:rPr>
              <w:t>03 (37,5 %)</w:t>
            </w:r>
          </w:p>
        </w:tc>
        <w:tc>
          <w:tcPr>
            <w:tcW w:type="dxa" w:w="1191"/>
          </w:tcPr>
          <w:p>
            <w:pPr>
              <w:spacing w:after="40" w:before="40" w:line="240" w:lineRule="auto"/>
              <w:jc w:val="center"/>
            </w:pPr>
            <w:r/>
            <w:r>
              <w:rPr>
                <w:rFonts w:ascii="Times New Roman" w:hAnsi="Times New Roman"/>
                <w:b w:val="0"/>
                <w:sz w:val="18"/>
              </w:rPr>
              <w:t>03 (37,5 %)</w:t>
            </w:r>
          </w:p>
        </w:tc>
        <w:tc>
          <w:tcPr>
            <w:tcW w:type="dxa" w:w="1077"/>
          </w:tcPr>
          <w:p>
            <w:pPr>
              <w:spacing w:after="40" w:before="40" w:line="240" w:lineRule="auto"/>
              <w:jc w:val="left"/>
            </w:pPr>
            <w:r/>
            <w:r>
              <w:rPr>
                <w:rFonts w:ascii="Times New Roman" w:hAnsi="Times New Roman"/>
                <w:b w:val="0"/>
                <w:sz w:val="18"/>
              </w:rPr>
              <w:t>—</w:t>
            </w:r>
          </w:p>
        </w:tc>
        <w:tc>
          <w:tcPr>
            <w:tcW w:type="dxa" w:w="1191"/>
          </w:tcPr>
          <w:p>
            <w:pPr>
              <w:spacing w:after="40" w:before="40" w:line="240" w:lineRule="auto"/>
              <w:jc w:val="left"/>
            </w:pPr>
            <w:r/>
            <w:r>
              <w:rPr>
                <w:rFonts w:ascii="Times New Roman" w:hAnsi="Times New Roman"/>
                <w:b w:val="0"/>
                <w:sz w:val="18"/>
              </w:rPr>
              <w:t>—</w:t>
            </w:r>
          </w:p>
        </w:tc>
        <w:tc>
          <w:tcPr>
            <w:tcW w:type="dxa" w:w="907"/>
          </w:tcPr>
          <w:p>
            <w:pPr>
              <w:spacing w:after="40" w:before="40" w:line="240" w:lineRule="auto"/>
              <w:jc w:val="left"/>
            </w:pPr>
            <w:r/>
            <w:r>
              <w:rPr>
                <w:rFonts w:ascii="Times New Roman" w:hAnsi="Times New Roman"/>
                <w:b w:val="0"/>
                <w:sz w:val="18"/>
              </w:rPr>
              <w:t>06 + 02 abstentions</w:t>
            </w:r>
          </w:p>
        </w:tc>
      </w:tr>
      <w:tr>
        <w:tc>
          <w:tcPr>
            <w:tcW w:type="dxa" w:w="2268"/>
          </w:tcPr>
          <w:p>
            <w:pPr>
              <w:spacing w:after="40" w:before="40" w:line="240" w:lineRule="auto"/>
              <w:jc w:val="left"/>
            </w:pPr>
            <w:r/>
            <w:r>
              <w:rPr>
                <w:rFonts w:ascii="Times New Roman" w:hAnsi="Times New Roman"/>
                <w:b w:val="0"/>
                <w:sz w:val="18"/>
              </w:rPr>
              <w:t>Locuteurs non natifs (15)</w:t>
            </w:r>
          </w:p>
        </w:tc>
        <w:tc>
          <w:tcPr>
            <w:tcW w:type="dxa" w:w="1077"/>
          </w:tcPr>
          <w:p>
            <w:pPr>
              <w:spacing w:after="40" w:before="40" w:line="240" w:lineRule="auto"/>
              <w:jc w:val="center"/>
            </w:pPr>
            <w:r/>
            <w:r>
              <w:rPr>
                <w:rFonts w:ascii="Times New Roman" w:hAnsi="Times New Roman"/>
                <w:b w:val="0"/>
                <w:sz w:val="18"/>
              </w:rPr>
              <w:t>00 (0 %)</w:t>
            </w:r>
          </w:p>
        </w:tc>
        <w:tc>
          <w:tcPr>
            <w:tcW w:type="dxa" w:w="1077"/>
          </w:tcPr>
          <w:p>
            <w:pPr>
              <w:spacing w:after="40" w:before="40" w:line="240" w:lineRule="auto"/>
              <w:jc w:val="center"/>
            </w:pPr>
            <w:r/>
            <w:r>
              <w:rPr>
                <w:rFonts w:ascii="Times New Roman" w:hAnsi="Times New Roman"/>
                <w:b w:val="0"/>
                <w:sz w:val="18"/>
              </w:rPr>
              <w:t>01 (6,7 %)</w:t>
            </w:r>
          </w:p>
        </w:tc>
        <w:tc>
          <w:tcPr>
            <w:tcW w:type="dxa" w:w="1191"/>
          </w:tcPr>
          <w:p>
            <w:pPr>
              <w:spacing w:after="40" w:before="40" w:line="240" w:lineRule="auto"/>
              <w:jc w:val="center"/>
            </w:pPr>
            <w:r/>
            <w:r>
              <w:rPr>
                <w:rFonts w:ascii="Times New Roman" w:hAnsi="Times New Roman"/>
                <w:b w:val="0"/>
                <w:sz w:val="18"/>
              </w:rPr>
              <w:t>10 (66,7 %)</w:t>
            </w:r>
          </w:p>
        </w:tc>
        <w:tc>
          <w:tcPr>
            <w:tcW w:type="dxa" w:w="1077"/>
          </w:tcPr>
          <w:p>
            <w:pPr>
              <w:spacing w:after="40" w:before="40" w:line="240" w:lineRule="auto"/>
              <w:jc w:val="center"/>
            </w:pPr>
            <w:r/>
            <w:r>
              <w:rPr>
                <w:rFonts w:ascii="Times New Roman" w:hAnsi="Times New Roman"/>
                <w:b w:val="0"/>
                <w:sz w:val="18"/>
              </w:rPr>
              <w:t>01 (6,7 %)</w:t>
            </w:r>
          </w:p>
        </w:tc>
        <w:tc>
          <w:tcPr>
            <w:tcW w:type="dxa" w:w="1191"/>
          </w:tcPr>
          <w:p>
            <w:pPr>
              <w:spacing w:after="40" w:before="40" w:line="240" w:lineRule="auto"/>
              <w:jc w:val="center"/>
            </w:pPr>
            <w:r/>
            <w:r>
              <w:rPr>
                <w:rFonts w:ascii="Times New Roman" w:hAnsi="Times New Roman"/>
                <w:b w:val="0"/>
                <w:sz w:val="18"/>
              </w:rPr>
              <w:t>03 (20 %)</w:t>
            </w:r>
          </w:p>
        </w:tc>
        <w:tc>
          <w:tcPr>
            <w:tcW w:type="dxa" w:w="907"/>
          </w:tcPr>
          <w:p>
            <w:pPr>
              <w:spacing w:after="40" w:before="40" w:line="240" w:lineRule="auto"/>
              <w:jc w:val="center"/>
            </w:pPr>
            <w:r/>
            <w:r>
              <w:rPr>
                <w:rFonts w:ascii="Times New Roman" w:hAnsi="Times New Roman"/>
                <w:b w:val="0"/>
                <w:sz w:val="18"/>
              </w:rPr>
              <w:t>15</w:t>
            </w:r>
          </w:p>
        </w:tc>
      </w:tr>
      <w:tr>
        <w:tc>
          <w:tcPr>
            <w:tcW w:type="dxa" w:w="2268"/>
          </w:tcPr>
          <w:p>
            <w:pPr>
              <w:spacing w:after="40" w:before="40" w:line="240" w:lineRule="auto"/>
              <w:jc w:val="left"/>
            </w:pPr>
            <w:r/>
            <w:r>
              <w:rPr>
                <w:rFonts w:ascii="Times New Roman" w:hAnsi="Times New Roman"/>
                <w:b w:val="0"/>
                <w:sz w:val="18"/>
              </w:rPr>
              <w:t>Locuteurs natifs (20)</w:t>
            </w:r>
          </w:p>
        </w:tc>
        <w:tc>
          <w:tcPr>
            <w:tcW w:type="dxa" w:w="1077"/>
          </w:tcPr>
          <w:p>
            <w:pPr>
              <w:spacing w:after="40" w:before="40" w:line="240" w:lineRule="auto"/>
              <w:jc w:val="center"/>
            </w:pPr>
            <w:r/>
            <w:r>
              <w:rPr>
                <w:rFonts w:ascii="Times New Roman" w:hAnsi="Times New Roman"/>
                <w:b w:val="0"/>
                <w:sz w:val="18"/>
              </w:rPr>
              <w:t>00 (0 %)</w:t>
            </w:r>
          </w:p>
        </w:tc>
        <w:tc>
          <w:tcPr>
            <w:tcW w:type="dxa" w:w="1077"/>
          </w:tcPr>
          <w:p>
            <w:pPr>
              <w:spacing w:after="40" w:before="40" w:line="240" w:lineRule="auto"/>
              <w:jc w:val="center"/>
            </w:pPr>
            <w:r/>
            <w:r>
              <w:rPr>
                <w:rFonts w:ascii="Times New Roman" w:hAnsi="Times New Roman"/>
                <w:b w:val="0"/>
                <w:sz w:val="18"/>
              </w:rPr>
              <w:t>11 (55 %)</w:t>
            </w:r>
          </w:p>
        </w:tc>
        <w:tc>
          <w:tcPr>
            <w:tcW w:type="dxa" w:w="1191"/>
          </w:tcPr>
          <w:p>
            <w:pPr>
              <w:spacing w:after="40" w:before="40" w:line="240" w:lineRule="auto"/>
              <w:jc w:val="center"/>
            </w:pPr>
            <w:r/>
            <w:r>
              <w:rPr>
                <w:rFonts w:ascii="Times New Roman" w:hAnsi="Times New Roman"/>
                <w:b w:val="0"/>
                <w:sz w:val="18"/>
              </w:rPr>
              <w:t>09 (45 %)</w:t>
            </w:r>
          </w:p>
        </w:tc>
        <w:tc>
          <w:tcPr>
            <w:tcW w:type="dxa" w:w="1077"/>
          </w:tcPr>
          <w:p>
            <w:pPr>
              <w:spacing w:after="40" w:before="40" w:line="240" w:lineRule="auto"/>
              <w:jc w:val="center"/>
            </w:pPr>
            <w:r/>
            <w:r>
              <w:rPr>
                <w:rFonts w:ascii="Times New Roman" w:hAnsi="Times New Roman"/>
                <w:b w:val="0"/>
                <w:sz w:val="18"/>
              </w:rPr>
              <w:t>00 (0 %)</w:t>
            </w:r>
          </w:p>
        </w:tc>
        <w:tc>
          <w:tcPr>
            <w:tcW w:type="dxa" w:w="1191"/>
          </w:tcPr>
          <w:p>
            <w:pPr>
              <w:spacing w:after="40" w:before="40" w:line="240" w:lineRule="auto"/>
              <w:jc w:val="center"/>
            </w:pPr>
            <w:r/>
            <w:r>
              <w:rPr>
                <w:rFonts w:ascii="Times New Roman" w:hAnsi="Times New Roman"/>
                <w:b w:val="0"/>
                <w:sz w:val="18"/>
              </w:rPr>
              <w:t>00 (0 %)</w:t>
            </w:r>
          </w:p>
        </w:tc>
        <w:tc>
          <w:tcPr>
            <w:tcW w:type="dxa" w:w="907"/>
          </w:tcPr>
          <w:p>
            <w:pPr>
              <w:spacing w:after="40" w:before="40" w:line="240" w:lineRule="auto"/>
              <w:jc w:val="center"/>
            </w:pPr>
            <w:r/>
            <w:r>
              <w:rPr>
                <w:rFonts w:ascii="Times New Roman" w:hAnsi="Times New Roman"/>
                <w:b w:val="0"/>
                <w:sz w:val="18"/>
              </w:rPr>
              <w:t>20</w:t>
            </w:r>
          </w:p>
        </w:tc>
      </w:tr>
    </w:tbl>
    <w:p>
      <w:pPr>
        <w:spacing w:after="0"/>
      </w:pPr>
    </w:p>
    <w:p>
      <w:pPr>
        <w:spacing w:after="200"/>
        <w:jc w:val="left"/>
      </w:pPr>
      <w:r>
        <w:rPr>
          <w:rFonts w:ascii="Times New Roman" w:hAnsi="Times New Roman"/>
          <w:i/>
          <w:sz w:val="20"/>
        </w:rPr>
        <w:t>Source : dépouillement du questionnaire (n = 50, dont 2 abstentions).</w:t>
      </w:r>
    </w:p>
    <w:p>
      <w:pPr>
        <w:spacing w:after="120"/>
        <w:ind w:firstLine="567"/>
        <w:jc w:val="both"/>
      </w:pPr>
      <w:r>
        <w:rPr>
          <w:rFonts w:ascii="Times New Roman" w:hAnsi="Times New Roman"/>
          <w:b w:val="0"/>
          <w:i w:val="0"/>
          <w:sz w:val="24"/>
        </w:rPr>
        <w:t>Analyse. Toutes catégories confondues, aucun répondant ne s’auto-évalue comme « très bon ». Ce résultat témoigne, d’une part, d’une honnêteté et d’une humilité intellectuelle remarquables vis-à-vis du domaine concerné par notre étude. D’autre part, et c’est le point essentiel, il traduit une forme d’insécurité linguistique généralisée, y compris chez les locuteurs natifs. Qu’aucun des vingt locuteurs natifs — des personnes dont l’éwégbé est la langue première, parlée quotidiennement depuis l’enfance — ne se déclare « très bon » dans sa propre langue constitue un fait sociolinguistique d’une portée considérable.</w:t>
      </w:r>
    </w:p>
    <w:p>
      <w:pPr>
        <w:spacing w:after="120"/>
        <w:ind w:firstLine="567"/>
        <w:jc w:val="both"/>
      </w:pPr>
      <w:r>
        <w:rPr>
          <w:rFonts w:ascii="Times New Roman" w:hAnsi="Times New Roman"/>
          <w:b w:val="0"/>
          <w:i w:val="0"/>
          <w:sz w:val="24"/>
        </w:rPr>
        <w:t>La proportion de 55 % de niveau « bon » observée chez les natifs confirme la confiance orale déjà relevée, de même que les 6,7 % enregistrés chez les non-natifs traduisent l’absence encore largement répandue de ces aptitudes dans ce groupe. À l’inverse, on observe une dominance du niveau « moyen » chez les non-natifs, avec 66,7 %, ce qui est cohérent avec leur statut de public intermédiaire.</w:t>
      </w:r>
    </w:p>
    <w:p>
      <w:pPr>
        <w:spacing w:after="120"/>
        <w:ind w:firstLine="567"/>
        <w:jc w:val="both"/>
      </w:pPr>
      <w:r>
        <w:rPr>
          <w:rFonts w:ascii="Times New Roman" w:hAnsi="Times New Roman"/>
          <w:b w:val="0"/>
          <w:i w:val="0"/>
          <w:sz w:val="24"/>
        </w:rPr>
        <w:t>Il importe également de relever que les performances enregistrées chez les locuteurs non catégorisés, sur l’ensemble des aspects évalués par notre étude, pourraient conduire à les assimiler au groupe des locuteurs natifs, dans la mesure où ils n’ont pas précisé leur catégorie sur notre fiche d’enquête comme les autres l’ont fait. Nous estimons toutefois que, dans l’un ou l’autre cas, aucun changement majeur n’affecterait nos résultats, ce groupe étant généralement en concurrence avec les natifs à tous les niveaux. Nous signalons par ailleurs, en toute transparence, que deux abstentions ont été enregistrées dans ce groupe, ce qui ramène à six le nombre de répondants effectifs et rend ses pourcentages plus fragiles que ceux des autres catégories.</w:t>
      </w:r>
    </w:p>
    <w:p>
      <w:pPr>
        <w:spacing w:after="120"/>
        <w:ind w:firstLine="567"/>
        <w:jc w:val="both"/>
      </w:pPr>
      <w:r>
        <w:rPr>
          <w:rFonts w:ascii="Times New Roman" w:hAnsi="Times New Roman"/>
          <w:b w:val="0"/>
          <w:i w:val="0"/>
          <w:sz w:val="24"/>
        </w:rPr>
        <w:t>L’autre observation notable est que les non-locuteurs demeurent les seuls à cumuler les mentions « faible » et « très faible », pour quatre des sept répondants. Ce taux de 57,1 % traduit une auto-perception nettement plus négative, qui rejoint l’hypothèse d’insécurité linguistique développée à la section 4.3.1.</w:t>
      </w:r>
    </w:p>
    <w:p>
      <w:pPr>
        <w:spacing w:after="120"/>
        <w:ind w:firstLine="567"/>
        <w:jc w:val="both"/>
      </w:pPr>
      <w:r>
        <w:rPr>
          <w:rFonts w:ascii="Times New Roman" w:hAnsi="Times New Roman"/>
          <w:b w:val="0"/>
          <w:i w:val="0"/>
          <w:sz w:val="24"/>
        </w:rPr>
        <w:t>Interprétation. Ce tableau apporte la réponse la plus directe à l’objectif OS4 : identifier les compétences maîtrisées ou non au terme des deux ans de formation. Au sortir du dispositif, aucun élève-professeur d’école ne se juge pleinement compétent en éwégbé ; un sur cinq se juge faible ou très faible ; et le sous-groupe le mieux doté — les natifs — plafonne à une auto-évaluation « bonne » qui, croisée avec le tableau 8, ne recouvre en réalité qu’une compétence orale.</w:t>
      </w:r>
    </w:p>
    <w:p>
      <w:pPr>
        <w:spacing w:after="120"/>
        <w:ind w:firstLine="567"/>
        <w:jc w:val="both"/>
      </w:pPr>
      <w:r>
        <w:rPr>
          <w:rFonts w:ascii="Times New Roman" w:hAnsi="Times New Roman"/>
          <w:b w:val="0"/>
          <w:i w:val="0"/>
          <w:sz w:val="24"/>
        </w:rPr>
        <w:t>Il faut enfin mesurer ce que ce tableau implique pour la suite du parcours professionnel. Un enseignant qui ne se juge pas compétent dans une langue n’enseignera pas cette langue, quand bien même un texte l’y autoriserait. L’insécurité linguistique ici mesurée constitue donc, à elle seule, une prédiction du non-enseignement futur de l’éwégbé au primaire — et referme la boucle avec le constat du tableau 3, où aucune leçon de langue nationale ne figurait parmi les vingt-six leçons observées en stage.</w:t>
      </w:r>
    </w:p>
    <w:p>
      <w:pPr>
        <w:pStyle w:val="Heading2"/>
        <w:jc w:val="left"/>
      </w:pPr>
      <w:r>
        <w:t>4.10. Les modalités pédagogiques</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documente la question secondaire QS3, éprouve l’hypothèse HS2 quant à la prédominance des explications théoriques et sert l’objectif spécifique OS3.</w:t>
      </w:r>
    </w:p>
    <w:p>
      <w:pPr>
        <w:keepNext/>
        <w:spacing w:before="200" w:after="80"/>
        <w:jc w:val="left"/>
      </w:pPr>
      <w:r>
        <w:rPr>
          <w:rFonts w:ascii="Times New Roman" w:hAnsi="Times New Roman"/>
          <w:b/>
          <w:sz w:val="22"/>
        </w:rPr>
        <w:t>Tableau 19 : Modalités pédagogiques des cours d’éwégbé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948"/>
            <w:shd w:val="clear" w:color="auto" w:fill="D9E2F3"/>
          </w:tcPr>
          <w:p>
            <w:pPr>
              <w:spacing w:after="40" w:before="40" w:line="240" w:lineRule="auto"/>
              <w:jc w:val="center"/>
            </w:pPr>
            <w:r/>
            <w:r>
              <w:rPr>
                <w:rFonts w:ascii="Times New Roman" w:hAnsi="Times New Roman"/>
                <w:b/>
                <w:sz w:val="21"/>
              </w:rPr>
              <w:t>Catégorie de locuteurs</w:t>
            </w:r>
          </w:p>
        </w:tc>
        <w:tc>
          <w:tcPr>
            <w:tcW w:type="dxa" w:w="1984"/>
            <w:shd w:val="clear" w:color="auto" w:fill="D9E2F3"/>
          </w:tcPr>
          <w:p>
            <w:pPr>
              <w:spacing w:after="40" w:before="40" w:line="240" w:lineRule="auto"/>
              <w:jc w:val="center"/>
            </w:pPr>
            <w:r/>
            <w:r>
              <w:rPr>
                <w:rFonts w:ascii="Times New Roman" w:hAnsi="Times New Roman"/>
                <w:b/>
                <w:sz w:val="21"/>
              </w:rPr>
              <w:t>Cours participatifs</w:t>
            </w:r>
          </w:p>
        </w:tc>
        <w:tc>
          <w:tcPr>
            <w:tcW w:type="dxa" w:w="1928"/>
            <w:shd w:val="clear" w:color="auto" w:fill="D9E2F3"/>
          </w:tcPr>
          <w:p>
            <w:pPr>
              <w:spacing w:after="40" w:before="40" w:line="240" w:lineRule="auto"/>
              <w:jc w:val="center"/>
            </w:pPr>
            <w:r/>
            <w:r>
              <w:rPr>
                <w:rFonts w:ascii="Times New Roman" w:hAnsi="Times New Roman"/>
                <w:b/>
                <w:sz w:val="21"/>
              </w:rPr>
              <w:t>Travaux de groupe</w:t>
            </w:r>
          </w:p>
        </w:tc>
        <w:tc>
          <w:tcPr>
            <w:tcW w:type="dxa" w:w="1928"/>
            <w:shd w:val="clear" w:color="auto" w:fill="D9E2F3"/>
          </w:tcPr>
          <w:p>
            <w:pPr>
              <w:spacing w:after="40" w:before="40" w:line="240" w:lineRule="auto"/>
              <w:jc w:val="center"/>
            </w:pPr>
            <w:r/>
            <w:r>
              <w:rPr>
                <w:rFonts w:ascii="Times New Roman" w:hAnsi="Times New Roman"/>
                <w:b/>
                <w:sz w:val="21"/>
              </w:rPr>
              <w:t>Cours magistraux</w:t>
            </w:r>
          </w:p>
        </w:tc>
      </w:tr>
      <w:tr>
        <w:tc>
          <w:tcPr>
            <w:tcW w:type="dxa" w:w="2948"/>
          </w:tcPr>
          <w:p>
            <w:pPr>
              <w:spacing w:after="40" w:before="40" w:line="240" w:lineRule="auto"/>
              <w:jc w:val="left"/>
            </w:pPr>
            <w:r/>
            <w:r>
              <w:rPr>
                <w:rFonts w:ascii="Times New Roman" w:hAnsi="Times New Roman"/>
                <w:b w:val="0"/>
                <w:sz w:val="21"/>
              </w:rPr>
              <w:t>Non-locuteurs (07)</w:t>
            </w:r>
          </w:p>
        </w:tc>
        <w:tc>
          <w:tcPr>
            <w:tcW w:type="dxa" w:w="1984"/>
          </w:tcPr>
          <w:p>
            <w:pPr>
              <w:spacing w:after="40" w:before="40" w:line="240" w:lineRule="auto"/>
              <w:jc w:val="center"/>
            </w:pPr>
            <w:r/>
            <w:r>
              <w:rPr>
                <w:rFonts w:ascii="Times New Roman" w:hAnsi="Times New Roman"/>
                <w:b w:val="0"/>
                <w:sz w:val="21"/>
              </w:rPr>
              <w:t>05 (71,4 %)</w:t>
            </w:r>
          </w:p>
        </w:tc>
        <w:tc>
          <w:tcPr>
            <w:tcW w:type="dxa" w:w="1928"/>
          </w:tcPr>
          <w:p>
            <w:pPr>
              <w:spacing w:after="40" w:before="40" w:line="240" w:lineRule="auto"/>
              <w:jc w:val="center"/>
            </w:pPr>
            <w:r/>
            <w:r>
              <w:rPr>
                <w:rFonts w:ascii="Times New Roman" w:hAnsi="Times New Roman"/>
                <w:b w:val="0"/>
                <w:sz w:val="21"/>
              </w:rPr>
              <w:t>02 (28,6 %)</w:t>
            </w:r>
          </w:p>
        </w:tc>
        <w:tc>
          <w:tcPr>
            <w:tcW w:type="dxa" w:w="1928"/>
          </w:tcPr>
          <w:p>
            <w:pPr>
              <w:spacing w:after="40" w:before="40" w:line="240" w:lineRule="auto"/>
              <w:jc w:val="center"/>
            </w:pPr>
            <w:r/>
            <w:r>
              <w:rPr>
                <w:rFonts w:ascii="Times New Roman" w:hAnsi="Times New Roman"/>
                <w:b w:val="0"/>
                <w:sz w:val="21"/>
              </w:rPr>
              <w:t>04 (57,1 %)</w:t>
            </w:r>
          </w:p>
        </w:tc>
      </w:tr>
      <w:tr>
        <w:tc>
          <w:tcPr>
            <w:tcW w:type="dxa" w:w="2948"/>
          </w:tcPr>
          <w:p>
            <w:pPr>
              <w:spacing w:after="40" w:before="40" w:line="240" w:lineRule="auto"/>
              <w:jc w:val="left"/>
            </w:pPr>
            <w:r/>
            <w:r>
              <w:rPr>
                <w:rFonts w:ascii="Times New Roman" w:hAnsi="Times New Roman"/>
                <w:b w:val="0"/>
                <w:sz w:val="21"/>
              </w:rPr>
              <w:t>Locuteurs non catégorisés (08)</w:t>
            </w:r>
          </w:p>
        </w:tc>
        <w:tc>
          <w:tcPr>
            <w:tcW w:type="dxa" w:w="1984"/>
          </w:tcPr>
          <w:p>
            <w:pPr>
              <w:spacing w:after="40" w:before="40" w:line="240" w:lineRule="auto"/>
              <w:jc w:val="center"/>
            </w:pPr>
            <w:r/>
            <w:r>
              <w:rPr>
                <w:rFonts w:ascii="Times New Roman" w:hAnsi="Times New Roman"/>
                <w:b w:val="0"/>
                <w:sz w:val="21"/>
              </w:rPr>
              <w:t>08 (100 %)</w:t>
            </w:r>
          </w:p>
        </w:tc>
        <w:tc>
          <w:tcPr>
            <w:tcW w:type="dxa" w:w="1928"/>
          </w:tcPr>
          <w:p>
            <w:pPr>
              <w:spacing w:after="40" w:before="40" w:line="240" w:lineRule="auto"/>
              <w:jc w:val="center"/>
            </w:pPr>
            <w:r/>
            <w:r>
              <w:rPr>
                <w:rFonts w:ascii="Times New Roman" w:hAnsi="Times New Roman"/>
                <w:b w:val="0"/>
                <w:sz w:val="21"/>
              </w:rPr>
              <w:t>08 (100 %)</w:t>
            </w:r>
          </w:p>
        </w:tc>
        <w:tc>
          <w:tcPr>
            <w:tcW w:type="dxa" w:w="1928"/>
          </w:tcPr>
          <w:p>
            <w:pPr>
              <w:spacing w:after="40" w:before="40" w:line="240" w:lineRule="auto"/>
              <w:jc w:val="center"/>
            </w:pPr>
            <w:r/>
            <w:r>
              <w:rPr>
                <w:rFonts w:ascii="Times New Roman" w:hAnsi="Times New Roman"/>
                <w:b w:val="0"/>
                <w:sz w:val="21"/>
              </w:rPr>
              <w:t>00 (0 %)</w:t>
            </w:r>
          </w:p>
        </w:tc>
      </w:tr>
      <w:tr>
        <w:tc>
          <w:tcPr>
            <w:tcW w:type="dxa" w:w="2948"/>
          </w:tcPr>
          <w:p>
            <w:pPr>
              <w:spacing w:after="40" w:before="40" w:line="240" w:lineRule="auto"/>
              <w:jc w:val="left"/>
            </w:pPr>
            <w:r/>
            <w:r>
              <w:rPr>
                <w:rFonts w:ascii="Times New Roman" w:hAnsi="Times New Roman"/>
                <w:b w:val="0"/>
                <w:sz w:val="21"/>
              </w:rPr>
              <w:t>Locuteurs non natifs (15)</w:t>
            </w:r>
          </w:p>
        </w:tc>
        <w:tc>
          <w:tcPr>
            <w:tcW w:type="dxa" w:w="1984"/>
          </w:tcPr>
          <w:p>
            <w:pPr>
              <w:spacing w:after="40" w:before="40" w:line="240" w:lineRule="auto"/>
              <w:jc w:val="center"/>
            </w:pPr>
            <w:r/>
            <w:r>
              <w:rPr>
                <w:rFonts w:ascii="Times New Roman" w:hAnsi="Times New Roman"/>
                <w:b w:val="0"/>
                <w:sz w:val="21"/>
              </w:rPr>
              <w:t>11 (73,3 %)</w:t>
            </w:r>
          </w:p>
        </w:tc>
        <w:tc>
          <w:tcPr>
            <w:tcW w:type="dxa" w:w="1928"/>
          </w:tcPr>
          <w:p>
            <w:pPr>
              <w:spacing w:after="40" w:before="40" w:line="240" w:lineRule="auto"/>
              <w:jc w:val="center"/>
            </w:pPr>
            <w:r/>
            <w:r>
              <w:rPr>
                <w:rFonts w:ascii="Times New Roman" w:hAnsi="Times New Roman"/>
                <w:b w:val="0"/>
                <w:sz w:val="21"/>
              </w:rPr>
              <w:t>11 (73,3 %)</w:t>
            </w:r>
          </w:p>
        </w:tc>
        <w:tc>
          <w:tcPr>
            <w:tcW w:type="dxa" w:w="1928"/>
          </w:tcPr>
          <w:p>
            <w:pPr>
              <w:spacing w:after="40" w:before="40" w:line="240" w:lineRule="auto"/>
              <w:jc w:val="center"/>
            </w:pPr>
            <w:r/>
            <w:r>
              <w:rPr>
                <w:rFonts w:ascii="Times New Roman" w:hAnsi="Times New Roman"/>
                <w:b w:val="0"/>
                <w:sz w:val="21"/>
              </w:rPr>
              <w:t>04 (26,7 %)</w:t>
            </w:r>
          </w:p>
        </w:tc>
      </w:tr>
      <w:tr>
        <w:tc>
          <w:tcPr>
            <w:tcW w:type="dxa" w:w="2948"/>
          </w:tcPr>
          <w:p>
            <w:pPr>
              <w:spacing w:after="40" w:before="40" w:line="240" w:lineRule="auto"/>
              <w:jc w:val="left"/>
            </w:pPr>
            <w:r/>
            <w:r>
              <w:rPr>
                <w:rFonts w:ascii="Times New Roman" w:hAnsi="Times New Roman"/>
                <w:b w:val="0"/>
                <w:sz w:val="21"/>
              </w:rPr>
              <w:t>Locuteurs natifs (20)</w:t>
            </w:r>
          </w:p>
        </w:tc>
        <w:tc>
          <w:tcPr>
            <w:tcW w:type="dxa" w:w="1984"/>
          </w:tcPr>
          <w:p>
            <w:pPr>
              <w:spacing w:after="40" w:before="40" w:line="240" w:lineRule="auto"/>
              <w:jc w:val="center"/>
            </w:pPr>
            <w:r/>
            <w:r>
              <w:rPr>
                <w:rFonts w:ascii="Times New Roman" w:hAnsi="Times New Roman"/>
                <w:b w:val="0"/>
                <w:sz w:val="21"/>
              </w:rPr>
              <w:t>20 (100 %)</w:t>
            </w:r>
          </w:p>
        </w:tc>
        <w:tc>
          <w:tcPr>
            <w:tcW w:type="dxa" w:w="1928"/>
          </w:tcPr>
          <w:p>
            <w:pPr>
              <w:spacing w:after="40" w:before="40" w:line="240" w:lineRule="auto"/>
              <w:jc w:val="center"/>
            </w:pPr>
            <w:r/>
            <w:r>
              <w:rPr>
                <w:rFonts w:ascii="Times New Roman" w:hAnsi="Times New Roman"/>
                <w:b w:val="0"/>
                <w:sz w:val="21"/>
              </w:rPr>
              <w:t>20 (100 %)</w:t>
            </w:r>
          </w:p>
        </w:tc>
        <w:tc>
          <w:tcPr>
            <w:tcW w:type="dxa" w:w="1928"/>
          </w:tcPr>
          <w:p>
            <w:pPr>
              <w:spacing w:after="40" w:before="40" w:line="240" w:lineRule="auto"/>
              <w:jc w:val="center"/>
            </w:pPr>
            <w:r/>
            <w:r>
              <w:rPr>
                <w:rFonts w:ascii="Times New Roman" w:hAnsi="Times New Roman"/>
                <w:b w:val="0"/>
                <w:sz w:val="21"/>
              </w:rPr>
              <w:t>00 (0 %)</w:t>
            </w:r>
          </w:p>
        </w:tc>
      </w:tr>
    </w:tbl>
    <w:p>
      <w:pPr>
        <w:spacing w:after="0"/>
      </w:pPr>
    </w:p>
    <w:p>
      <w:pPr>
        <w:spacing w:after="200"/>
        <w:jc w:val="left"/>
      </w:pPr>
      <w:r>
        <w:rPr>
          <w:rFonts w:ascii="Times New Roman" w:hAnsi="Times New Roman"/>
          <w:i/>
          <w:sz w:val="20"/>
        </w:rPr>
        <w:t>Source : dépouillement du questionnaire (n = 50, dont 2 abstentions ; choix multiples autorisés).</w:t>
      </w:r>
    </w:p>
    <w:p>
      <w:pPr>
        <w:spacing w:before="120" w:after="160"/>
        <w:ind w:left="340" w:right="170"/>
        <w:jc w:val="both"/>
      </w:pPr>
      <w:r>
        <w:rPr>
          <w:rFonts w:ascii="Times New Roman" w:hAnsi="Times New Roman"/>
          <w:b/>
          <w:sz w:val="22"/>
        </w:rPr>
        <w:t xml:space="preserve">Note méthodologique — </w:t>
      </w:r>
      <w:r>
        <w:rPr>
          <w:rFonts w:ascii="Times New Roman" w:hAnsi="Times New Roman"/>
          <w:sz w:val="22"/>
        </w:rPr>
        <w:t>Les pourcentages de ce tableau doivent être lus avec précaution, les EPE ayant eu la possibilité de choisir au moins deux modalités parmi les trois proposées ; la somme d’une ligne excède donc 100 %. Deux abstentions ont par ailleurs été enregistrées. Nous signalons en outre que le décompte global figurant dans une version antérieure de notre dépouillement — trente-trois voix pour les cours participatifs, vingt-quatre pour les travaux de groupe et cinq pour les cours magistraux — diverge des totaux obtenus par sommation des lignes du présent tableau, soit respectivement quarante-quatre, quarante et une et huit. Après vérification, ce sont les effectifs par catégorie reportés ici qui sont corroborés par les dépouillements individuels présentés aux sections 4.3.1 à 4.3.4 ; c’est donc le tableau 19 qui fait foi, le décompte global antérieur résultant d’une erreur de report que nous rectifions.</w:t>
      </w:r>
    </w:p>
    <w:p>
      <w:pPr>
        <w:spacing w:after="120"/>
        <w:ind w:firstLine="567"/>
        <w:jc w:val="both"/>
      </w:pPr>
      <w:r>
        <w:rPr>
          <w:rFonts w:ascii="Times New Roman" w:hAnsi="Times New Roman"/>
          <w:b w:val="0"/>
          <w:i w:val="0"/>
          <w:sz w:val="24"/>
        </w:rPr>
        <w:t>Analyse. Ce tableau fait apparaître une nette opposition entre deux profils. Les locuteurs non catégorisés et les locuteurs natifs déclarent à cent pour cent suivre des cours exclusivement participatifs et en travaux de groupe : aucun cours magistral à leur niveau. En revanche, les non-locuteurs, à 57,1 %, et les non-natifs, à 26,7 %, sont les seuls à se déclarer exposés à un enseignement magistral — alors même que tous appartiennent aux mêmes groupes-classes et assistent aux mêmes séances.</w:t>
      </w:r>
    </w:p>
    <w:p>
      <w:pPr>
        <w:spacing w:after="120"/>
        <w:ind w:firstLine="567"/>
        <w:jc w:val="both"/>
      </w:pPr>
      <w:r>
        <w:rPr>
          <w:rFonts w:ascii="Times New Roman" w:hAnsi="Times New Roman"/>
          <w:b w:val="0"/>
          <w:i w:val="0"/>
          <w:sz w:val="24"/>
        </w:rPr>
        <w:t>Ce paradoxe apparent appelle une explication. Il est plausible que cet antagonisme, loin d’être un hasard pédagogique, tienne au fait que les séquences destinées à transmettre les bases — alphabet, système tonal, salutations, présentation de soi et d’autrui — recourent davantage à l’exposé magistral, tandis que les locuteurs déjà compétents interagissent aisément lors des phases d’échange. Mais une seconde explication, complémentaire, nous paraît plus décisive encore : ce que mesure ce tableau n’est pas la modalité objective du cours, mais la modalité vécue. Une séance participative dans une langue que l’on ne comprend pas est, pour celui qui ne comprend pas, un cours magistral. Le non-locuteur n’assiste pas à un autre cours que le natif ; il vit autrement le même cours, parce qu’il en est exclu comme acteur.</w:t>
      </w:r>
    </w:p>
    <w:p>
      <w:pPr>
        <w:spacing w:after="120"/>
        <w:ind w:firstLine="567"/>
        <w:jc w:val="both"/>
      </w:pPr>
      <w:r>
        <w:rPr>
          <w:rFonts w:ascii="Times New Roman" w:hAnsi="Times New Roman"/>
          <w:b w:val="0"/>
          <w:i w:val="0"/>
          <w:sz w:val="24"/>
        </w:rPr>
        <w:t>Cette lecture est corroborée par l’observation de classe, qui a montré que certains non-locuteurs ne participent pas du tout aux échanges, ainsi que par un constat relevé lors de la discussion : lorsque plusieurs locuteurs maîtrisant effectivement les notions sont présents dans une classe hétérogène, ils tendent, de façon inconsciente, à écraser par leurs interventions régulières les non-locuteurs souvent timides ou peu à l’aise avec la langue, ce qui peut mettre le formateur en difficulté.</w:t>
      </w:r>
    </w:p>
    <w:p>
      <w:pPr>
        <w:spacing w:after="120"/>
        <w:ind w:firstLine="567"/>
        <w:jc w:val="both"/>
      </w:pPr>
      <w:r>
        <w:rPr>
          <w:rFonts w:ascii="Times New Roman" w:hAnsi="Times New Roman"/>
          <w:b w:val="0"/>
          <w:i w:val="0"/>
          <w:sz w:val="24"/>
        </w:rPr>
        <w:t>Sur le fond, l’hypothèse HS2 se trouve donc partiellement nuancée. Les méthodes actives recommandées sont bien mises en œuvre : le formateur ne privilégie pas le magistral, et c’est à son crédit. Mais l’application uniforme de méthodes actives à un groupe hétérogène produit mécaniquement une participation inégale, qui bénéficie à ceux qui savent déjà et marginalise ceux qui apprennent. Ce n’est donc pas la méthode qui est en cause, mais l’absence de différenciation — c’est-à-dire, une fois encore, la structure du dispositif plutôt que la pratique du formateur.</w:t>
      </w:r>
    </w:p>
    <w:p>
      <w:pPr>
        <w:pStyle w:val="Heading2"/>
        <w:jc w:val="left"/>
      </w:pPr>
      <w:r>
        <w:t>4.11. Les suggestions de la population enquêtée</w:t>
      </w:r>
    </w:p>
    <w:p>
      <w:pPr>
        <w:spacing w:before="120" w:after="160"/>
        <w:ind w:left="340"/>
        <w:jc w:val="both"/>
      </w:pPr>
      <w:r>
        <w:rPr>
          <w:rFonts w:ascii="Times New Roman" w:hAnsi="Times New Roman"/>
          <w:b/>
          <w:i/>
          <w:sz w:val="22"/>
        </w:rPr>
        <w:t xml:space="preserve">Ancrage dans la problématique — </w:t>
      </w:r>
      <w:r>
        <w:rPr>
          <w:rFonts w:ascii="Times New Roman" w:hAnsi="Times New Roman"/>
          <w:i/>
          <w:sz w:val="22"/>
        </w:rPr>
        <w:t>cette section, de nature restitutive, alimente l’objectif spécifique OS7 (formuler des recommandations) en donnant la parole aux premiers intéressés.</w:t>
      </w:r>
    </w:p>
    <w:p>
      <w:pPr>
        <w:spacing w:after="120"/>
        <w:ind w:firstLine="567"/>
        <w:jc w:val="both"/>
      </w:pPr>
      <w:r>
        <w:rPr>
          <w:rFonts w:ascii="Times New Roman" w:hAnsi="Times New Roman"/>
          <w:b w:val="0"/>
          <w:i w:val="0"/>
          <w:sz w:val="24"/>
        </w:rPr>
        <w:t>La dernière partie de notre questionnaire étant consacrée aux suggestions des EPE en vue d’améliorer leur acquisition de la langue éwé, nous en avons recueilli un grand nombre, dont voici le contenu par catégorie. Leur restitution intégrale se justifie par le fait qu’elles émanent des usagers mêmes du dispositif, et qu’elles convergent de façon frappante avec les conclusions de notre analyse.</w:t>
      </w:r>
    </w:p>
    <w:p>
      <w:pPr>
        <w:spacing w:after="120"/>
        <w:ind w:firstLine="567"/>
        <w:jc w:val="both"/>
      </w:pPr>
      <w:r>
        <w:rPr>
          <w:rFonts w:ascii="Times New Roman" w:hAnsi="Times New Roman"/>
          <w:b w:val="0"/>
          <w:i w:val="0"/>
          <w:sz w:val="24"/>
        </w:rPr>
        <w:t>Les non-locuteurs. Pour ceux-ci, il conviendrait d’instaurer des séances de contes et de chants en éwégbé, d’utiliser des bandes audio à traduire en français ainsi que des flashcards pour le vocabulaire, d’augmenter le volume horaire alloué à l’éwégbé dans les ENFPE et de doter ces dernières de davantage de formateurs. Ils suggèrent également la conception et la diffusion de documents servant de supports de lecture et d’écriture, afin de passer à la pratique juste après les cours théoriques, ainsi que la tenue des cours de langue éwé en éwégbé et non en français. Ils préconisent enfin la mise en place de clubs d’éwé au sein desquels des pratiques effectives pourraient avoir lieu.</w:t>
      </w:r>
    </w:p>
    <w:p>
      <w:pPr>
        <w:spacing w:after="120"/>
        <w:ind w:firstLine="567"/>
        <w:jc w:val="both"/>
      </w:pPr>
      <w:r>
        <w:rPr>
          <w:rFonts w:ascii="Times New Roman" w:hAnsi="Times New Roman"/>
          <w:b w:val="0"/>
          <w:i w:val="0"/>
          <w:sz w:val="24"/>
        </w:rPr>
        <w:t>Les locuteurs non catégorisés. Outre les points évoqués par les non-locuteurs — manuels, volume horaire, lecture et écriture —, cette catégorie insiste sur un enseignement progressif de l’alphabet éwé, sur la pratique de l’oral et sur un approfondissement du module de formation.</w:t>
      </w:r>
    </w:p>
    <w:p>
      <w:pPr>
        <w:spacing w:after="120"/>
        <w:ind w:firstLine="567"/>
        <w:jc w:val="both"/>
      </w:pPr>
      <w:r>
        <w:rPr>
          <w:rFonts w:ascii="Times New Roman" w:hAnsi="Times New Roman"/>
          <w:b w:val="0"/>
          <w:i w:val="0"/>
          <w:sz w:val="24"/>
        </w:rPr>
        <w:t>Les locuteurs non natifs. Pour ce groupe, il est urgent de produire des manuels adaptés, quitte à ce qu’ils soient achetés, d’approfondir le module de formation, d’accorder plus de temps aux langues nationales et d’établir une adéquation entre la théorie et la pratique, c’est-à-dire de leur permettre de dispenser effectivement des cours d’éwégbé dans les écoles lors de leurs stages. Ils suggèrent également de mettre à disposition des dictionnaires et des documents audio afin de renforcer l’expression orale à travers des jeux de rôle, des débats et des sketchs en éwégbé, et proposent enfin que les cours de langue éwé, de même que les épreuves d’évaluation, soient dispensés en éwégbé.</w:t>
      </w:r>
    </w:p>
    <w:p>
      <w:pPr>
        <w:spacing w:after="120"/>
        <w:ind w:firstLine="567"/>
        <w:jc w:val="both"/>
      </w:pPr>
      <w:r>
        <w:rPr>
          <w:rFonts w:ascii="Times New Roman" w:hAnsi="Times New Roman"/>
          <w:b w:val="0"/>
          <w:i w:val="0"/>
          <w:sz w:val="24"/>
        </w:rPr>
        <w:t>Les locuteurs natifs. Ces derniers sont également revenus sur les questions de manuels, de volume horaire, de formateurs compétents, de pratique accrue de l’oral et, surtout, sur la nécessité de dispenser le cours et l’épreuve de langue éwé en éwégbé plutôt qu’en français. Ils en appellent à une valorisation des langues nationales, en commençant par dispenser certains cours du primaire en éwégbé.</w:t>
      </w:r>
    </w:p>
    <w:p>
      <w:pPr>
        <w:spacing w:after="120"/>
        <w:ind w:firstLine="567"/>
        <w:jc w:val="both"/>
      </w:pPr>
      <w:r>
        <w:rPr>
          <w:rFonts w:ascii="Times New Roman" w:hAnsi="Times New Roman"/>
          <w:b w:val="0"/>
          <w:i w:val="0"/>
          <w:sz w:val="24"/>
        </w:rPr>
        <w:t>Lecture transversale des suggestions. Trois demandes traversent les quatre groupes sans exception : des supports didactiques, davantage d’heures, et l’usage de l’éwégbé comme langue du cours. Elles recoupent exactement les trois constats consensuels de notre enquête (tableaux 4, 14 et 15) et les trois premières recommandations que nous formulerons au chapitre 5. Une quatrième demande, plus spécifique, mérite d’être relevée : celle des locuteurs non natifs réclamant de pouvoir enseigner l’éwégbé lors de leurs stages. Elle confirme, du point de vue des intéressés, le diagnostic établi à partir du tableau 3 sur l’absence de transfert vers la pratique.</w:t>
      </w:r>
    </w:p>
    <w:p>
      <w:pPr>
        <w:spacing w:after="120"/>
        <w:ind w:firstLine="567"/>
        <w:jc w:val="both"/>
      </w:pPr>
      <w:r>
        <w:rPr>
          <w:rFonts w:ascii="Times New Roman" w:hAnsi="Times New Roman"/>
          <w:b w:val="0"/>
          <w:i w:val="0"/>
          <w:sz w:val="24"/>
        </w:rPr>
        <w:t>Il convient enfin de signaler une demande exprimée en entretien plutôt que dans le questionnaire, et dont la portée dépasse le cadre scolaire : plusieurs EPE, majoritairement chrétiens, souhaitent acquérir des compétences leur permettant de répondre à des besoins sociaux concrets, telle la lecture de la Bible en éwégbé, à l’église ou à titre personnel. Cette demande est loin d’être anecdotique : elle indique qu’il existe, pour la littératie en langue nationale, un usage social réel et valorisé, que le dispositif de formation ignore totalement. Un enseignement qui s’appuierait sur cet usage disposerait d’un levier de motivation que les arguments institutionnels ne lui offrent pas.</w:t>
      </w:r>
    </w:p>
    <w:p>
      <w:pPr>
        <w:pStyle w:val="Heading2"/>
        <w:jc w:val="left"/>
      </w:pPr>
      <w:r>
        <w:t>4.12. Analyse transversale des résultats</w:t>
      </w:r>
    </w:p>
    <w:p>
      <w:pPr>
        <w:spacing w:after="120"/>
        <w:ind w:firstLine="567"/>
        <w:jc w:val="both"/>
      </w:pPr>
      <w:r>
        <w:rPr>
          <w:rFonts w:ascii="Times New Roman" w:hAnsi="Times New Roman"/>
          <w:b w:val="0"/>
          <w:i w:val="0"/>
          <w:sz w:val="24"/>
        </w:rPr>
        <w:t>Les sections qui précèdent ont examiné chaque indicateur pour lui-même. La présente section confronte l’ensemble des résultats afin d’en dégager une logique d’ensemble, selon quatre plans : pédagogique, linguistique, sociologique et didactique. Elle ne reprend pas les données déjà exposées, mais les met en relation.</w:t>
      </w:r>
    </w:p>
    <w:p>
      <w:pPr>
        <w:pStyle w:val="Heading3"/>
        <w:jc w:val="left"/>
      </w:pPr>
      <w:r>
        <w:t>4.12.1. Sur le plan pédagogique</w:t>
      </w:r>
    </w:p>
    <w:p>
      <w:pPr>
        <w:spacing w:after="120"/>
        <w:ind w:firstLine="567"/>
        <w:jc w:val="both"/>
      </w:pPr>
      <w:r>
        <w:rPr>
          <w:rFonts w:ascii="Times New Roman" w:hAnsi="Times New Roman"/>
          <w:b w:val="0"/>
          <w:i w:val="0"/>
          <w:sz w:val="24"/>
        </w:rPr>
        <w:t>Il ressort que le dispositif actuellement en vigueur à l’ENFPE de Notsè demeure essentiellement théorique. Le faible volume horaire — douze heures au semestre 2 et dix-huit heures au semestre 3, les douze heures du semestre 1 étant dédiées aux instructions officielles et à quelques notions de langue —, conjugué à l’absence de matériel, ne permet qu’une pratique très insuffisante de la langue.</w:t>
      </w:r>
    </w:p>
    <w:p>
      <w:pPr>
        <w:spacing w:after="120"/>
        <w:ind w:firstLine="567"/>
        <w:jc w:val="both"/>
      </w:pPr>
      <w:r>
        <w:rPr>
          <w:rFonts w:ascii="Times New Roman" w:hAnsi="Times New Roman"/>
          <w:b w:val="0"/>
          <w:i w:val="0"/>
          <w:sz w:val="24"/>
        </w:rPr>
        <w:t>Les 64 % de difficultés observées en grammaire, en conjugaison, en orthographe et en lecture-compréhension traduisent un échec de la transposition didactique et prouvent à suffisance que le dispositif actuel forme des EPE ne maîtrisant pas les « savoirs à enseigner ». Encore faut-il préciser la nature de cet échec. Peut-on à proprement parler d’un échec de la transposition didactique, dès lors que les sous-disciplines susmentionnées ne sont tout simplement pas prises en compte par le module de formation des enseignants dans l’ensemble des ENFPE du pays ? La question mérite d’être posée, car elle déplace la responsabilité : il ne s’agit pas d’une transposition mal conduite, mais d’une transposition non engagée. Le savoir savant en linguistique éwé n’a jamais été converti en savoir à enseigner pour le niveau primaire.</w:t>
      </w:r>
    </w:p>
    <w:p>
      <w:pPr>
        <w:spacing w:after="120"/>
        <w:ind w:firstLine="567"/>
        <w:jc w:val="both"/>
      </w:pPr>
      <w:r>
        <w:rPr>
          <w:rFonts w:ascii="Times New Roman" w:hAnsi="Times New Roman"/>
          <w:b w:val="0"/>
          <w:i w:val="0"/>
          <w:sz w:val="24"/>
        </w:rPr>
        <w:t>Si tel est le cas, comment les futurs enseignants pourront-ils enseigner la lecture en éwégbé au cours préparatoire alors qu’ils éprouvent eux-mêmes des difficultés de compréhension ? On y voit également, selon Cummins, un problème de CALP : la formation développe peu, voire pas du tout, les compétences académiques en langue éwé.</w:t>
      </w:r>
    </w:p>
    <w:p>
      <w:pPr>
        <w:pStyle w:val="Heading3"/>
        <w:jc w:val="left"/>
      </w:pPr>
      <w:r>
        <w:t>4.12.2. Sur le plan linguistique</w:t>
      </w:r>
    </w:p>
    <w:p>
      <w:pPr>
        <w:spacing w:after="120"/>
        <w:ind w:firstLine="567"/>
        <w:jc w:val="both"/>
      </w:pPr>
      <w:r>
        <w:rPr>
          <w:rFonts w:ascii="Times New Roman" w:hAnsi="Times New Roman"/>
          <w:b w:val="0"/>
          <w:i w:val="0"/>
          <w:sz w:val="24"/>
        </w:rPr>
        <w:t>Les données recensées dans ce domaine relèvent que 46 % des EPE souffrent de problèmes de tons et 24 % de non-maîtrise de l’alphabet. Ces pourcentages montrent que les compétences de base (BICS) ne sont pas maîtrisées ; or, il est impossible d’accéder aux compétences scolaires (CALP) sans compétences de base solides. Le futur professeur d’école qui ne maîtrise pas les tons transmettra inévitablement des erreurs à ses élèves ; ce problème atteste également que l’expression orale n’est pas suffisamment travaillée au cours de la formation.</w:t>
      </w:r>
    </w:p>
    <w:p>
      <w:pPr>
        <w:spacing w:after="120"/>
        <w:ind w:firstLine="567"/>
        <w:jc w:val="both"/>
      </w:pPr>
      <w:r>
        <w:rPr>
          <w:rFonts w:ascii="Times New Roman" w:hAnsi="Times New Roman"/>
          <w:b w:val="0"/>
          <w:i w:val="0"/>
          <w:sz w:val="24"/>
        </w:rPr>
        <w:t>Les 24 % de lacunes en alphabet et en syllabation constituent une situation tout aussi alarmante : environ un quart des étudiants ne maîtrise pas les bases de l’écrit en langue éwé. Cet état de fait pourrait s’expliquer par le fait que la plupart des élèves-professeurs ne sont pas originaires de milieux éwéphones et arrivent à l’ENFPE sans avoir appris la langue au cours de leur cursus scolaire — ce que confirme le tableau 13, avec 52 % n’ayant jamais suivi de cours d’éwégbé. Il s’avère donc qu’une formation de deux ans, avec un volume horaire aussi réduit, ne saurait suffire à rattraper un tel retard. On est ainsi fondé à affirmer que le système actuel forme des enseignants qui sortiront avec un niveau de langue inférieur à la norme requise.</w:t>
      </w:r>
    </w:p>
    <w:p>
      <w:pPr>
        <w:spacing w:after="120"/>
        <w:ind w:firstLine="567"/>
        <w:jc w:val="both"/>
      </w:pPr>
      <w:r>
        <w:rPr>
          <w:rFonts w:ascii="Times New Roman" w:hAnsi="Times New Roman"/>
          <w:b w:val="0"/>
          <w:i w:val="0"/>
          <w:sz w:val="24"/>
        </w:rPr>
        <w:t>Un second phénomène linguistique doit être signalé, que l’observation de classe a mis en évidence : l’usage massif du guin-mina en lieu et place de l’éwé standard recommandé par les instructions officielles. Cette substitution, qui s’opère souvent à l’insu des locuteurs eux-mêmes, s’explique par le statut véhiculaire du guin-mina sur l’ensemble du territoire. Elle pose un problème didactique redoutable : le futur enseignant croit parler la langue qu’il est censé enseigner, alors qu’il en parle une variété que la norme scolaire ne reconnaît pas. Rongier (1995) avait anticipé cette difficulté et proposé, pour la résoudre, d’enseigner le guin-mina tout en conservant l’éwé standard comme référence littéraire — proposition qui mériterait aujourd’hui d’être réexaminée.</w:t>
      </w:r>
    </w:p>
    <w:p>
      <w:pPr>
        <w:pStyle w:val="Heading3"/>
        <w:jc w:val="left"/>
      </w:pPr>
      <w:r>
        <w:t>4.12.3. Sur le plan sociologique</w:t>
      </w:r>
    </w:p>
    <w:p>
      <w:pPr>
        <w:spacing w:after="120"/>
        <w:ind w:firstLine="567"/>
        <w:jc w:val="both"/>
      </w:pPr>
      <w:r>
        <w:rPr>
          <w:rFonts w:ascii="Times New Roman" w:hAnsi="Times New Roman"/>
          <w:b w:val="0"/>
          <w:i w:val="0"/>
          <w:sz w:val="24"/>
        </w:rPr>
        <w:t>Les entretiens révèlent une réelle dévalorisation de la langue éwé et posent un problème de motivation à son égard. Pour environ 60 % des EPE, « la maîtrise du français est synonyme de réussite scolaire, et donc de réussite dans la vie », ce qui renvoie directement à la notion de marché linguistique de Bourdieu. Si une réelle valeur avait été accordée à l’éwégbé, l’État, par le biais du ministère, se serait investi pour doter les écoles normales en manuels, en affiches et en laboratoires de langues.</w:t>
      </w:r>
    </w:p>
    <w:p>
      <w:pPr>
        <w:spacing w:after="120"/>
        <w:ind w:firstLine="567"/>
        <w:jc w:val="both"/>
      </w:pPr>
      <w:r>
        <w:rPr>
          <w:rFonts w:ascii="Times New Roman" w:hAnsi="Times New Roman"/>
          <w:b w:val="0"/>
          <w:i w:val="0"/>
          <w:sz w:val="24"/>
        </w:rPr>
        <w:t>Le manque de motivation s’explique donc par ce défaut de valorisation : le français étant perçu comme la « langue de réussite », certains EPE estiment qu’on peut être professeur d’école sans nécessairement savoir écrire ni lire la langue éwé. Ceux qui s’y intéressent estiment souvent que le contenu du programme ne répond pas à leurs attentes, la plupart, étant chrétiens, souhaitant des compétences leur permettant de répondre à des besoins sociaux tels que la lecture de la Bible, à l’église ou pour eux-mêmes.</w:t>
      </w:r>
    </w:p>
    <w:p>
      <w:pPr>
        <w:spacing w:after="120"/>
        <w:ind w:firstLine="567"/>
        <w:jc w:val="both"/>
      </w:pPr>
      <w:r>
        <w:rPr>
          <w:rFonts w:ascii="Times New Roman" w:hAnsi="Times New Roman"/>
          <w:b w:val="0"/>
          <w:i w:val="0"/>
          <w:sz w:val="24"/>
        </w:rPr>
        <w:t>Un dernier aspect, plus délicat, doit être abordé avec la prudence qu’il requiert. Certains EPE se sentent frustrés de ce que leur propre langue n’ait pas été retenue comme objet d’enseignement-apprentissage sur le plan national, ce qui soulève un problème de tensions interethniques qui ne dit pas son nom. Ce problème récurrent, que les formateurs gèrent le plus souvent avec beaucoup de tact, appelle davantage de réflexion sur l’instauration de langues régionales, fondée sur des bases linguistiques, démographiques et géographiques démocratiquement établies, en vue de leur acceptation par tous et de la consolidation de l’unité nationale et de la cohésion sociale. La CONFEMEN (2022, p. 53) souligne d’ailleurs que les manuels en langues nationales sont également capitaux pour le vivre-ensemble, précisément afin d’éviter une accentuation de la discrimination entre les composantes nationales.</w:t>
      </w:r>
    </w:p>
    <w:p>
      <w:pPr>
        <w:pStyle w:val="Heading3"/>
        <w:jc w:val="left"/>
      </w:pPr>
      <w:r>
        <w:t>4.12.4. Sur le plan didactique</w:t>
      </w:r>
    </w:p>
    <w:p>
      <w:pPr>
        <w:spacing w:after="120"/>
        <w:ind w:firstLine="567"/>
        <w:jc w:val="both"/>
      </w:pPr>
      <w:r>
        <w:rPr>
          <w:rFonts w:ascii="Times New Roman" w:hAnsi="Times New Roman"/>
          <w:b w:val="0"/>
          <w:i w:val="0"/>
          <w:sz w:val="24"/>
        </w:rPr>
        <w:t>L’absence de manuels, de fiches, d’affiches et de supports pour l’alphabet, exprimée par 54 % des EPE, révèle un écart entre le curriculum prescrit — à supposer qu’il en existe véritablement un pour la langue éwé — et les moyens réellement disponibles. Cela ne peut que pousser le formateur vers des cours magistraux, comme l’ont relevé huit EPE sur cinquante. Dans ces conditions, l’élève-professeur n’a aucune chance de voir à quoi ressemble effectivement une classe bilingue, d’autant que le centre de formation ne dispose d’aucune salle spécialisée dédiée aux langues nationales.</w:t>
      </w:r>
    </w:p>
    <w:p>
      <w:pPr>
        <w:spacing w:after="120"/>
        <w:ind w:firstLine="567"/>
        <w:jc w:val="both"/>
      </w:pPr>
      <w:r>
        <w:rPr>
          <w:rFonts w:ascii="Times New Roman" w:hAnsi="Times New Roman"/>
          <w:b w:val="0"/>
          <w:i w:val="0"/>
          <w:sz w:val="24"/>
        </w:rPr>
        <w:t>L’inventaire des supports, qui constituait notre objectif spécifique OS2, se solde par le constat suivant, établi auprès de l’administration, du formateur et de la bibliothèque du centre : en dehors du module de formation, qui sert également de guide d’exécution au formateur et n’est pas accessible aux EPE, aucun document n’est officiellement retenu comme manuel de travail pour les étudiants. Pas même un dictionnaire de langue éwé, ni pour le formateur, ni pour un usage collectif des étudiants. Aucune œuvre littéraire ne figure au programme de formation à l’ENFPE de Notsè. Aucun support audio standardisé n’est disponible pour le travail des tons. Un seul EPE sur cinquante possède un manuel en éwégbé, acquis à titre personnel, et l’estime inadapté au programme.</w:t>
      </w:r>
    </w:p>
    <w:p>
      <w:pPr>
        <w:spacing w:after="120"/>
        <w:ind w:firstLine="567"/>
        <w:jc w:val="both"/>
      </w:pPr>
      <w:r>
        <w:rPr>
          <w:rFonts w:ascii="Times New Roman" w:hAnsi="Times New Roman"/>
          <w:b w:val="0"/>
          <w:i w:val="0"/>
          <w:sz w:val="24"/>
        </w:rPr>
        <w:t>Ce constat, d’une sécheresse arithmétique, répond par la négative et sans réserve à la question secondaire QS2. Il confirme intégralement l’hypothèse HS1 et rejoint, à quarante ans de distance, le constat d’Amoudji (1987) rapporté par Rongier, selon lequel les maîtres d’éwé « ne disposaient ni de dictionnaires ni de livres de grammaire ». Que ce constat soit reconductible mot pour mot en 2026 constitue, en soi, un résultat de recherche.</w:t>
      </w:r>
    </w:p>
    <w:p>
      <w:pPr>
        <w:pStyle w:val="Heading2"/>
        <w:jc w:val="left"/>
      </w:pPr>
      <w:r>
        <w:t>4.13. Interprétation des résultats à la lumière des cadres théoriques</w:t>
      </w:r>
    </w:p>
    <w:p>
      <w:pPr>
        <w:spacing w:after="120"/>
        <w:ind w:firstLine="567"/>
        <w:jc w:val="both"/>
      </w:pPr>
      <w:r>
        <w:rPr>
          <w:rFonts w:ascii="Times New Roman" w:hAnsi="Times New Roman"/>
          <w:b w:val="0"/>
          <w:i w:val="0"/>
          <w:sz w:val="24"/>
        </w:rPr>
        <w:t>L’analyse des résultats obtenus révèle d’abord une carence générale, due à la non-application des recommandations de la réforme de 1975. Malgré le manque de moyens financiers régulièrement invoqué, et outre les troubles politiques des années 1990 qui ont contribué à l’essoufflement de l’enseignement des langues nationales, on note un réel manque de volonté politique : aucune mesure coercitive ni incitative mettant en valeur les langues nationales n’a jusqu’ici été prise pour amener les jeunes citoyens à les prendre au sérieux, contrairement au cas de l’anglais au cours primaire.</w:t>
      </w:r>
    </w:p>
    <w:p>
      <w:pPr>
        <w:spacing w:after="120"/>
        <w:ind w:firstLine="567"/>
        <w:jc w:val="both"/>
      </w:pPr>
      <w:r>
        <w:rPr>
          <w:rFonts w:ascii="Times New Roman" w:hAnsi="Times New Roman"/>
          <w:b w:val="0"/>
          <w:i w:val="0"/>
          <w:sz w:val="24"/>
        </w:rPr>
        <w:t>Cette situation est malheureusement entretenue au sein de certaines cellules familiales, où parler sa langue est perçu comme un signe de retard. Si les langues nationales avaient véritablement été enseignées, ne serait-ce que dans les deux zones réparties par la réforme, on n’en serait sans doute pas aujourd’hui à des statistiques aussi alarmantes, notamment sur l’alphabet et la syllabation.</w:t>
      </w:r>
    </w:p>
    <w:p>
      <w:pPr>
        <w:spacing w:after="120"/>
        <w:ind w:firstLine="567"/>
        <w:jc w:val="both"/>
      </w:pPr>
      <w:r>
        <w:rPr>
          <w:rFonts w:ascii="Times New Roman" w:hAnsi="Times New Roman"/>
          <w:b w:val="0"/>
          <w:i w:val="0"/>
          <w:sz w:val="24"/>
        </w:rPr>
        <w:t>La question des langues régionales s’invite également au débat, dans la mesure où, au terme de deux ans de formation, certains non-locuteurs estiment ne rien comprendre à la langue éwé. Cela serait-il imputable au formateur, au dispositif, ou aux apprenants eux-mêmes ? La question reste posée, même si, pédagogiquement, cette dernière hypothèse n’a guère de raison d’être. Que peut faire un formateur face à un apprenant non locuteur, dépité de constater que ce n’est pas sa propre langue qui fait l’objet de l’apprentissage ? Le fait, par ailleurs, que la plupart des EPE n’aient appris l’éwégbé qu’en troisième et en première soulève avec acuité la question du caractère facultatif des langues nationales au secondaire. Les EPE peinent à se départir de cette représentation et à considérer ces langues comme une unité d’enseignement fondamentale, à aborder avec le sérieux requis.</w:t>
      </w:r>
    </w:p>
    <w:p>
      <w:pPr>
        <w:spacing w:after="120"/>
        <w:ind w:firstLine="567"/>
        <w:jc w:val="both"/>
      </w:pPr>
      <w:r>
        <w:rPr>
          <w:rFonts w:ascii="Times New Roman" w:hAnsi="Times New Roman"/>
          <w:b w:val="0"/>
          <w:i w:val="0"/>
          <w:sz w:val="24"/>
        </w:rPr>
        <w:t>Au-delà de ces constats, et à la lumière de nos trois cadres théoriques, les résultats obtenus s’interprètent comme suit.</w:t>
      </w:r>
    </w:p>
    <w:p>
      <w:pPr>
        <w:pStyle w:val="Heading3"/>
        <w:jc w:val="left"/>
      </w:pPr>
      <w:r>
        <w:t>4.13.1. Lecture par la transposition didactique (Chevallard)</w:t>
      </w:r>
    </w:p>
    <w:p>
      <w:pPr>
        <w:spacing w:after="120"/>
        <w:ind w:firstLine="567"/>
        <w:jc w:val="both"/>
      </w:pPr>
      <w:r>
        <w:rPr>
          <w:rFonts w:ascii="Times New Roman" w:hAnsi="Times New Roman"/>
          <w:b w:val="0"/>
          <w:i w:val="0"/>
          <w:sz w:val="24"/>
        </w:rPr>
        <w:t>On note une rupture dans la chaîne de transposition : le « savoir savant » en linguistique éwé n’est pas transformé en « savoir à enseigner » utilisable en classe primaire, faute de temps, de supports et, surtout, d’instance chargée de cette transformation. Cette rupture se situe en amont du formateur : celui-ci ne dispose d’aucun savoir à enseigner constitué qu’il pourrait convertir en savoir enseigné. Il lui revient donc, en pratique, d’opérer seul, en temps réel et sans outil, une transposition qui relève normalement d’un travail institutionnel de longue haleine.</w:t>
      </w:r>
    </w:p>
    <w:p>
      <w:pPr>
        <w:spacing w:after="120"/>
        <w:ind w:firstLine="567"/>
        <w:jc w:val="both"/>
      </w:pPr>
      <w:r>
        <w:rPr>
          <w:rFonts w:ascii="Times New Roman" w:hAnsi="Times New Roman"/>
          <w:b w:val="0"/>
          <w:i w:val="0"/>
          <w:sz w:val="24"/>
        </w:rPr>
        <w:t>Une conséquence observable de cette rupture est l’usage excessif du guin-mina par les EPE, en lieu et place de l’éwé standard recommandé par les instructions officielles, le guin-mina s’imposant alors comme langue véhiculaire de fait. En l’absence de norme explicitement enseignée et outillée, c’est l’usage spontané qui occupe le terrain.</w:t>
      </w:r>
    </w:p>
    <w:p>
      <w:pPr>
        <w:pStyle w:val="Heading3"/>
        <w:jc w:val="left"/>
      </w:pPr>
      <w:r>
        <w:t>4.13.2. Lecture par le modèle d’interdépendance linguistique (Cummins)</w:t>
      </w:r>
    </w:p>
    <w:p>
      <w:pPr>
        <w:spacing w:after="120"/>
        <w:ind w:firstLine="567"/>
        <w:jc w:val="both"/>
      </w:pPr>
      <w:r>
        <w:rPr>
          <w:rFonts w:ascii="Times New Roman" w:hAnsi="Times New Roman"/>
          <w:b w:val="0"/>
          <w:i w:val="0"/>
          <w:sz w:val="24"/>
        </w:rPr>
        <w:t>On constate un blocage des EPE au niveau des compétences de base, ce qui ne leur permet pas de développer les compétences scolaires nécessaires à l’enseignement des disciplines en éwé standard, le dispositif actuel n’ayant pas prévu suffisamment d’activités pour assurer le passage des BICS aux CALP.</w:t>
      </w:r>
    </w:p>
    <w:p>
      <w:pPr>
        <w:spacing w:after="120"/>
        <w:ind w:firstLine="567"/>
        <w:jc w:val="both"/>
      </w:pPr>
      <w:r>
        <w:rPr>
          <w:rFonts w:ascii="Times New Roman" w:hAnsi="Times New Roman"/>
          <w:b w:val="0"/>
          <w:i w:val="0"/>
          <w:sz w:val="24"/>
        </w:rPr>
        <w:t>Le modèle permet toutefois une distinction plus fine que ne le laisse entendre cette formulation générale, et c’est là que nos données apportent quelque chose. Les quatre profils ne sont pas bloqués au même endroit. Les non-locuteurs sont en deçà même des BICS : ils n’ont pas acquis la communication courante. Les non-natifs disposent de BICS partielles et instables. Les natifs possèdent des BICS complètes et des CALP nulles. Or le dispositif traite ces trois situations de manière identique, alors qu’elles appellent des interventions radicalement différentes : alphabétisation initiale pour les premiers, consolidation pour les deuxièmes, littératie académique pour les troisièmes. C’est l’indifférenciation, davantage que le blocage lui-même, qui constitue le défaut central du dispositif.</w:t>
      </w:r>
    </w:p>
    <w:p>
      <w:pPr>
        <w:pStyle w:val="Heading3"/>
        <w:jc w:val="left"/>
      </w:pPr>
      <w:r>
        <w:t>4.13.3. Lecture par le marché linguistique et les représentations sociales (Bourdieu, Moscovici)</w:t>
      </w:r>
    </w:p>
    <w:p>
      <w:pPr>
        <w:spacing w:after="120"/>
        <w:ind w:firstLine="567"/>
        <w:jc w:val="both"/>
      </w:pPr>
      <w:r>
        <w:rPr>
          <w:rFonts w:ascii="Times New Roman" w:hAnsi="Times New Roman"/>
          <w:b w:val="0"/>
          <w:i w:val="0"/>
          <w:sz w:val="24"/>
        </w:rPr>
        <w:t>Il apparaît clairement que la langue éwé n’a qu’une faible valeur sur le marché linguistique, plus faible encore pour l’éwé standard, jugé « trop difficile » par la jeune génération — résultat de la non-application des recommandations de la réforme de 1975. Les EPE s’investissent donc très peu dans son apprentissage, considérant qu’elle n’apporte rien dans un monde en pleine mutation.</w:t>
      </w:r>
    </w:p>
    <w:p>
      <w:pPr>
        <w:spacing w:after="120"/>
        <w:ind w:firstLine="567"/>
        <w:jc w:val="both"/>
      </w:pPr>
      <w:r>
        <w:rPr>
          <w:rFonts w:ascii="Times New Roman" w:hAnsi="Times New Roman"/>
          <w:b w:val="0"/>
          <w:i w:val="0"/>
          <w:sz w:val="24"/>
        </w:rPr>
        <w:t>Nos données permettent de préciser les mécanismes par lesquels cette dévaluation s’opère institutionnellement. Ils sont au nombre de cinq, tous documentés dans les sections précédentes : le regroupement de deux langues distinctes en une seule unité d’enseignement ; le partage d’un volume horaire commun ; la conception des épreuves en français ; la mise en commun des épreuves des deux langues lors des évaluations ; et l’absence totale de la discipline sur les tableaux de service des écoles d’application. Chacun de ces mécanismes est, pris isolément, une simple modalité d’organisation. Ensemble, ils constituent un discours institutionnel parfaitement cohérent sur la valeur relative des langues, que les apprenants déchiffrent sans difficulté. De facto, tous ces facteurs envoient aux étudiants un signal implicite : ces langues auraient moins de valeur.</w:t>
      </w:r>
    </w:p>
    <w:p>
      <w:pPr>
        <w:pStyle w:val="Heading3"/>
        <w:jc w:val="left"/>
      </w:pPr>
      <w:r>
        <w:t>4.13.4. Synthèse interprétative : trois mécanismes imbriqués</w:t>
      </w:r>
    </w:p>
    <w:p>
      <w:pPr>
        <w:spacing w:after="120"/>
        <w:ind w:firstLine="567"/>
        <w:jc w:val="both"/>
      </w:pPr>
      <w:r>
        <w:rPr>
          <w:rFonts w:ascii="Times New Roman" w:hAnsi="Times New Roman"/>
          <w:b w:val="0"/>
          <w:i w:val="0"/>
          <w:sz w:val="24"/>
        </w:rPr>
        <w:t>En somme, nos données révèlent trois éléments distincts et cumulatifs.</w:t>
      </w:r>
    </w:p>
    <w:p>
      <w:pPr>
        <w:spacing w:after="120"/>
        <w:ind w:firstLine="567"/>
        <w:jc w:val="both"/>
      </w:pPr>
      <w:r>
        <w:rPr>
          <w:rFonts w:ascii="Times New Roman" w:hAnsi="Times New Roman"/>
          <w:b w:val="0"/>
          <w:i w:val="0"/>
          <w:sz w:val="24"/>
        </w:rPr>
        <w:t>Premièrement, un dispositif produisant de l’incompétence : plus de la moitié des futurs professeurs d’école sortent avec des lacunes graves en grammaire et en lecture, ce qui est incompatible avec la conduite d’une école bilingue.</w:t>
      </w:r>
    </w:p>
    <w:p>
      <w:pPr>
        <w:spacing w:after="120"/>
        <w:ind w:firstLine="567"/>
        <w:jc w:val="both"/>
      </w:pPr>
      <w:r>
        <w:rPr>
          <w:rFonts w:ascii="Times New Roman" w:hAnsi="Times New Roman"/>
          <w:b w:val="0"/>
          <w:i w:val="0"/>
          <w:sz w:val="24"/>
        </w:rPr>
        <w:t>Deuxièmement, une formation déconnectée des besoins du terrain : une formation théorique, sans matériel, qui laisse 46 % des EPE en difficulté à l’oral et ne leur donne, lors des stages, aucune occasion d’enseigner effectivement la langue.</w:t>
      </w:r>
    </w:p>
    <w:p>
      <w:pPr>
        <w:spacing w:after="120"/>
        <w:ind w:firstLine="567"/>
        <w:jc w:val="both"/>
      </w:pPr>
      <w:r>
        <w:rPr>
          <w:rFonts w:ascii="Times New Roman" w:hAnsi="Times New Roman"/>
          <w:b w:val="0"/>
          <w:i w:val="0"/>
          <w:sz w:val="24"/>
        </w:rPr>
        <w:t>Troisièmement, un cercle vicieux sociolinguistique : la faible valeur sociale accordée à la langue éwé entraîne un faible investissement personnel dans son apprentissage de la part du futur professeur d’école, qui acquiert alors un faible niveau. Or un enseignant de faible niveau ne peut dispenser qu’un enseignement de qualité médiocre, débouchant sur l’échec des élèves — lequel confirme, aux yeux de tous, que la langue « ne sert à rien ». Le cercle se referme, et chaque tour le resserre.</w:t>
      </w:r>
    </w:p>
    <w:p>
      <w:pPr>
        <w:pStyle w:val="Heading2"/>
        <w:jc w:val="left"/>
      </w:pPr>
      <w:r>
        <w:t>4.14. Discussion des résultats</w:t>
      </w:r>
    </w:p>
    <w:p>
      <w:pPr>
        <w:spacing w:after="120"/>
        <w:ind w:firstLine="567"/>
        <w:jc w:val="both"/>
      </w:pPr>
      <w:r>
        <w:rPr>
          <w:rFonts w:ascii="Times New Roman" w:hAnsi="Times New Roman"/>
          <w:b w:val="0"/>
          <w:i w:val="0"/>
          <w:sz w:val="24"/>
        </w:rPr>
        <w:t>Il convient, avant toute chose, de reconnaître ce que le dispositif comporte de légitimement positif, car une analyse critique n’a de valeur que si elle sait distinguer. L’observation du programme d’enseignement de l’éwégbé dans les ENFPE du Togo, et donc dans celle de Notsè, nous paraît efficace pour les débutants dans l’apprentissage de cette langue. Elle est la bienvenue dans la mesure où les élèves-professeurs viennent d’horizons divers et sont, pour la plupart, des non-locuteurs ou des locuteurs non natifs : elle offre ainsi une chance égale à tous ces étudiants, qui partent d’une même base, sans discrimination ni complexe, au sein de classes principalement hétérogènes. Les pratiques pédagogiques en vigueur intègrent par ailleurs les méthodes actives recommandées, et le dispositif bénéficie d’une organisation et d’un encadrement officiels, bien structurés par des textes et des lois.</w:t>
      </w:r>
    </w:p>
    <w:p>
      <w:pPr>
        <w:spacing w:after="120"/>
        <w:ind w:firstLine="567"/>
        <w:jc w:val="both"/>
      </w:pPr>
      <w:r>
        <w:rPr>
          <w:rFonts w:ascii="Times New Roman" w:hAnsi="Times New Roman"/>
          <w:b w:val="0"/>
          <w:i w:val="0"/>
          <w:sz w:val="24"/>
        </w:rPr>
        <w:t>Certaines réalités de terrain suscitent néanmoins des interrogations quant à la qualité des résultats escomptés. Tout d’abord, les notions enseignées, très élémentaires à notre avis, tendent à ne pas suffisamment retenir l’attention des locuteurs, qui pensent maîtriser déjà la langue alors que ce n’est le plus souvent pas vraiment le cas — le tableau 8 en apporte la démonstration chiffrée. Ce programme, ne comportant aucune trace de cours de grammaire ni de conjugaison, conduit à s’interroger sur la manière de former des enseignants à enseigner une langue qu’ils parlent sans en maîtriser la grammaire normative. En termes concrets : comment un professeur d’école pourrait-il enseigner ou expliquer les notions de temps — le passé, le présent simple, le présent progressif, le futur simple — à un élève du cours élémentaire, alors que lui-même ne les maîtrise pas ? Il s’agit là, précisément, de la question de la transposition didactique (Chevallard, 1985).</w:t>
      </w:r>
    </w:p>
    <w:p>
      <w:pPr>
        <w:spacing w:after="120"/>
        <w:ind w:firstLine="567"/>
        <w:jc w:val="both"/>
      </w:pPr>
      <w:r>
        <w:rPr>
          <w:rFonts w:ascii="Times New Roman" w:hAnsi="Times New Roman"/>
          <w:b w:val="0"/>
          <w:i w:val="0"/>
          <w:sz w:val="24"/>
        </w:rPr>
        <w:t>La qualité des stages se pose également avec acuité. Les EPE se sont plaints de ce que, lors des stages, ils n’ont jamais eu ni à assister ni à dispenser un cours de langue éwé, qui ne figure d’ailleurs pas sur les tableaux de service. Notre propre relevé de suivi (tableau 3) le confirme sans équivoque : aucune des vingt-six leçons observées ne relevait d’une langue nationale. Cet état de fait, couplé à l’indisponibilité des ressources — insuffisance du matériel audio, absence de salles spécialisées —, entrave considérablement le transfert des acquis de la formation vers les pratiques de classe. Se pose ainsi le réel problème de la place réservée à nos langues en matière d’éducation, d’apprentissage et de perspectives pour notre système éducatif.</w:t>
      </w:r>
    </w:p>
    <w:p>
      <w:pPr>
        <w:pStyle w:val="Heading3"/>
        <w:jc w:val="left"/>
      </w:pPr>
      <w:r>
        <w:t>4.14.1. Confrontation avec la littérature</w:t>
      </w:r>
    </w:p>
    <w:p>
      <w:pPr>
        <w:spacing w:after="120"/>
        <w:ind w:firstLine="567"/>
        <w:jc w:val="both"/>
      </w:pPr>
      <w:r>
        <w:rPr>
          <w:rFonts w:ascii="Times New Roman" w:hAnsi="Times New Roman"/>
          <w:b w:val="0"/>
          <w:i w:val="0"/>
          <w:sz w:val="24"/>
        </w:rPr>
        <w:t>Nos résultats viennent confirmer ceux de plusieurs études menées en Afrique, pour lesquelles aucun effort sensible n’a malheureusement été consenti par la plupart de nos États en vue d’une réelle promotion de nos langues. Comme Kambou (2018) au Burkina Faso et Djité (2008), nous constatons que l’échec de l’école bilingue tient d’abord à la formation insuffisante, voire inexistante, des enseignants en langues africaines. Le taux de 54 % de manque de matériel didactique relevé dans notre recherche rejoint ainsi les constats de l’UNICEF sur notre pays en 2020.</w:t>
      </w:r>
    </w:p>
    <w:p>
      <w:pPr>
        <w:spacing w:after="120"/>
        <w:ind w:firstLine="567"/>
        <w:jc w:val="both"/>
      </w:pPr>
      <w:r>
        <w:rPr>
          <w:rFonts w:ascii="Times New Roman" w:hAnsi="Times New Roman"/>
          <w:b w:val="0"/>
          <w:i w:val="0"/>
          <w:sz w:val="24"/>
        </w:rPr>
        <w:t>Nos données dialoguent également avec les travaux ghanéens mobilisés au chapitre 3, et le rapprochement est instructif. Danso (2020) relevait que 62 % des enseignants néo-titulaires ghanéens se sentaient peu confiants pour conduire une leçon de sciences en éwégbé, tout en s’estimant à l’aise pour enseigner l’éwé comme matière. Or le Ghana forme ses maîtres pendant quatre ans, dans des institutions spécialisées offrant grammaire, phonétique et linguistique éwé. Le Togo les forme en deux ans, avec trente heures effectives, sans manuel ni dictionnaire. Si l’écart de moyens est considérable, l’écart de résultats l’est davantage encore : là où les néo-titulaires ghanéens se déclarent compétents pour enseigner la langue comme matière, aucun de nos cinquante enquêtés ne s’auto-évalue « très bon », et 75 % des natifs déclarent des difficultés à l’écrit. La comparaison confirme que l’ampleur du dispositif de formation détermine directement le niveau des sortants.</w:t>
      </w:r>
    </w:p>
    <w:p>
      <w:pPr>
        <w:pStyle w:val="Heading3"/>
        <w:jc w:val="left"/>
      </w:pPr>
      <w:r>
        <w:t>4.14.2. Apports propres de l’étude</w:t>
      </w:r>
    </w:p>
    <w:p>
      <w:pPr>
        <w:spacing w:after="120"/>
        <w:ind w:firstLine="567"/>
        <w:jc w:val="both"/>
      </w:pPr>
      <w:r>
        <w:rPr>
          <w:rFonts w:ascii="Times New Roman" w:hAnsi="Times New Roman"/>
          <w:b w:val="0"/>
          <w:i w:val="0"/>
          <w:sz w:val="24"/>
        </w:rPr>
        <w:t>Notre étude apporte toutefois trois nuances que la littérature disponible ne comportait pas.</w:t>
      </w:r>
    </w:p>
    <w:p>
      <w:pPr>
        <w:spacing w:after="120"/>
        <w:ind w:firstLine="567"/>
        <w:jc w:val="both"/>
      </w:pPr>
      <w:r>
        <w:rPr>
          <w:rFonts w:ascii="Times New Roman" w:hAnsi="Times New Roman"/>
          <w:b w:val="0"/>
          <w:i w:val="0"/>
          <w:sz w:val="24"/>
        </w:rPr>
        <w:t>Premièrement, le problème, loin d’être uniquement matériel, est également identitaire. Les 46 % de problèmes de tons relevés traduisent une hétérogénéité des classes qu’on ne saurait éviter, mais qui n’est pas sans conséquences. En réalité, beaucoup d’EPE sont des « apprenants » de l’éwégbé et non des « locuteurs natifs », ce que le dispositif actuel ne prend nullement en compte.</w:t>
      </w:r>
    </w:p>
    <w:p>
      <w:pPr>
        <w:spacing w:after="120"/>
        <w:ind w:firstLine="567"/>
        <w:jc w:val="both"/>
      </w:pPr>
      <w:r>
        <w:rPr>
          <w:rFonts w:ascii="Times New Roman" w:hAnsi="Times New Roman"/>
          <w:b w:val="0"/>
          <w:i w:val="0"/>
          <w:sz w:val="24"/>
        </w:rPr>
        <w:t>Deuxièmement, et c’est l’apport le plus significatif, la compétence orale native ne constitue pas un acquis sur lequel la formation pourrait capitaliser : elle peut au contraire devenir un obstacle, en produisant chez le locuteur natif l’illusion d’une maîtrise que l’épreuve de l’écrit dément aussitôt. Les 75 % de difficultés à l’écrit chez les natifs, combinés à leur auto-évaluation majoritairement « bonne », mesurent exactement cet écart entre compétence perçue et compétence réelle.</w:t>
      </w:r>
    </w:p>
    <w:p>
      <w:pPr>
        <w:spacing w:after="120"/>
        <w:ind w:firstLine="567"/>
        <w:jc w:val="both"/>
      </w:pPr>
      <w:r>
        <w:rPr>
          <w:rFonts w:ascii="Times New Roman" w:hAnsi="Times New Roman"/>
          <w:b w:val="0"/>
          <w:i w:val="0"/>
          <w:sz w:val="24"/>
        </w:rPr>
        <w:t>Troisièmement, la difficulté n’est pas distribuée de manière homogène mais suit un gradient sociolinguistique systématique, ce qui invalide par principe toute réponse uniforme et impose la différenciation comme axe premier de toute réforme du dispositif.</w:t>
      </w:r>
    </w:p>
    <w:p>
      <w:pPr>
        <w:spacing w:after="120"/>
        <w:ind w:firstLine="567"/>
        <w:jc w:val="both"/>
      </w:pPr>
      <w:r>
        <w:rPr>
          <w:rFonts w:ascii="Times New Roman" w:hAnsi="Times New Roman"/>
          <w:b w:val="0"/>
          <w:i w:val="0"/>
          <w:sz w:val="24"/>
        </w:rPr>
        <w:t>Il ressort de ce qui précède que le dispositif d’enseignement-apprentissage de l’éwégbé actuellement en vigueur dans les ENFPE, et à l’ENFPE de Notsè en particulier, produit des enseignants dont le niveau linguistique en éwégbé est insuffisant. Des efforts importants en vue d’une réforme profonde s’imposent donc afin que l’objectif d’une école bilingue au Togo puisse être atteint.</w:t>
      </w:r>
    </w:p>
    <w:p>
      <w:pPr>
        <w:pStyle w:val="Heading2"/>
        <w:jc w:val="left"/>
      </w:pPr>
      <w:r>
        <w:t>4.15. Vérification des hypothèses</w:t>
      </w:r>
    </w:p>
    <w:p>
      <w:pPr>
        <w:spacing w:after="120"/>
        <w:ind w:firstLine="567"/>
        <w:jc w:val="both"/>
      </w:pPr>
      <w:r>
        <w:rPr>
          <w:rFonts w:ascii="Times New Roman" w:hAnsi="Times New Roman"/>
          <w:b w:val="0"/>
          <w:i w:val="0"/>
          <w:sz w:val="24"/>
        </w:rPr>
        <w:t>Au terme de cette analyse, il convient de reprendre systématiquement chacune des hypothèses formulées au chapitre 2 et d’indiquer, pour chacune, le résultat de sa confrontation aux données.</w:t>
      </w:r>
    </w:p>
    <w:p>
      <w:pPr>
        <w:keepNext/>
        <w:spacing w:before="200" w:after="80"/>
        <w:jc w:val="left"/>
      </w:pPr>
      <w:r>
        <w:rPr>
          <w:rFonts w:ascii="Times New Roman" w:hAnsi="Times New Roman"/>
          <w:b/>
          <w:sz w:val="22"/>
        </w:rPr>
        <w:t>Tableau 21 : Synthèse de la vérification des hypothèses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608"/>
            <w:shd w:val="clear" w:color="auto" w:fill="D9E2F3"/>
          </w:tcPr>
          <w:p>
            <w:pPr>
              <w:spacing w:after="40" w:before="40" w:line="240" w:lineRule="auto"/>
              <w:jc w:val="center"/>
            </w:pPr>
            <w:r/>
            <w:r>
              <w:rPr>
                <w:rFonts w:ascii="Times New Roman" w:hAnsi="Times New Roman"/>
                <w:b/>
                <w:sz w:val="17"/>
              </w:rPr>
              <w:t>Hypothèse</w:t>
            </w:r>
          </w:p>
        </w:tc>
        <w:tc>
          <w:tcPr>
            <w:tcW w:type="dxa" w:w="1701"/>
            <w:shd w:val="clear" w:color="auto" w:fill="D9E2F3"/>
          </w:tcPr>
          <w:p>
            <w:pPr>
              <w:spacing w:after="40" w:before="40" w:line="240" w:lineRule="auto"/>
              <w:jc w:val="center"/>
            </w:pPr>
            <w:r/>
            <w:r>
              <w:rPr>
                <w:rFonts w:ascii="Times New Roman" w:hAnsi="Times New Roman"/>
                <w:b/>
                <w:sz w:val="17"/>
              </w:rPr>
              <w:t>Indicateurs mobilisés</w:t>
            </w:r>
          </w:p>
        </w:tc>
        <w:tc>
          <w:tcPr>
            <w:tcW w:type="dxa" w:w="3061"/>
            <w:shd w:val="clear" w:color="auto" w:fill="D9E2F3"/>
          </w:tcPr>
          <w:p>
            <w:pPr>
              <w:spacing w:after="40" w:before="40" w:line="240" w:lineRule="auto"/>
              <w:jc w:val="center"/>
            </w:pPr>
            <w:r/>
            <w:r>
              <w:rPr>
                <w:rFonts w:ascii="Times New Roman" w:hAnsi="Times New Roman"/>
                <w:b/>
                <w:sz w:val="17"/>
              </w:rPr>
              <w:t>Résultat</w:t>
            </w:r>
          </w:p>
        </w:tc>
        <w:tc>
          <w:tcPr>
            <w:tcW w:type="dxa" w:w="1417"/>
            <w:shd w:val="clear" w:color="auto" w:fill="D9E2F3"/>
          </w:tcPr>
          <w:p>
            <w:pPr>
              <w:spacing w:after="40" w:before="40" w:line="240" w:lineRule="auto"/>
              <w:jc w:val="center"/>
            </w:pPr>
            <w:r/>
            <w:r>
              <w:rPr>
                <w:rFonts w:ascii="Times New Roman" w:hAnsi="Times New Roman"/>
                <w:b/>
                <w:sz w:val="17"/>
              </w:rPr>
              <w:t>Statut</w:t>
            </w:r>
          </w:p>
        </w:tc>
      </w:tr>
      <w:tr>
        <w:tc>
          <w:tcPr>
            <w:tcW w:type="dxa" w:w="2608"/>
          </w:tcPr>
          <w:p>
            <w:pPr>
              <w:spacing w:after="40" w:before="40" w:line="240" w:lineRule="auto"/>
              <w:jc w:val="left"/>
            </w:pPr>
            <w:r/>
            <w:r>
              <w:rPr>
                <w:rFonts w:ascii="Times New Roman" w:hAnsi="Times New Roman"/>
                <w:b w:val="0"/>
                <w:sz w:val="17"/>
              </w:rPr>
              <w:t>HP — Les insuffisances en ressources humaines, matérielles, horaires et technologiques réduisent l’efficacité du dispositif et limitent la préparation à une didactique contextualisée.</w:t>
            </w:r>
          </w:p>
        </w:tc>
        <w:tc>
          <w:tcPr>
            <w:tcW w:type="dxa" w:w="1701"/>
          </w:tcPr>
          <w:p>
            <w:pPr>
              <w:spacing w:after="40" w:before="40" w:line="240" w:lineRule="auto"/>
              <w:jc w:val="left"/>
            </w:pPr>
            <w:r/>
            <w:r>
              <w:rPr>
                <w:rFonts w:ascii="Times New Roman" w:hAnsi="Times New Roman"/>
                <w:b w:val="0"/>
                <w:sz w:val="17"/>
              </w:rPr>
              <w:t>Tableaux 1, 4 à 19 ; entretiens ; observation</w:t>
            </w:r>
          </w:p>
        </w:tc>
        <w:tc>
          <w:tcPr>
            <w:tcW w:type="dxa" w:w="3061"/>
          </w:tcPr>
          <w:p>
            <w:pPr>
              <w:spacing w:after="40" w:before="40" w:line="240" w:lineRule="auto"/>
              <w:jc w:val="left"/>
            </w:pPr>
            <w:r/>
            <w:r>
              <w:rPr>
                <w:rFonts w:ascii="Times New Roman" w:hAnsi="Times New Roman"/>
                <w:b w:val="0"/>
                <w:sz w:val="17"/>
              </w:rPr>
              <w:t>Un formateur pour 14 groupes-classes ; 30 heures effectives ; aucun manuel ni dictionnaire ; 80 à 100 % jugent le volume horaire et le contenu insuffisants ; aucune leçon de LN sur 26 observées en stage.</w:t>
            </w:r>
          </w:p>
        </w:tc>
        <w:tc>
          <w:tcPr>
            <w:tcW w:type="dxa" w:w="1417"/>
          </w:tcPr>
          <w:p>
            <w:pPr>
              <w:spacing w:after="40" w:before="40" w:line="240" w:lineRule="auto"/>
              <w:jc w:val="left"/>
            </w:pPr>
            <w:r/>
            <w:r>
              <w:rPr>
                <w:rFonts w:ascii="Times New Roman" w:hAnsi="Times New Roman"/>
                <w:b w:val="0"/>
                <w:sz w:val="17"/>
              </w:rPr>
              <w:t>Confirmée</w:t>
            </w:r>
          </w:p>
        </w:tc>
      </w:tr>
      <w:tr>
        <w:tc>
          <w:tcPr>
            <w:tcW w:type="dxa" w:w="2608"/>
          </w:tcPr>
          <w:p>
            <w:pPr>
              <w:spacing w:after="40" w:before="40" w:line="240" w:lineRule="auto"/>
              <w:jc w:val="left"/>
            </w:pPr>
            <w:r/>
            <w:r>
              <w:rPr>
                <w:rFonts w:ascii="Times New Roman" w:hAnsi="Times New Roman"/>
                <w:b w:val="0"/>
                <w:sz w:val="17"/>
              </w:rPr>
              <w:t>HS1 — La rareté des manuels, guides, livres de lecture et supports audio limite le développement des compétences.</w:t>
            </w:r>
          </w:p>
        </w:tc>
        <w:tc>
          <w:tcPr>
            <w:tcW w:type="dxa" w:w="1701"/>
          </w:tcPr>
          <w:p>
            <w:pPr>
              <w:spacing w:after="40" w:before="40" w:line="240" w:lineRule="auto"/>
              <w:jc w:val="left"/>
            </w:pPr>
            <w:r/>
            <w:r>
              <w:rPr>
                <w:rFonts w:ascii="Times New Roman" w:hAnsi="Times New Roman"/>
                <w:b w:val="0"/>
                <w:sz w:val="17"/>
              </w:rPr>
              <w:t>Tableaux 4 à 8 ; inventaire des supports</w:t>
            </w:r>
          </w:p>
        </w:tc>
        <w:tc>
          <w:tcPr>
            <w:tcW w:type="dxa" w:w="3061"/>
          </w:tcPr>
          <w:p>
            <w:pPr>
              <w:spacing w:after="40" w:before="40" w:line="240" w:lineRule="auto"/>
              <w:jc w:val="left"/>
            </w:pPr>
            <w:r/>
            <w:r>
              <w:rPr>
                <w:rFonts w:ascii="Times New Roman" w:hAnsi="Times New Roman"/>
                <w:b w:val="0"/>
                <w:sz w:val="17"/>
              </w:rPr>
              <w:t>54 % de l’échantillon cite le manque de support ; taux de 30 % à 85,7 % selon les profils ; un seul manuel personnel recensé sur 50 EPE ; aucun dictionnaire ni œuvre littéraire au programme.</w:t>
            </w:r>
          </w:p>
        </w:tc>
        <w:tc>
          <w:tcPr>
            <w:tcW w:type="dxa" w:w="1417"/>
          </w:tcPr>
          <w:p>
            <w:pPr>
              <w:spacing w:after="40" w:before="40" w:line="240" w:lineRule="auto"/>
              <w:jc w:val="left"/>
            </w:pPr>
            <w:r/>
            <w:r>
              <w:rPr>
                <w:rFonts w:ascii="Times New Roman" w:hAnsi="Times New Roman"/>
                <w:b w:val="0"/>
                <w:sz w:val="17"/>
              </w:rPr>
              <w:t>Confirmée</w:t>
            </w:r>
          </w:p>
        </w:tc>
      </w:tr>
      <w:tr>
        <w:tc>
          <w:tcPr>
            <w:tcW w:type="dxa" w:w="2608"/>
          </w:tcPr>
          <w:p>
            <w:pPr>
              <w:spacing w:after="40" w:before="40" w:line="240" w:lineRule="auto"/>
              <w:jc w:val="left"/>
            </w:pPr>
            <w:r/>
            <w:r>
              <w:rPr>
                <w:rFonts w:ascii="Times New Roman" w:hAnsi="Times New Roman"/>
                <w:b w:val="0"/>
                <w:sz w:val="17"/>
              </w:rPr>
              <w:t>HS2 — Le faible volume horaire et la prédominance des explications théoriques réduisent les occasions de pratiquer l’éwégbé.</w:t>
            </w:r>
          </w:p>
        </w:tc>
        <w:tc>
          <w:tcPr>
            <w:tcW w:type="dxa" w:w="1701"/>
          </w:tcPr>
          <w:p>
            <w:pPr>
              <w:spacing w:after="40" w:before="40" w:line="240" w:lineRule="auto"/>
              <w:jc w:val="left"/>
            </w:pPr>
            <w:r/>
            <w:r>
              <w:rPr>
                <w:rFonts w:ascii="Times New Roman" w:hAnsi="Times New Roman"/>
                <w:b w:val="0"/>
                <w:sz w:val="17"/>
              </w:rPr>
              <w:t>Tableaux 9, 14, 19 ; observation</w:t>
            </w:r>
          </w:p>
        </w:tc>
        <w:tc>
          <w:tcPr>
            <w:tcW w:type="dxa" w:w="3061"/>
          </w:tcPr>
          <w:p>
            <w:pPr>
              <w:spacing w:after="40" w:before="40" w:line="240" w:lineRule="auto"/>
              <w:jc w:val="left"/>
            </w:pPr>
            <w:r/>
            <w:r>
              <w:rPr>
                <w:rFonts w:ascii="Times New Roman" w:hAnsi="Times New Roman"/>
                <w:b w:val="0"/>
                <w:sz w:val="17"/>
              </w:rPr>
              <w:t>Volume jugé insuffisant par 75 à 100 % selon les groupes. La prédominance du magistral n’est en revanche pas établie : les méthodes actives sont appliquées, mais de façon indifférenciée, ce qui exclut de fait les débutants.</w:t>
            </w:r>
          </w:p>
        </w:tc>
        <w:tc>
          <w:tcPr>
            <w:tcW w:type="dxa" w:w="1417"/>
          </w:tcPr>
          <w:p>
            <w:pPr>
              <w:spacing w:after="40" w:before="40" w:line="240" w:lineRule="auto"/>
              <w:jc w:val="left"/>
            </w:pPr>
            <w:r/>
            <w:r>
              <w:rPr>
                <w:rFonts w:ascii="Times New Roman" w:hAnsi="Times New Roman"/>
                <w:b w:val="0"/>
                <w:sz w:val="17"/>
              </w:rPr>
              <w:t>Confirmée pour le volume horaire ; nuancée pour les méthodes</w:t>
            </w:r>
          </w:p>
        </w:tc>
      </w:tr>
      <w:tr>
        <w:tc>
          <w:tcPr>
            <w:tcW w:type="dxa" w:w="2608"/>
          </w:tcPr>
          <w:p>
            <w:pPr>
              <w:spacing w:after="40" w:before="40" w:line="240" w:lineRule="auto"/>
              <w:jc w:val="left"/>
            </w:pPr>
            <w:r/>
            <w:r>
              <w:rPr>
                <w:rFonts w:ascii="Times New Roman" w:hAnsi="Times New Roman"/>
                <w:b w:val="0"/>
                <w:sz w:val="17"/>
              </w:rPr>
              <w:t>HS3 — L’insuffisance de la formation spécialisée des formateurs ne permet pas de répondre aux besoins des EPE.</w:t>
            </w:r>
          </w:p>
        </w:tc>
        <w:tc>
          <w:tcPr>
            <w:tcW w:type="dxa" w:w="1701"/>
          </w:tcPr>
          <w:p>
            <w:pPr>
              <w:spacing w:after="40" w:before="40" w:line="240" w:lineRule="auto"/>
              <w:jc w:val="left"/>
            </w:pPr>
            <w:r/>
            <w:r>
              <w:rPr>
                <w:rFonts w:ascii="Times New Roman" w:hAnsi="Times New Roman"/>
                <w:b w:val="0"/>
                <w:sz w:val="17"/>
              </w:rPr>
              <w:t>Tableau 1 ; entretiens formateurs</w:t>
            </w:r>
          </w:p>
        </w:tc>
        <w:tc>
          <w:tcPr>
            <w:tcW w:type="dxa" w:w="3061"/>
          </w:tcPr>
          <w:p>
            <w:pPr>
              <w:spacing w:after="40" w:before="40" w:line="240" w:lineRule="auto"/>
              <w:jc w:val="left"/>
            </w:pPr>
            <w:r/>
            <w:r>
              <w:rPr>
                <w:rFonts w:ascii="Times New Roman" w:hAnsi="Times New Roman"/>
                <w:b w:val="0"/>
                <w:sz w:val="17"/>
              </w:rPr>
              <w:t>Formateur unique par langue, issu d’une reconversion du secondaire ; aucune filière de spécialisation au Togo ; aucun référentiel de compétences en vigueur.</w:t>
            </w:r>
          </w:p>
        </w:tc>
        <w:tc>
          <w:tcPr>
            <w:tcW w:type="dxa" w:w="1417"/>
          </w:tcPr>
          <w:p>
            <w:pPr>
              <w:spacing w:after="40" w:before="40" w:line="240" w:lineRule="auto"/>
              <w:jc w:val="left"/>
            </w:pPr>
            <w:r/>
            <w:r>
              <w:rPr>
                <w:rFonts w:ascii="Times New Roman" w:hAnsi="Times New Roman"/>
                <w:b w:val="0"/>
                <w:sz w:val="17"/>
              </w:rPr>
              <w:t>Confirmée</w:t>
            </w:r>
          </w:p>
        </w:tc>
      </w:tr>
      <w:tr>
        <w:tc>
          <w:tcPr>
            <w:tcW w:type="dxa" w:w="2608"/>
          </w:tcPr>
          <w:p>
            <w:pPr>
              <w:spacing w:after="40" w:before="40" w:line="240" w:lineRule="auto"/>
              <w:jc w:val="left"/>
            </w:pPr>
            <w:r/>
            <w:r>
              <w:rPr>
                <w:rFonts w:ascii="Times New Roman" w:hAnsi="Times New Roman"/>
                <w:b w:val="0"/>
                <w:sz w:val="17"/>
              </w:rPr>
              <w:t>HS4 — La faible valorisation sociale et institutionnelle de l’éwégbé diminue la motivation et l’engagement.</w:t>
            </w:r>
          </w:p>
        </w:tc>
        <w:tc>
          <w:tcPr>
            <w:tcW w:type="dxa" w:w="1701"/>
          </w:tcPr>
          <w:p>
            <w:pPr>
              <w:spacing w:after="40" w:before="40" w:line="240" w:lineRule="auto"/>
              <w:jc w:val="left"/>
            </w:pPr>
            <w:r/>
            <w:r>
              <w:rPr>
                <w:rFonts w:ascii="Times New Roman" w:hAnsi="Times New Roman"/>
                <w:b w:val="0"/>
                <w:sz w:val="17"/>
              </w:rPr>
              <w:t>Tableaux 17, 18 ; entretiens ; observation</w:t>
            </w:r>
          </w:p>
        </w:tc>
        <w:tc>
          <w:tcPr>
            <w:tcW w:type="dxa" w:w="3061"/>
          </w:tcPr>
          <w:p>
            <w:pPr>
              <w:spacing w:after="40" w:before="40" w:line="240" w:lineRule="auto"/>
              <w:jc w:val="left"/>
            </w:pPr>
            <w:r/>
            <w:r>
              <w:rPr>
                <w:rFonts w:ascii="Times New Roman" w:hAnsi="Times New Roman"/>
                <w:b w:val="0"/>
                <w:sz w:val="17"/>
              </w:rPr>
              <w:t>52 % trouvent normal l’usage du français pour évaluer les LN ; aucun EPE ne s’auto-évalue « très bon » ; cinq mécanismes institutionnels de dévaluation identifiés ; absence de débouché professionnel.</w:t>
            </w:r>
          </w:p>
        </w:tc>
        <w:tc>
          <w:tcPr>
            <w:tcW w:type="dxa" w:w="1417"/>
          </w:tcPr>
          <w:p>
            <w:pPr>
              <w:spacing w:after="40" w:before="40" w:line="240" w:lineRule="auto"/>
              <w:jc w:val="left"/>
            </w:pPr>
            <w:r/>
            <w:r>
              <w:rPr>
                <w:rFonts w:ascii="Times New Roman" w:hAnsi="Times New Roman"/>
                <w:b w:val="0"/>
                <w:sz w:val="17"/>
              </w:rPr>
              <w:t>Confirmée</w:t>
            </w:r>
          </w:p>
        </w:tc>
      </w:tr>
      <w:tr>
        <w:tc>
          <w:tcPr>
            <w:tcW w:type="dxa" w:w="2608"/>
          </w:tcPr>
          <w:p>
            <w:pPr>
              <w:spacing w:after="40" w:before="40" w:line="240" w:lineRule="auto"/>
              <w:jc w:val="left"/>
            </w:pPr>
            <w:r/>
            <w:r>
              <w:rPr>
                <w:rFonts w:ascii="Times New Roman" w:hAnsi="Times New Roman"/>
                <w:b w:val="0"/>
                <w:sz w:val="17"/>
              </w:rPr>
              <w:t>HS5 — Le contenu de la formation ne prépare pas suffisamment les EPE à utiliser l’éwégbé pour enseigner certaines notions scolaires.</w:t>
            </w:r>
          </w:p>
        </w:tc>
        <w:tc>
          <w:tcPr>
            <w:tcW w:type="dxa" w:w="1701"/>
          </w:tcPr>
          <w:p>
            <w:pPr>
              <w:spacing w:after="40" w:before="40" w:line="240" w:lineRule="auto"/>
              <w:jc w:val="left"/>
            </w:pPr>
            <w:r/>
            <w:r>
              <w:rPr>
                <w:rFonts w:ascii="Times New Roman" w:hAnsi="Times New Roman"/>
                <w:b w:val="0"/>
                <w:sz w:val="17"/>
              </w:rPr>
              <w:t>Tableaux 10, 15 ; analyse du module de formation</w:t>
            </w:r>
          </w:p>
        </w:tc>
        <w:tc>
          <w:tcPr>
            <w:tcW w:type="dxa" w:w="3061"/>
          </w:tcPr>
          <w:p>
            <w:pPr>
              <w:spacing w:after="40" w:before="40" w:line="240" w:lineRule="auto"/>
              <w:jc w:val="left"/>
            </w:pPr>
            <w:r/>
            <w:r>
              <w:rPr>
                <w:rFonts w:ascii="Times New Roman" w:hAnsi="Times New Roman"/>
                <w:b w:val="0"/>
                <w:sz w:val="17"/>
              </w:rPr>
              <w:t>80 à 100 % jugent le contenu insuffisant ; absence de grammaire, de conjugaison et de terminologie disciplinaire dans le module ; 64 % de difficultés à l’écrit.</w:t>
            </w:r>
          </w:p>
        </w:tc>
        <w:tc>
          <w:tcPr>
            <w:tcW w:type="dxa" w:w="1417"/>
          </w:tcPr>
          <w:p>
            <w:pPr>
              <w:spacing w:after="40" w:before="40" w:line="240" w:lineRule="auto"/>
              <w:jc w:val="left"/>
            </w:pPr>
            <w:r/>
            <w:r>
              <w:rPr>
                <w:rFonts w:ascii="Times New Roman" w:hAnsi="Times New Roman"/>
                <w:b w:val="0"/>
                <w:sz w:val="17"/>
              </w:rPr>
              <w:t>Confirmée</w:t>
            </w:r>
          </w:p>
        </w:tc>
      </w:tr>
    </w:tbl>
    <w:p>
      <w:pPr>
        <w:spacing w:after="0"/>
      </w:pPr>
    </w:p>
    <w:p>
      <w:pPr>
        <w:spacing w:after="200"/>
        <w:jc w:val="left"/>
      </w:pPr>
      <w:r>
        <w:rPr>
          <w:rFonts w:ascii="Times New Roman" w:hAnsi="Times New Roman"/>
          <w:i/>
          <w:sz w:val="20"/>
        </w:rPr>
        <w:t>Source : élaboration personnelle à partir des résultats du chapitre 4.</w:t>
      </w:r>
    </w:p>
    <w:p>
      <w:pPr>
        <w:spacing w:after="120"/>
        <w:ind w:firstLine="567"/>
        <w:jc w:val="both"/>
      </w:pPr>
      <w:r>
        <w:rPr>
          <w:rFonts w:ascii="Times New Roman" w:hAnsi="Times New Roman"/>
          <w:b w:val="0"/>
          <w:i w:val="0"/>
          <w:sz w:val="24"/>
        </w:rPr>
        <w:t>Cinq hypothèses sur six sont donc confirmées sans réserve, la sixième (HS2) l’étant partiellement : si l’insuffisance du volume horaire est massivement établie, la prédominance supposée des explications théoriques ne l’est pas. Cette nuance mérite d’être soulignée, car elle réoriente les recommandations : il ne s’agit pas de demander au formateur de changer de méthode — il applique déjà les méthodes actives recommandées —, mais de lui donner les moyens de les différencier selon les profils.</w:t>
      </w:r>
    </w:p>
    <w:p>
      <w:pPr>
        <w:spacing w:after="120"/>
        <w:ind w:firstLine="567"/>
        <w:jc w:val="both"/>
      </w:pPr>
      <w:r>
        <w:rPr>
          <w:rFonts w:ascii="Times New Roman" w:hAnsi="Times New Roman"/>
          <w:b w:val="0"/>
          <w:i w:val="0"/>
          <w:sz w:val="24"/>
        </w:rPr>
        <w:t>La question principale trouve dès lors sa réponse. Le dispositif d’enseignement-apprentissage de l’éwégbé dans les ENFPE, et particulièrement à l’ENFPE de Notsè, n’est pas adéquat pour assurer une bonne maîtrise de cette langue par les futurs enseignants du primaire. Il ne l’est ni en ressources humaines (QS1), ni en ressources matérielles et technologiques (QS2), ni en contenus, méthodes et modalités d’évaluation (QS3), ni en structures de suivi (QS4) ; les représentations sociales pèsent négativement sur la motivation (QS5) ; et le transfert des acquis vers les pratiques de classe au primaire est inexistant (QS6). L’hypothèse principale est confirmée dans toutes ses composantes.</w:t>
      </w:r>
    </w:p>
    <w:p>
      <w:r>
        <w:br w:type="page"/>
      </w:r>
    </w:p>
    <w:p>
      <w:pPr>
        <w:pStyle w:val="Heading1"/>
        <w:jc w:val="left"/>
      </w:pPr>
      <w:r>
        <w:t>CHAPITRE 5 : CONTRIBUTION PROFESSIONNELLE ET RECOMMANDATIONS</w:t>
      </w:r>
    </w:p>
    <w:p>
      <w:pPr>
        <w:spacing w:after="120"/>
        <w:ind w:firstLine="567"/>
        <w:jc w:val="both"/>
      </w:pPr>
      <w:r>
        <w:rPr>
          <w:rFonts w:ascii="Times New Roman" w:hAnsi="Times New Roman"/>
          <w:b w:val="0"/>
          <w:i w:val="0"/>
          <w:sz w:val="24"/>
        </w:rPr>
        <w:t>Notre travail, ayant pour objectif principal l’analyse du dispositif d’enseignement-apprentissage de l’éwégbé à l’ENFPE de Notsè, ne saurait se limiter à un simple constat : il se doit d’apporter des pistes concrètes en vue d’améliorer la qualité de la formation des enseignants du primaire et, par ricochet, le système éducatif togolais. Ce chapitre répond à l’objectif spécifique OS7. Il présente d’abord les contributions de l’étude selon six angles — pédagogique, didactique, institutionnel, professionnel, scientifique et social —, puis systématise les recommandations en les hiérarchisant par niveau de responsabilité et par horizon temporel.</w:t>
      </w:r>
    </w:p>
    <w:p>
      <w:pPr>
        <w:pStyle w:val="Heading2"/>
        <w:jc w:val="left"/>
      </w:pPr>
      <w:r>
        <w:t>5.1. Contribution pédagogique</w:t>
      </w:r>
    </w:p>
    <w:p>
      <w:pPr>
        <w:spacing w:after="120"/>
        <w:ind w:firstLine="567"/>
        <w:jc w:val="both"/>
      </w:pPr>
      <w:r>
        <w:rPr>
          <w:rFonts w:ascii="Times New Roman" w:hAnsi="Times New Roman"/>
          <w:b w:val="0"/>
          <w:i w:val="0"/>
          <w:sz w:val="24"/>
        </w:rPr>
        <w:t>Cette section relève quelques pistes visant à améliorer les pratiques de classe en langue éwé. Étant donné que la réussite de l’école bilingue dépend avant tout de la compétence des enseignants, notre travail met en évidence l’importance de la maîtrise des deux niveaux de langue que sont les compétences de base (BICS) et les compétences scolaires (CALP), selon Cummins.</w:t>
      </w:r>
    </w:p>
    <w:p>
      <w:pPr>
        <w:spacing w:after="120"/>
        <w:ind w:firstLine="567"/>
        <w:jc w:val="both"/>
      </w:pPr>
      <w:r>
        <w:rPr>
          <w:rFonts w:ascii="Times New Roman" w:hAnsi="Times New Roman"/>
          <w:b w:val="0"/>
          <w:i w:val="0"/>
          <w:sz w:val="24"/>
        </w:rPr>
        <w:t>Il propose en outre des activités concrètes : le micro-enseignement, les stages précoces en écoles bilingues à l’image des écoles pilotes ELAN, et la mise en place de clubs de langue éwé. Notre mémoire rappelle enfin que l’enseignement de l’éwégbé ne saurait se limiter à une traduction du français, ni à un cours d’éwé dispensé en français, mais suppose au contraire une véritable méthodologie.</w:t>
      </w:r>
    </w:p>
    <w:p>
      <w:pPr>
        <w:spacing w:after="120"/>
        <w:ind w:firstLine="567"/>
        <w:jc w:val="both"/>
      </w:pPr>
      <w:r>
        <w:rPr>
          <w:rFonts w:ascii="Times New Roman" w:hAnsi="Times New Roman"/>
          <w:b w:val="0"/>
          <w:i w:val="0"/>
          <w:sz w:val="24"/>
        </w:rPr>
        <w:t>Le principal apport pédagogique de ce travail réside toutefois dans la démonstration de la nécessité d’une différenciation. Nos résultats établissent qu’un même contenu, dispensé au même rythme et évalué de la même manière, ne peut convenir simultanément à un débutant absolu, à un locuteur intermédiaire et à un natif non alphabétisé dans sa langue. Nous proposons en conséquence une organisation en trois parcours, articulés au sein d’un même groupe-classe par le jeu des activités et des supports :</w:t>
      </w:r>
    </w:p>
    <w:p>
      <w:pPr>
        <w:spacing w:after="80"/>
        <w:ind w:left="567" w:hanging="283"/>
        <w:jc w:val="both"/>
      </w:pPr>
      <w:r>
        <w:rPr>
          <w:rFonts w:ascii="Times New Roman" w:hAnsi="Times New Roman"/>
          <w:sz w:val="24"/>
        </w:rPr>
        <w:t>• un parcours d’initiation, destiné aux non-locuteurs, centré sur l’alphabet, le système tonal, le lexique de base et les actes de langage élémentaires, avec un recours assumé au support visuel et audio ;</w:t>
      </w:r>
    </w:p>
    <w:p>
      <w:pPr>
        <w:spacing w:after="80"/>
        <w:ind w:left="567" w:hanging="283"/>
        <w:jc w:val="both"/>
      </w:pPr>
      <w:r>
        <w:rPr>
          <w:rFonts w:ascii="Times New Roman" w:hAnsi="Times New Roman"/>
          <w:sz w:val="24"/>
        </w:rPr>
        <w:t>• un parcours de consolidation, destiné aux locuteurs non natifs, centré sur la stabilisation de l’oral, la correction tonale et l’entrée progressive dans l’écrit ;</w:t>
      </w:r>
    </w:p>
    <w:p>
      <w:pPr>
        <w:spacing w:after="80"/>
        <w:ind w:left="567" w:hanging="283"/>
        <w:jc w:val="both"/>
      </w:pPr>
      <w:r>
        <w:rPr>
          <w:rFonts w:ascii="Times New Roman" w:hAnsi="Times New Roman"/>
          <w:sz w:val="24"/>
        </w:rPr>
        <w:t>• un parcours d’alphabétisation et de normalisation, destiné aux locuteurs natifs et non catégorisés, centré sur la norme orthographique, la grammaire, la conjugaison et le passage du guin-mina à l’éwé standard.</w:t>
      </w:r>
    </w:p>
    <w:p>
      <w:pPr>
        <w:spacing w:after="120"/>
        <w:ind w:firstLine="567"/>
        <w:jc w:val="both"/>
      </w:pPr>
      <w:r>
        <w:rPr>
          <w:rFonts w:ascii="Times New Roman" w:hAnsi="Times New Roman"/>
          <w:b w:val="0"/>
          <w:i w:val="0"/>
          <w:sz w:val="24"/>
        </w:rPr>
        <w:t>Ces trois parcours partageraient des temps communs — activités orales collectives, jeux de rôle, chants et contes — où l’hétérogénéité cesse d’être un handicap pour devenir une ressource : le natif y devient tuteur du débutant, ce qui résout d’un même mouvement le problème de l’écrasement des non-locuteurs relevé à la section 4.10 et celui du faible engagement des natifs relevé à la section 4.5.</w:t>
      </w:r>
    </w:p>
    <w:p>
      <w:pPr>
        <w:pStyle w:val="Heading2"/>
        <w:jc w:val="left"/>
      </w:pPr>
      <w:r>
        <w:t>5.2. Contribution didactique</w:t>
      </w:r>
    </w:p>
    <w:p>
      <w:pPr>
        <w:spacing w:after="120"/>
        <w:ind w:firstLine="567"/>
        <w:jc w:val="both"/>
      </w:pPr>
      <w:r>
        <w:rPr>
          <w:rFonts w:ascii="Times New Roman" w:hAnsi="Times New Roman"/>
          <w:b w:val="0"/>
          <w:i w:val="0"/>
          <w:sz w:val="24"/>
        </w:rPr>
        <w:t>Nous proposons, dans ce contexte, un diagnostic précis des lacunes des EPE en éwégbé, qui pourra permettre aux formateurs de l’INSE et des ENFPE — lesquels, en l’absence de filières de formation spécialisées en langues nationales hormis le département de linguistique, assurent la formation des formateurs et des enseignants — de revoir les contenus de formation. Cette révision leur permettra d’y insérer un enseignement plus soutenu de la grammaire, de l’orthographe et des tons.</w:t>
      </w:r>
    </w:p>
    <w:p>
      <w:pPr>
        <w:spacing w:after="120"/>
        <w:ind w:firstLine="567"/>
        <w:jc w:val="both"/>
      </w:pPr>
      <w:r>
        <w:rPr>
          <w:rFonts w:ascii="Times New Roman" w:hAnsi="Times New Roman"/>
          <w:b w:val="0"/>
          <w:i w:val="0"/>
          <w:sz w:val="24"/>
        </w:rPr>
        <w:t>Le repositionnement, par exemple, de l’enseignement des jours de la semaine, des mois de l’année, du système de numération et du comptage monétaire au semestre 1 plutôt qu’au semestre 3 constituerait également un atout. Ce déplacement n’est pas cosmétique : ces contenus sont précisément ceux que le futur professeur d’école aura à mobiliser dès ses premières leçons au primaire ; les reporter au dernier semestre revient à les placer après les stages où ils auraient été utiles.</w:t>
      </w:r>
    </w:p>
    <w:p>
      <w:pPr>
        <w:spacing w:after="120"/>
        <w:ind w:firstLine="567"/>
        <w:jc w:val="both"/>
      </w:pPr>
      <w:r>
        <w:rPr>
          <w:rFonts w:ascii="Times New Roman" w:hAnsi="Times New Roman"/>
          <w:b w:val="0"/>
          <w:i w:val="0"/>
          <w:sz w:val="24"/>
        </w:rPr>
        <w:t>L’élaboration de fiches didactiques plus pratiques et adaptées au contexte togolais, ainsi que la mise en place d’ateliers réguliers de renforcement linguistique dès la première année, s’avèrent indispensables à une véritable immersion linguistique des apprenants.</w:t>
      </w:r>
    </w:p>
    <w:p>
      <w:pPr>
        <w:spacing w:after="120"/>
        <w:ind w:firstLine="567"/>
        <w:jc w:val="both"/>
      </w:pPr>
      <w:r>
        <w:rPr>
          <w:rFonts w:ascii="Times New Roman" w:hAnsi="Times New Roman"/>
          <w:b w:val="0"/>
          <w:i w:val="0"/>
          <w:sz w:val="24"/>
        </w:rPr>
        <w:t>Nous proposons en outre un référentiel minimal de contenus, absent du module actuel, qui devrait comporter au minimum : le système tonal et sa notation ; l’alphabet éwé complet avec ses graphèmes spécifiques (ɖ, ƒ, ɣ, ŋ, ɔ, ʋ, ɛ) et leur distinction d’avec l’alphabet français ; la syllabation ; les classes de mots et la morphologie nominale et verbale ; le système aspecto-temporel, indispensable pour enseigner les notions de temps au cours élémentaire ; la terminologie mathématique et scientifique élémentaire en éwégbé ; enfin, un corpus de textes gradués, comprenant au moins une œuvre littéraire complète.</w:t>
      </w:r>
    </w:p>
    <w:p>
      <w:pPr>
        <w:pStyle w:val="Heading2"/>
        <w:jc w:val="left"/>
      </w:pPr>
      <w:r>
        <w:t>5.3. Contribution institutionnelle</w:t>
      </w:r>
    </w:p>
    <w:p>
      <w:pPr>
        <w:spacing w:after="120"/>
        <w:ind w:firstLine="567"/>
        <w:jc w:val="both"/>
      </w:pPr>
      <w:r>
        <w:rPr>
          <w:rFonts w:ascii="Times New Roman" w:hAnsi="Times New Roman"/>
          <w:b w:val="0"/>
          <w:i w:val="0"/>
          <w:sz w:val="24"/>
        </w:rPr>
        <w:t>Loin de se limiter aux critiques, notre travail se propose de soumettre des pistes de solutions réalisables, sous forme de recommandations, tant à l’endroit du ministère de l’Éducation nationale qu’à celui de l’Institut national des sciences de l’éducation (INSE). Ces deux institutions pourront, chacune selon ses prérogatives, doter les ENFPE en matériel didactique, manuels et supports audio authentiques standardisés, notamment en vue de travailler les tons.</w:t>
      </w:r>
    </w:p>
    <w:p>
      <w:pPr>
        <w:spacing w:after="120"/>
        <w:ind w:firstLine="567"/>
        <w:jc w:val="both"/>
      </w:pPr>
      <w:r>
        <w:rPr>
          <w:rFonts w:ascii="Times New Roman" w:hAnsi="Times New Roman"/>
          <w:b w:val="0"/>
          <w:i w:val="0"/>
          <w:sz w:val="24"/>
        </w:rPr>
        <w:t>Le statut de la langue éwé pourrait également être revu en lui accordant une place non négligeable dans le test d’entrée à l’ENFPE, ce qui implique son enseignement effectif jusqu’au baccalauréat au minimum. La revalorisation du volume horaire alloué à l’enseignement-apprentissage de l’éwégbé constituerait aussi un atout réel pour une véritable formation professionnelle des futurs enseignants.</w:t>
      </w:r>
    </w:p>
    <w:p>
      <w:pPr>
        <w:spacing w:after="120"/>
        <w:ind w:firstLine="567"/>
        <w:jc w:val="both"/>
      </w:pPr>
      <w:r>
        <w:rPr>
          <w:rFonts w:ascii="Times New Roman" w:hAnsi="Times New Roman"/>
          <w:b w:val="0"/>
          <w:i w:val="0"/>
          <w:sz w:val="24"/>
        </w:rPr>
        <w:t>Deux mesures institutionnelles nous paraissent en outre décisives et peu coûteuses. La première consiste à dissocier l’éwégbé et le kabiyè en deux unités d’enseignement distinctes, dotées chacune de leur volume horaire et de leur épreuve propre. Cette séparation, purement réglementaire, mettrait fin au principal mécanisme symbolique de dévaluation identifié à la section 4.13.3. La seconde consiste à inscrire l’enseignement des langues nationales sur les tableaux de service des écoles d’application, afin que les EPE puissent y assister et y intervenir lors de leurs stages. Sans cette mesure, aucun transfert des acquis n’est possible, quelle que soit la qualité de la formation dispensée en amont.</w:t>
      </w:r>
    </w:p>
    <w:p>
      <w:pPr>
        <w:pStyle w:val="Heading2"/>
        <w:jc w:val="left"/>
      </w:pPr>
      <w:r>
        <w:t>5.4. Contribution professionnelle</w:t>
      </w:r>
    </w:p>
    <w:p>
      <w:pPr>
        <w:spacing w:after="120"/>
        <w:ind w:firstLine="567"/>
        <w:jc w:val="both"/>
      </w:pPr>
      <w:r>
        <w:rPr>
          <w:rFonts w:ascii="Times New Roman" w:hAnsi="Times New Roman"/>
          <w:b w:val="0"/>
          <w:i w:val="0"/>
          <w:sz w:val="24"/>
        </w:rPr>
        <w:t>Cette section évoque la contribution directe de notre travail au métier d’enseignant et à la formation initiale dans les ENFPE en général, et celle de Notsè en particulier. Il s’agit, plus concrètement, de permettre aux formateurs d’identifier les points faibles de leurs étudiants afin de réajuster les contenus et les méthodes d’enseignement. C’est justement ce qui a motivé la prise en compte de l’aspect relatif à l’origine sociodémographique et linguistique des EPE lors de nos enquêtes.</w:t>
      </w:r>
    </w:p>
    <w:p>
      <w:pPr>
        <w:spacing w:after="120"/>
        <w:ind w:firstLine="567"/>
        <w:jc w:val="both"/>
      </w:pPr>
      <w:r>
        <w:rPr>
          <w:rFonts w:ascii="Times New Roman" w:hAnsi="Times New Roman"/>
          <w:b w:val="0"/>
          <w:i w:val="0"/>
          <w:sz w:val="24"/>
        </w:rPr>
        <w:t>Notre travail propose en outre des pistes de pratique intensive de la langue éwé : activités orales en classe et en club, stages en écoles bilingues et outils didactiques pour enseigner la langue. En somme, il vise la formation d’enseignants solidement aguerris pour une école bilingue.</w:t>
      </w:r>
    </w:p>
    <w:p>
      <w:pPr>
        <w:spacing w:after="120"/>
        <w:ind w:firstLine="567"/>
        <w:jc w:val="both"/>
      </w:pPr>
      <w:r>
        <w:rPr>
          <w:rFonts w:ascii="Times New Roman" w:hAnsi="Times New Roman"/>
          <w:b w:val="0"/>
          <w:i w:val="0"/>
          <w:sz w:val="24"/>
        </w:rPr>
        <w:t>Un outil directement opérationnel découle de notre démarche : la fiche de profilage sociolinguistique. Administrée en début de première année, elle permettrait au formateur de connaître d’emblée la composition de son groupe-classe selon les quatre profils identifiés et d’organiser sa progression en conséquence. Le coût de cet outil est nul ; son bénéfice est immédiat. Le questionnaire figurant en annexe 1 du présent mémoire peut en constituer la base.</w:t>
      </w:r>
    </w:p>
    <w:p>
      <w:pPr>
        <w:pStyle w:val="Heading2"/>
        <w:jc w:val="left"/>
      </w:pPr>
      <w:r>
        <w:t>5.5. Contribution scientifique</w:t>
      </w:r>
    </w:p>
    <w:p>
      <w:pPr>
        <w:spacing w:after="120"/>
        <w:ind w:firstLine="567"/>
        <w:jc w:val="both"/>
      </w:pPr>
      <w:r>
        <w:rPr>
          <w:rFonts w:ascii="Times New Roman" w:hAnsi="Times New Roman"/>
          <w:b w:val="0"/>
          <w:i w:val="0"/>
          <w:sz w:val="24"/>
        </w:rPr>
        <w:t>Nous estimons que notre mémoire, loin d’être un travail parfait, constitue tout de même une base de données et de réflexion pour les futurs chercheurs en didactique des langues nationales. Il vient combler un vide dans la littérature sur la didactique des langues nationales au Togo, dans la mesure où la plupart des études portent sur la notion d’école bilingue au primaire, tandis que très peu analysent la formation des formateurs en langues nationales dans les ENFPE.</w:t>
      </w:r>
    </w:p>
    <w:p>
      <w:pPr>
        <w:spacing w:after="120"/>
        <w:ind w:firstLine="567"/>
        <w:jc w:val="both"/>
      </w:pPr>
      <w:r>
        <w:rPr>
          <w:rFonts w:ascii="Times New Roman" w:hAnsi="Times New Roman"/>
          <w:b w:val="0"/>
          <w:i w:val="0"/>
          <w:sz w:val="24"/>
        </w:rPr>
        <w:t>Notre travail propose ainsi, en premier lieu, une grille d’analyse combinant trois théories : celles de Chevallard, de Cummins et de Bourdieu. Il fournit ensuite des données de terrain chiffrées sur le niveau réel des étudiants en langue éwé — les premières, à notre connaissance, à être publiées sur ce sujet au Togo. Il introduit enfin une typologie sociolinguistique en quatre profils dont la fécondité analytique a été démontrée tout au long du chapitre 4, et qui est transposable à l’étude du kabiyè comme à celle de toute autre langue nationale. Il ouvre ainsi la voie à d’éventuelles recherches comparatives entre les ENFPE ou entre les langues nationales.</w:t>
      </w:r>
    </w:p>
    <w:p>
      <w:pPr>
        <w:pStyle w:val="Heading2"/>
        <w:jc w:val="left"/>
      </w:pPr>
      <w:r>
        <w:t>5.6. Contribution sociale</w:t>
      </w:r>
    </w:p>
    <w:p>
      <w:pPr>
        <w:spacing w:after="120"/>
        <w:ind w:firstLine="567"/>
        <w:jc w:val="both"/>
      </w:pPr>
      <w:r>
        <w:rPr>
          <w:rFonts w:ascii="Times New Roman" w:hAnsi="Times New Roman"/>
          <w:b w:val="0"/>
          <w:i w:val="0"/>
          <w:sz w:val="24"/>
        </w:rPr>
        <w:t>De façon globale, notre mémoire vise une meilleure sauvegarde de notre identité culturelle et la pérennisation de la langue éwé, menacée par la mondialisation et l’avancée de la technologie. Il prend également en compte la réussite de la politique linguistique du Togo.</w:t>
      </w:r>
    </w:p>
    <w:p>
      <w:pPr>
        <w:spacing w:after="120"/>
        <w:ind w:firstLine="567"/>
        <w:jc w:val="both"/>
      </w:pPr>
      <w:r>
        <w:rPr>
          <w:rFonts w:ascii="Times New Roman" w:hAnsi="Times New Roman"/>
          <w:b w:val="0"/>
          <w:i w:val="0"/>
          <w:sz w:val="24"/>
        </w:rPr>
        <w:t>Plus spécifiquement, notre travail révèle sans équivoque que l’école demeure un facteur clé dans la transmission de la langue aux nouvelles générations qui, de nos jours, ne lui accordent que peu d’importance, la négligeant avec la complicité de la plupart des parents, de la société et aussi de l’État. Il lutte en outre contre la dévalorisation des langues nationales, considérées comme « inférieures » au français, tout en sensibilisant à l’importance du bilinguisme dans la construction de citoyens enracinés dans leur culture, sans pour autant manquer de s’ouvrir sur un monde en perpétuelle mutation.</w:t>
      </w:r>
    </w:p>
    <w:p>
      <w:pPr>
        <w:pStyle w:val="Heading2"/>
        <w:jc w:val="left"/>
      </w:pPr>
      <w:r>
        <w:t>5.7. Recommandations hiérarchisées</w:t>
      </w:r>
    </w:p>
    <w:p>
      <w:pPr>
        <w:spacing w:after="120"/>
        <w:ind w:firstLine="567"/>
        <w:jc w:val="both"/>
      </w:pPr>
      <w:r>
        <w:rPr>
          <w:rFonts w:ascii="Times New Roman" w:hAnsi="Times New Roman"/>
          <w:b w:val="0"/>
          <w:i w:val="0"/>
          <w:sz w:val="24"/>
        </w:rPr>
        <w:t>Les recommandations qui suivent découlent directement des résultats du chapitre 4. Elles sont classées par niveau de responsabilité et assorties d’un horizon de mise en œuvre, afin d’en faciliter l’appropriation par chacun des acteurs concernés. Nous avons pris soin de distinguer les mesures à coût nul ou faible, immédiatement applicables, de celles qui supposent une décision budgétaire ou législative.</w:t>
      </w:r>
    </w:p>
    <w:p>
      <w:pPr>
        <w:keepNext/>
        <w:spacing w:before="200" w:after="80"/>
        <w:jc w:val="left"/>
      </w:pPr>
      <w:r>
        <w:rPr>
          <w:rFonts w:ascii="Times New Roman" w:hAnsi="Times New Roman"/>
          <w:b/>
          <w:sz w:val="22"/>
        </w:rPr>
        <w:t>Tableau 22 : Récapitulatif des recommandations par niveau de responsabilité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28"/>
            <w:shd w:val="clear" w:color="auto" w:fill="D9E2F3"/>
          </w:tcPr>
          <w:p>
            <w:pPr>
              <w:spacing w:after="40" w:before="40" w:line="240" w:lineRule="auto"/>
              <w:jc w:val="center"/>
            </w:pPr>
            <w:r/>
            <w:r>
              <w:rPr>
                <w:rFonts w:ascii="Times New Roman" w:hAnsi="Times New Roman"/>
                <w:b/>
                <w:sz w:val="17"/>
              </w:rPr>
              <w:t>Destinataire</w:t>
            </w:r>
          </w:p>
        </w:tc>
        <w:tc>
          <w:tcPr>
            <w:tcW w:type="dxa" w:w="3175"/>
            <w:shd w:val="clear" w:color="auto" w:fill="D9E2F3"/>
          </w:tcPr>
          <w:p>
            <w:pPr>
              <w:spacing w:after="40" w:before="40" w:line="240" w:lineRule="auto"/>
              <w:jc w:val="center"/>
            </w:pPr>
            <w:r/>
            <w:r>
              <w:rPr>
                <w:rFonts w:ascii="Times New Roman" w:hAnsi="Times New Roman"/>
                <w:b/>
                <w:sz w:val="17"/>
              </w:rPr>
              <w:t>Recommandation</w:t>
            </w:r>
          </w:p>
        </w:tc>
        <w:tc>
          <w:tcPr>
            <w:tcW w:type="dxa" w:w="1871"/>
            <w:shd w:val="clear" w:color="auto" w:fill="D9E2F3"/>
          </w:tcPr>
          <w:p>
            <w:pPr>
              <w:spacing w:after="40" w:before="40" w:line="240" w:lineRule="auto"/>
              <w:jc w:val="center"/>
            </w:pPr>
            <w:r/>
            <w:r>
              <w:rPr>
                <w:rFonts w:ascii="Times New Roman" w:hAnsi="Times New Roman"/>
                <w:b/>
                <w:sz w:val="17"/>
              </w:rPr>
              <w:t>Fondement empirique</w:t>
            </w:r>
          </w:p>
        </w:tc>
        <w:tc>
          <w:tcPr>
            <w:tcW w:type="dxa" w:w="1814"/>
            <w:shd w:val="clear" w:color="auto" w:fill="D9E2F3"/>
          </w:tcPr>
          <w:p>
            <w:pPr>
              <w:spacing w:after="40" w:before="40" w:line="240" w:lineRule="auto"/>
              <w:jc w:val="center"/>
            </w:pPr>
            <w:r/>
            <w:r>
              <w:rPr>
                <w:rFonts w:ascii="Times New Roman" w:hAnsi="Times New Roman"/>
                <w:b/>
                <w:sz w:val="17"/>
              </w:rPr>
              <w:t>Horizon</w:t>
            </w:r>
          </w:p>
        </w:tc>
      </w:tr>
      <w:tr>
        <w:tc>
          <w:tcPr>
            <w:tcW w:type="dxa" w:w="1928"/>
          </w:tcPr>
          <w:p>
            <w:pPr>
              <w:spacing w:after="40" w:before="40" w:line="240" w:lineRule="auto"/>
              <w:jc w:val="left"/>
            </w:pPr>
            <w:r/>
            <w:r>
              <w:rPr>
                <w:rFonts w:ascii="Times New Roman" w:hAnsi="Times New Roman"/>
                <w:b w:val="0"/>
                <w:sz w:val="17"/>
              </w:rPr>
              <w:t>Ministère de l’Éducation nationale</w:t>
            </w:r>
          </w:p>
        </w:tc>
        <w:tc>
          <w:tcPr>
            <w:tcW w:type="dxa" w:w="3175"/>
          </w:tcPr>
          <w:p>
            <w:pPr>
              <w:spacing w:after="40" w:before="40" w:line="240" w:lineRule="auto"/>
              <w:jc w:val="left"/>
            </w:pPr>
            <w:r/>
            <w:r>
              <w:rPr>
                <w:rFonts w:ascii="Times New Roman" w:hAnsi="Times New Roman"/>
                <w:b w:val="0"/>
                <w:sz w:val="17"/>
              </w:rPr>
              <w:t>Dissocier l’éwégbé et le kabiyè en deux UE distinctes, dotées chacune de son volume horaire et de son épreuve.</w:t>
            </w:r>
          </w:p>
        </w:tc>
        <w:tc>
          <w:tcPr>
            <w:tcW w:type="dxa" w:w="1871"/>
          </w:tcPr>
          <w:p>
            <w:pPr>
              <w:spacing w:after="40" w:before="40" w:line="240" w:lineRule="auto"/>
              <w:jc w:val="left"/>
            </w:pPr>
            <w:r/>
            <w:r>
              <w:rPr>
                <w:rFonts w:ascii="Times New Roman" w:hAnsi="Times New Roman"/>
                <w:b w:val="0"/>
                <w:sz w:val="17"/>
              </w:rPr>
              <w:t>Sections 4.8 et 4.13.3</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Ministère de l’Éducation nationale</w:t>
            </w:r>
          </w:p>
        </w:tc>
        <w:tc>
          <w:tcPr>
            <w:tcW w:type="dxa" w:w="3175"/>
          </w:tcPr>
          <w:p>
            <w:pPr>
              <w:spacing w:after="40" w:before="40" w:line="240" w:lineRule="auto"/>
              <w:jc w:val="left"/>
            </w:pPr>
            <w:r/>
            <w:r>
              <w:rPr>
                <w:rFonts w:ascii="Times New Roman" w:hAnsi="Times New Roman"/>
                <w:b w:val="0"/>
                <w:sz w:val="17"/>
              </w:rPr>
              <w:t>Inscrire les langues nationales sur les tableaux de service des écoles d’application et des écoles primaires.</w:t>
            </w:r>
          </w:p>
        </w:tc>
        <w:tc>
          <w:tcPr>
            <w:tcW w:type="dxa" w:w="1871"/>
          </w:tcPr>
          <w:p>
            <w:pPr>
              <w:spacing w:after="40" w:before="40" w:line="240" w:lineRule="auto"/>
              <w:jc w:val="left"/>
            </w:pPr>
            <w:r/>
            <w:r>
              <w:rPr>
                <w:rFonts w:ascii="Times New Roman" w:hAnsi="Times New Roman"/>
                <w:b w:val="0"/>
                <w:sz w:val="17"/>
              </w:rPr>
              <w:t>Tableau 3 ; section 4.14</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Ministère de l’Éducation nationale</w:t>
            </w:r>
          </w:p>
        </w:tc>
        <w:tc>
          <w:tcPr>
            <w:tcW w:type="dxa" w:w="3175"/>
          </w:tcPr>
          <w:p>
            <w:pPr>
              <w:spacing w:after="40" w:before="40" w:line="240" w:lineRule="auto"/>
              <w:jc w:val="left"/>
            </w:pPr>
            <w:r/>
            <w:r>
              <w:rPr>
                <w:rFonts w:ascii="Times New Roman" w:hAnsi="Times New Roman"/>
                <w:b w:val="0"/>
                <w:sz w:val="17"/>
              </w:rPr>
              <w:t>Rendre l’enseignement des langues nationales obligatoire et continu du primaire au baccalauréat, conformément à la réforme de 1975.</w:t>
            </w:r>
          </w:p>
        </w:tc>
        <w:tc>
          <w:tcPr>
            <w:tcW w:type="dxa" w:w="1871"/>
          </w:tcPr>
          <w:p>
            <w:pPr>
              <w:spacing w:after="40" w:before="40" w:line="240" w:lineRule="auto"/>
              <w:jc w:val="left"/>
            </w:pPr>
            <w:r/>
            <w:r>
              <w:rPr>
                <w:rFonts w:ascii="Times New Roman" w:hAnsi="Times New Roman"/>
                <w:b w:val="0"/>
                <w:sz w:val="17"/>
              </w:rPr>
              <w:t>Tableaux 11 à 13</w:t>
            </w:r>
          </w:p>
        </w:tc>
        <w:tc>
          <w:tcPr>
            <w:tcW w:type="dxa" w:w="1814"/>
          </w:tcPr>
          <w:p>
            <w:pPr>
              <w:spacing w:after="40" w:before="40" w:line="240" w:lineRule="auto"/>
              <w:jc w:val="left"/>
            </w:pPr>
            <w:r/>
            <w:r>
              <w:rPr>
                <w:rFonts w:ascii="Times New Roman" w:hAnsi="Times New Roman"/>
                <w:b w:val="0"/>
                <w:sz w:val="17"/>
              </w:rPr>
              <w:t>Moyen terme</w:t>
            </w:r>
          </w:p>
        </w:tc>
      </w:tr>
      <w:tr>
        <w:tc>
          <w:tcPr>
            <w:tcW w:type="dxa" w:w="1928"/>
          </w:tcPr>
          <w:p>
            <w:pPr>
              <w:spacing w:after="40" w:before="40" w:line="240" w:lineRule="auto"/>
              <w:jc w:val="left"/>
            </w:pPr>
            <w:r/>
            <w:r>
              <w:rPr>
                <w:rFonts w:ascii="Times New Roman" w:hAnsi="Times New Roman"/>
                <w:b w:val="0"/>
                <w:sz w:val="17"/>
              </w:rPr>
              <w:t>Ministère de l’Éducation nationale</w:t>
            </w:r>
          </w:p>
        </w:tc>
        <w:tc>
          <w:tcPr>
            <w:tcW w:type="dxa" w:w="3175"/>
          </w:tcPr>
          <w:p>
            <w:pPr>
              <w:spacing w:after="40" w:before="40" w:line="240" w:lineRule="auto"/>
              <w:jc w:val="left"/>
            </w:pPr>
            <w:r/>
            <w:r>
              <w:rPr>
                <w:rFonts w:ascii="Times New Roman" w:hAnsi="Times New Roman"/>
                <w:b w:val="0"/>
                <w:sz w:val="17"/>
              </w:rPr>
              <w:t>Créer un institut de linguistique africaine togolais et une filière de spécialisation pour la formation des formateurs en langues nationales.</w:t>
            </w:r>
          </w:p>
        </w:tc>
        <w:tc>
          <w:tcPr>
            <w:tcW w:type="dxa" w:w="1871"/>
          </w:tcPr>
          <w:p>
            <w:pPr>
              <w:spacing w:after="40" w:before="40" w:line="240" w:lineRule="auto"/>
              <w:jc w:val="left"/>
            </w:pPr>
            <w:r/>
            <w:r>
              <w:rPr>
                <w:rFonts w:ascii="Times New Roman" w:hAnsi="Times New Roman"/>
                <w:b w:val="0"/>
                <w:sz w:val="17"/>
              </w:rPr>
              <w:t>Section 4.2 ; réforme de 1975</w:t>
            </w:r>
          </w:p>
        </w:tc>
        <w:tc>
          <w:tcPr>
            <w:tcW w:type="dxa" w:w="1814"/>
          </w:tcPr>
          <w:p>
            <w:pPr>
              <w:spacing w:after="40" w:before="40" w:line="240" w:lineRule="auto"/>
              <w:jc w:val="left"/>
            </w:pPr>
            <w:r/>
            <w:r>
              <w:rPr>
                <w:rFonts w:ascii="Times New Roman" w:hAnsi="Times New Roman"/>
                <w:b w:val="0"/>
                <w:sz w:val="17"/>
              </w:rPr>
              <w:t>Long terme</w:t>
            </w:r>
          </w:p>
        </w:tc>
      </w:tr>
      <w:tr>
        <w:tc>
          <w:tcPr>
            <w:tcW w:type="dxa" w:w="1928"/>
          </w:tcPr>
          <w:p>
            <w:pPr>
              <w:spacing w:after="40" w:before="40" w:line="240" w:lineRule="auto"/>
              <w:jc w:val="left"/>
            </w:pPr>
            <w:r/>
            <w:r>
              <w:rPr>
                <w:rFonts w:ascii="Times New Roman" w:hAnsi="Times New Roman"/>
                <w:b w:val="0"/>
                <w:sz w:val="17"/>
              </w:rPr>
              <w:t>Ministère / partenaires (UNESCO, Banque mondiale, ELAN)</w:t>
            </w:r>
          </w:p>
        </w:tc>
        <w:tc>
          <w:tcPr>
            <w:tcW w:type="dxa" w:w="3175"/>
          </w:tcPr>
          <w:p>
            <w:pPr>
              <w:spacing w:after="40" w:before="40" w:line="240" w:lineRule="auto"/>
              <w:jc w:val="left"/>
            </w:pPr>
            <w:r/>
            <w:r>
              <w:rPr>
                <w:rFonts w:ascii="Times New Roman" w:hAnsi="Times New Roman"/>
                <w:b w:val="0"/>
                <w:sz w:val="17"/>
              </w:rPr>
              <w:t>Financer la production et la dotation de manuels, guides, syllabaires, dictionnaires, œuvres littéraires et supports audio standardisés.</w:t>
            </w:r>
          </w:p>
        </w:tc>
        <w:tc>
          <w:tcPr>
            <w:tcW w:type="dxa" w:w="1871"/>
          </w:tcPr>
          <w:p>
            <w:pPr>
              <w:spacing w:after="40" w:before="40" w:line="240" w:lineRule="auto"/>
              <w:jc w:val="left"/>
            </w:pPr>
            <w:r/>
            <w:r>
              <w:rPr>
                <w:rFonts w:ascii="Times New Roman" w:hAnsi="Times New Roman"/>
                <w:b w:val="0"/>
                <w:sz w:val="17"/>
              </w:rPr>
              <w:t>Tableaux 4 à 8 ; section 4.12.4</w:t>
            </w:r>
          </w:p>
        </w:tc>
        <w:tc>
          <w:tcPr>
            <w:tcW w:type="dxa" w:w="1814"/>
          </w:tcPr>
          <w:p>
            <w:pPr>
              <w:spacing w:after="40" w:before="40" w:line="240" w:lineRule="auto"/>
              <w:jc w:val="left"/>
            </w:pPr>
            <w:r/>
            <w:r>
              <w:rPr>
                <w:rFonts w:ascii="Times New Roman" w:hAnsi="Times New Roman"/>
                <w:b w:val="0"/>
                <w:sz w:val="17"/>
              </w:rPr>
              <w:t>Moyen terme</w:t>
            </w:r>
          </w:p>
        </w:tc>
      </w:tr>
      <w:tr>
        <w:tc>
          <w:tcPr>
            <w:tcW w:type="dxa" w:w="1928"/>
          </w:tcPr>
          <w:p>
            <w:pPr>
              <w:spacing w:after="40" w:before="40" w:line="240" w:lineRule="auto"/>
              <w:jc w:val="left"/>
            </w:pPr>
            <w:r/>
            <w:r>
              <w:rPr>
                <w:rFonts w:ascii="Times New Roman" w:hAnsi="Times New Roman"/>
                <w:b w:val="0"/>
                <w:sz w:val="17"/>
              </w:rPr>
              <w:t>INSE</w:t>
            </w:r>
          </w:p>
        </w:tc>
        <w:tc>
          <w:tcPr>
            <w:tcW w:type="dxa" w:w="3175"/>
          </w:tcPr>
          <w:p>
            <w:pPr>
              <w:spacing w:after="40" w:before="40" w:line="240" w:lineRule="auto"/>
              <w:jc w:val="left"/>
            </w:pPr>
            <w:r/>
            <w:r>
              <w:rPr>
                <w:rFonts w:ascii="Times New Roman" w:hAnsi="Times New Roman"/>
                <w:b w:val="0"/>
                <w:sz w:val="17"/>
              </w:rPr>
              <w:t>Réviser le module de formation en y intégrant grammaire, conjugaison, système tonal, syllabation et terminologie disciplinaire.</w:t>
            </w:r>
          </w:p>
        </w:tc>
        <w:tc>
          <w:tcPr>
            <w:tcW w:type="dxa" w:w="1871"/>
          </w:tcPr>
          <w:p>
            <w:pPr>
              <w:spacing w:after="40" w:before="40" w:line="240" w:lineRule="auto"/>
              <w:jc w:val="left"/>
            </w:pPr>
            <w:r/>
            <w:r>
              <w:rPr>
                <w:rFonts w:ascii="Times New Roman" w:hAnsi="Times New Roman"/>
                <w:b w:val="0"/>
                <w:sz w:val="17"/>
              </w:rPr>
              <w:t>Tableaux 10 et 15 ; section 5.2</w:t>
            </w:r>
          </w:p>
        </w:tc>
        <w:tc>
          <w:tcPr>
            <w:tcW w:type="dxa" w:w="1814"/>
          </w:tcPr>
          <w:p>
            <w:pPr>
              <w:spacing w:after="40" w:before="40" w:line="240" w:lineRule="auto"/>
              <w:jc w:val="left"/>
            </w:pPr>
            <w:r/>
            <w:r>
              <w:rPr>
                <w:rFonts w:ascii="Times New Roman" w:hAnsi="Times New Roman"/>
                <w:b w:val="0"/>
                <w:sz w:val="17"/>
              </w:rPr>
              <w:t>Moyen terme</w:t>
            </w:r>
          </w:p>
        </w:tc>
      </w:tr>
      <w:tr>
        <w:tc>
          <w:tcPr>
            <w:tcW w:type="dxa" w:w="1928"/>
          </w:tcPr>
          <w:p>
            <w:pPr>
              <w:spacing w:after="40" w:before="40" w:line="240" w:lineRule="auto"/>
              <w:jc w:val="left"/>
            </w:pPr>
            <w:r/>
            <w:r>
              <w:rPr>
                <w:rFonts w:ascii="Times New Roman" w:hAnsi="Times New Roman"/>
                <w:b w:val="0"/>
                <w:sz w:val="17"/>
              </w:rPr>
              <w:t>INSE</w:t>
            </w:r>
          </w:p>
        </w:tc>
        <w:tc>
          <w:tcPr>
            <w:tcW w:type="dxa" w:w="3175"/>
          </w:tcPr>
          <w:p>
            <w:pPr>
              <w:spacing w:after="40" w:before="40" w:line="240" w:lineRule="auto"/>
              <w:jc w:val="left"/>
            </w:pPr>
            <w:r/>
            <w:r>
              <w:rPr>
                <w:rFonts w:ascii="Times New Roman" w:hAnsi="Times New Roman"/>
                <w:b w:val="0"/>
                <w:sz w:val="17"/>
              </w:rPr>
              <w:t>Élaborer un référentiel de compétences du formateur et de l’enseignant bilingue, conformément à l’UNESCO (1999).</w:t>
            </w:r>
          </w:p>
        </w:tc>
        <w:tc>
          <w:tcPr>
            <w:tcW w:type="dxa" w:w="1871"/>
          </w:tcPr>
          <w:p>
            <w:pPr>
              <w:spacing w:after="40" w:before="40" w:line="240" w:lineRule="auto"/>
              <w:jc w:val="left"/>
            </w:pPr>
            <w:r/>
            <w:r>
              <w:rPr>
                <w:rFonts w:ascii="Times New Roman" w:hAnsi="Times New Roman"/>
                <w:b w:val="0"/>
                <w:sz w:val="17"/>
              </w:rPr>
              <w:t>Section 4.2</w:t>
            </w:r>
          </w:p>
        </w:tc>
        <w:tc>
          <w:tcPr>
            <w:tcW w:type="dxa" w:w="1814"/>
          </w:tcPr>
          <w:p>
            <w:pPr>
              <w:spacing w:after="40" w:before="40" w:line="240" w:lineRule="auto"/>
              <w:jc w:val="left"/>
            </w:pPr>
            <w:r/>
            <w:r>
              <w:rPr>
                <w:rFonts w:ascii="Times New Roman" w:hAnsi="Times New Roman"/>
                <w:b w:val="0"/>
                <w:sz w:val="17"/>
              </w:rPr>
              <w:t>Moyen terme</w:t>
            </w:r>
          </w:p>
        </w:tc>
      </w:tr>
      <w:tr>
        <w:tc>
          <w:tcPr>
            <w:tcW w:type="dxa" w:w="1928"/>
          </w:tcPr>
          <w:p>
            <w:pPr>
              <w:spacing w:after="40" w:before="40" w:line="240" w:lineRule="auto"/>
              <w:jc w:val="left"/>
            </w:pPr>
            <w:r/>
            <w:r>
              <w:rPr>
                <w:rFonts w:ascii="Times New Roman" w:hAnsi="Times New Roman"/>
                <w:b w:val="0"/>
                <w:sz w:val="17"/>
              </w:rPr>
              <w:t>INSE / ENFPE</w:t>
            </w:r>
          </w:p>
        </w:tc>
        <w:tc>
          <w:tcPr>
            <w:tcW w:type="dxa" w:w="3175"/>
          </w:tcPr>
          <w:p>
            <w:pPr>
              <w:spacing w:after="40" w:before="40" w:line="240" w:lineRule="auto"/>
              <w:jc w:val="left"/>
            </w:pPr>
            <w:r/>
            <w:r>
              <w:rPr>
                <w:rFonts w:ascii="Times New Roman" w:hAnsi="Times New Roman"/>
                <w:b w:val="0"/>
                <w:sz w:val="17"/>
              </w:rPr>
              <w:t>Repositionner au semestre 1 les contenus mobilisables en stage : jours, mois, numération, comptage monétaire.</w:t>
            </w:r>
          </w:p>
        </w:tc>
        <w:tc>
          <w:tcPr>
            <w:tcW w:type="dxa" w:w="1871"/>
          </w:tcPr>
          <w:p>
            <w:pPr>
              <w:spacing w:after="40" w:before="40" w:line="240" w:lineRule="auto"/>
              <w:jc w:val="left"/>
            </w:pPr>
            <w:r/>
            <w:r>
              <w:rPr>
                <w:rFonts w:ascii="Times New Roman" w:hAnsi="Times New Roman"/>
                <w:b w:val="0"/>
                <w:sz w:val="17"/>
              </w:rPr>
              <w:t>Section 5.2</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ENFPE</w:t>
            </w:r>
          </w:p>
        </w:tc>
        <w:tc>
          <w:tcPr>
            <w:tcW w:type="dxa" w:w="3175"/>
          </w:tcPr>
          <w:p>
            <w:pPr>
              <w:spacing w:after="40" w:before="40" w:line="240" w:lineRule="auto"/>
              <w:jc w:val="left"/>
            </w:pPr>
            <w:r/>
            <w:r>
              <w:rPr>
                <w:rFonts w:ascii="Times New Roman" w:hAnsi="Times New Roman"/>
                <w:b w:val="0"/>
                <w:sz w:val="17"/>
              </w:rPr>
              <w:t>Administrer une fiche de profilage sociolinguistique en début de formation et organiser la progression en trois parcours différenciés.</w:t>
            </w:r>
          </w:p>
        </w:tc>
        <w:tc>
          <w:tcPr>
            <w:tcW w:type="dxa" w:w="1871"/>
          </w:tcPr>
          <w:p>
            <w:pPr>
              <w:spacing w:after="40" w:before="40" w:line="240" w:lineRule="auto"/>
              <w:jc w:val="left"/>
            </w:pPr>
            <w:r/>
            <w:r>
              <w:rPr>
                <w:rFonts w:ascii="Times New Roman" w:hAnsi="Times New Roman"/>
                <w:b w:val="0"/>
                <w:sz w:val="17"/>
              </w:rPr>
              <w:t>Sections 4.3.5 et 5.1</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ENFPE</w:t>
            </w:r>
          </w:p>
        </w:tc>
        <w:tc>
          <w:tcPr>
            <w:tcW w:type="dxa" w:w="3175"/>
          </w:tcPr>
          <w:p>
            <w:pPr>
              <w:spacing w:after="40" w:before="40" w:line="240" w:lineRule="auto"/>
              <w:jc w:val="left"/>
            </w:pPr>
            <w:r/>
            <w:r>
              <w:rPr>
                <w:rFonts w:ascii="Times New Roman" w:hAnsi="Times New Roman"/>
                <w:b w:val="0"/>
                <w:sz w:val="17"/>
              </w:rPr>
              <w:t>Recruter un second formateur en langue nationale et créer une salle spécialisée dotée d’un équipement audio.</w:t>
            </w:r>
          </w:p>
        </w:tc>
        <w:tc>
          <w:tcPr>
            <w:tcW w:type="dxa" w:w="1871"/>
          </w:tcPr>
          <w:p>
            <w:pPr>
              <w:spacing w:after="40" w:before="40" w:line="240" w:lineRule="auto"/>
              <w:jc w:val="left"/>
            </w:pPr>
            <w:r/>
            <w:r>
              <w:rPr>
                <w:rFonts w:ascii="Times New Roman" w:hAnsi="Times New Roman"/>
                <w:b w:val="0"/>
                <w:sz w:val="17"/>
              </w:rPr>
              <w:t>Tableau 1 ; section 4.12.4</w:t>
            </w:r>
          </w:p>
        </w:tc>
        <w:tc>
          <w:tcPr>
            <w:tcW w:type="dxa" w:w="1814"/>
          </w:tcPr>
          <w:p>
            <w:pPr>
              <w:spacing w:after="40" w:before="40" w:line="240" w:lineRule="auto"/>
              <w:jc w:val="left"/>
            </w:pPr>
            <w:r/>
            <w:r>
              <w:rPr>
                <w:rFonts w:ascii="Times New Roman" w:hAnsi="Times New Roman"/>
                <w:b w:val="0"/>
                <w:sz w:val="17"/>
              </w:rPr>
              <w:t>Moyen terme</w:t>
            </w:r>
          </w:p>
        </w:tc>
      </w:tr>
      <w:tr>
        <w:tc>
          <w:tcPr>
            <w:tcW w:type="dxa" w:w="1928"/>
          </w:tcPr>
          <w:p>
            <w:pPr>
              <w:spacing w:after="40" w:before="40" w:line="240" w:lineRule="auto"/>
              <w:jc w:val="left"/>
            </w:pPr>
            <w:r/>
            <w:r>
              <w:rPr>
                <w:rFonts w:ascii="Times New Roman" w:hAnsi="Times New Roman"/>
                <w:b w:val="0"/>
                <w:sz w:val="17"/>
              </w:rPr>
              <w:t>ENFPE</w:t>
            </w:r>
          </w:p>
        </w:tc>
        <w:tc>
          <w:tcPr>
            <w:tcW w:type="dxa" w:w="3175"/>
          </w:tcPr>
          <w:p>
            <w:pPr>
              <w:spacing w:after="40" w:before="40" w:line="240" w:lineRule="auto"/>
              <w:jc w:val="left"/>
            </w:pPr>
            <w:r/>
            <w:r>
              <w:rPr>
                <w:rFonts w:ascii="Times New Roman" w:hAnsi="Times New Roman"/>
                <w:b w:val="0"/>
                <w:sz w:val="17"/>
              </w:rPr>
              <w:t>Créer un club d’éwégbé et instaurer des activités orales régulières : contes, chants, jeux de rôle, débats, sketchs.</w:t>
            </w:r>
          </w:p>
        </w:tc>
        <w:tc>
          <w:tcPr>
            <w:tcW w:type="dxa" w:w="1871"/>
          </w:tcPr>
          <w:p>
            <w:pPr>
              <w:spacing w:after="40" w:before="40" w:line="240" w:lineRule="auto"/>
              <w:jc w:val="left"/>
            </w:pPr>
            <w:r/>
            <w:r>
              <w:rPr>
                <w:rFonts w:ascii="Times New Roman" w:hAnsi="Times New Roman"/>
                <w:b w:val="0"/>
                <w:sz w:val="17"/>
              </w:rPr>
              <w:t>Section 4.11 (suggestions des enquêtés)</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Formateurs</w:t>
            </w:r>
          </w:p>
        </w:tc>
        <w:tc>
          <w:tcPr>
            <w:tcW w:type="dxa" w:w="3175"/>
          </w:tcPr>
          <w:p>
            <w:pPr>
              <w:spacing w:after="40" w:before="40" w:line="240" w:lineRule="auto"/>
              <w:jc w:val="left"/>
            </w:pPr>
            <w:r/>
            <w:r>
              <w:rPr>
                <w:rFonts w:ascii="Times New Roman" w:hAnsi="Times New Roman"/>
                <w:b w:val="0"/>
                <w:sz w:val="17"/>
              </w:rPr>
              <w:t>Conduire progressivement le cours en éwégbé et introduire une part croissante d’évaluation dans la langue.</w:t>
            </w:r>
          </w:p>
        </w:tc>
        <w:tc>
          <w:tcPr>
            <w:tcW w:type="dxa" w:w="1871"/>
          </w:tcPr>
          <w:p>
            <w:pPr>
              <w:spacing w:after="40" w:before="40" w:line="240" w:lineRule="auto"/>
              <w:jc w:val="left"/>
            </w:pPr>
            <w:r/>
            <w:r>
              <w:rPr>
                <w:rFonts w:ascii="Times New Roman" w:hAnsi="Times New Roman"/>
                <w:b w:val="0"/>
                <w:sz w:val="17"/>
              </w:rPr>
              <w:t>Tableau 17 ; section 4.8</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Formateurs</w:t>
            </w:r>
          </w:p>
        </w:tc>
        <w:tc>
          <w:tcPr>
            <w:tcW w:type="dxa" w:w="3175"/>
          </w:tcPr>
          <w:p>
            <w:pPr>
              <w:spacing w:after="40" w:before="40" w:line="240" w:lineRule="auto"/>
              <w:jc w:val="left"/>
            </w:pPr>
            <w:r/>
            <w:r>
              <w:rPr>
                <w:rFonts w:ascii="Times New Roman" w:hAnsi="Times New Roman"/>
                <w:b w:val="0"/>
                <w:sz w:val="17"/>
              </w:rPr>
              <w:t>Organiser le tutorat entre pairs, en appariant locuteurs natifs et non-locuteurs lors des activités orales.</w:t>
            </w:r>
          </w:p>
        </w:tc>
        <w:tc>
          <w:tcPr>
            <w:tcW w:type="dxa" w:w="1871"/>
          </w:tcPr>
          <w:p>
            <w:pPr>
              <w:spacing w:after="40" w:before="40" w:line="240" w:lineRule="auto"/>
              <w:jc w:val="left"/>
            </w:pPr>
            <w:r/>
            <w:r>
              <w:rPr>
                <w:rFonts w:ascii="Times New Roman" w:hAnsi="Times New Roman"/>
                <w:b w:val="0"/>
                <w:sz w:val="17"/>
              </w:rPr>
              <w:t>Tableau 19 ; section 4.10</w:t>
            </w:r>
          </w:p>
        </w:tc>
        <w:tc>
          <w:tcPr>
            <w:tcW w:type="dxa" w:w="1814"/>
          </w:tcPr>
          <w:p>
            <w:pPr>
              <w:spacing w:after="40" w:before="40" w:line="240" w:lineRule="auto"/>
              <w:jc w:val="left"/>
            </w:pPr>
            <w:r/>
            <w:r>
              <w:rPr>
                <w:rFonts w:ascii="Times New Roman" w:hAnsi="Times New Roman"/>
                <w:b w:val="0"/>
                <w:sz w:val="17"/>
              </w:rPr>
              <w:t>Court terme (coût nul)</w:t>
            </w:r>
          </w:p>
        </w:tc>
      </w:tr>
      <w:tr>
        <w:tc>
          <w:tcPr>
            <w:tcW w:type="dxa" w:w="1928"/>
          </w:tcPr>
          <w:p>
            <w:pPr>
              <w:spacing w:after="40" w:before="40" w:line="240" w:lineRule="auto"/>
              <w:jc w:val="left"/>
            </w:pPr>
            <w:r/>
            <w:r>
              <w:rPr>
                <w:rFonts w:ascii="Times New Roman" w:hAnsi="Times New Roman"/>
                <w:b w:val="0"/>
                <w:sz w:val="17"/>
              </w:rPr>
              <w:t>Académie éwé / instances de normalisation</w:t>
            </w:r>
          </w:p>
        </w:tc>
        <w:tc>
          <w:tcPr>
            <w:tcW w:type="dxa" w:w="3175"/>
          </w:tcPr>
          <w:p>
            <w:pPr>
              <w:spacing w:after="40" w:before="40" w:line="240" w:lineRule="auto"/>
              <w:jc w:val="left"/>
            </w:pPr>
            <w:r/>
            <w:r>
              <w:rPr>
                <w:rFonts w:ascii="Times New Roman" w:hAnsi="Times New Roman"/>
                <w:b w:val="0"/>
                <w:sz w:val="17"/>
              </w:rPr>
              <w:t>Publier un dictionnaire officiel et actualiser le lexique, notamment pour les domaines technologiques.</w:t>
            </w:r>
          </w:p>
        </w:tc>
        <w:tc>
          <w:tcPr>
            <w:tcW w:type="dxa" w:w="1871"/>
          </w:tcPr>
          <w:p>
            <w:pPr>
              <w:spacing w:after="40" w:before="40" w:line="240" w:lineRule="auto"/>
              <w:jc w:val="left"/>
            </w:pPr>
            <w:r/>
            <w:r>
              <w:rPr>
                <w:rFonts w:ascii="Times New Roman" w:hAnsi="Times New Roman"/>
                <w:b w:val="0"/>
                <w:sz w:val="17"/>
              </w:rPr>
              <w:t>Section 1.6 ; section 4.12.2</w:t>
            </w:r>
          </w:p>
        </w:tc>
        <w:tc>
          <w:tcPr>
            <w:tcW w:type="dxa" w:w="1814"/>
          </w:tcPr>
          <w:p>
            <w:pPr>
              <w:spacing w:after="40" w:before="40" w:line="240" w:lineRule="auto"/>
              <w:jc w:val="left"/>
            </w:pPr>
            <w:r/>
            <w:r>
              <w:rPr>
                <w:rFonts w:ascii="Times New Roman" w:hAnsi="Times New Roman"/>
                <w:b w:val="0"/>
                <w:sz w:val="17"/>
              </w:rPr>
              <w:t>Long terme</w:t>
            </w:r>
          </w:p>
        </w:tc>
      </w:tr>
    </w:tbl>
    <w:p>
      <w:pPr>
        <w:spacing w:after="0"/>
      </w:pPr>
    </w:p>
    <w:p>
      <w:pPr>
        <w:spacing w:after="200"/>
        <w:jc w:val="left"/>
      </w:pPr>
      <w:r>
        <w:rPr>
          <w:rFonts w:ascii="Times New Roman" w:hAnsi="Times New Roman"/>
          <w:i/>
          <w:sz w:val="20"/>
        </w:rPr>
        <w:t>Source : élaboration personnelle à partir des résultats du chapitre 4 et des suggestions de la population enquêtée.</w:t>
      </w:r>
    </w:p>
    <w:p>
      <w:pPr>
        <w:spacing w:after="120"/>
        <w:ind w:firstLine="567"/>
        <w:jc w:val="both"/>
      </w:pPr>
      <w:r>
        <w:rPr>
          <w:rFonts w:ascii="Times New Roman" w:hAnsi="Times New Roman"/>
          <w:b w:val="0"/>
          <w:i w:val="0"/>
          <w:sz w:val="24"/>
        </w:rPr>
        <w:t>Sept de ces quatorze recommandations sont à coût nul ou quasi nul et relèvent de décisions d’organisation immédiatement applicables. Ce constat nous paraît important à souligner, car il déplace l’argument budgétaire habituellement opposé à toute réforme en ce domaine. Une part substantielle de ce qui fait défaut au dispositif ne relève pas du financement, mais de la décision : dissocier deux unités d’enseignement, inscrire une discipline sur un tableau de service, réordonner une progression ou conduire un cours dans la langue qu’il enseigne ne coûte rien. C’est sur ces mesures qu’un changement peut s’amorcer dès la prochaine rentrée.</w:t>
      </w:r>
    </w:p>
    <w:p>
      <w:r>
        <w:br w:type="page"/>
      </w:r>
    </w:p>
    <w:p>
      <w:pPr>
        <w:pStyle w:val="Heading1"/>
        <w:jc w:val="left"/>
      </w:pPr>
      <w:r>
        <w:t>CONCLUSION GÉNÉRALE</w:t>
      </w:r>
    </w:p>
    <w:p>
      <w:pPr>
        <w:spacing w:after="120"/>
        <w:ind w:firstLine="567"/>
        <w:jc w:val="both"/>
      </w:pPr>
      <w:r>
        <w:rPr>
          <w:rFonts w:ascii="Times New Roman" w:hAnsi="Times New Roman"/>
          <w:b w:val="0"/>
          <w:i w:val="0"/>
          <w:sz w:val="24"/>
        </w:rPr>
        <w:t>Ce travail nous a permis d’observer les différentes pratiques en vigueur à l’ENFPE de Notsè, sur plusieurs aspects. On note effectivement un dispositif institutionnel qui prend en compte la gestion administrative et pédagogique ; les structures de suivi et d’évaluation sont véritablement mises en place, de même que l’allocation des ressources, même si ces dernières restent à améliorer. Des partenaires institutionnels et financiers, tels que l’UNESCO et la Banque mondiale, appuient d’ailleurs, à travers divers projets, le ministère en charge de l’éducation nationale, dont dépendent directement les ENFPE et celle de Notsè en particulier.</w:t>
      </w:r>
    </w:p>
    <w:p>
      <w:pPr>
        <w:spacing w:after="120"/>
        <w:ind w:firstLine="567"/>
        <w:jc w:val="both"/>
      </w:pPr>
      <w:r>
        <w:rPr>
          <w:rFonts w:ascii="Times New Roman" w:hAnsi="Times New Roman"/>
          <w:b w:val="0"/>
          <w:i w:val="0"/>
          <w:sz w:val="24"/>
        </w:rPr>
        <w:t>Les méthodologies de pratique de classe sont également bien définies et respectées par les différents formateurs selon les champs disciplinaires, et plus spécifiquement en langue éwé, qui a fait l’objet de notre travail. Toutefois, l’observation du programme de formation révèle d’importantes insuffisances, notamment en termes de contenus et de volume horaire, si l’on veut véritablement faire de nos langues des outils de développement cognitif global et non un simple marchepied vers le français et les sciences.</w:t>
      </w:r>
    </w:p>
    <w:p>
      <w:pPr>
        <w:spacing w:after="120"/>
        <w:ind w:firstLine="567"/>
        <w:jc w:val="both"/>
      </w:pPr>
      <w:r>
        <w:rPr>
          <w:rFonts w:ascii="Times New Roman" w:hAnsi="Times New Roman"/>
          <w:b w:val="0"/>
          <w:i w:val="0"/>
          <w:sz w:val="24"/>
        </w:rPr>
        <w:t>En d’autres termes, nous retenons que l’objectif de former des enseignants compétents pour l’école bilingue n’est pas encore atteint. La formation des formateurs nécessite quant à elle une mise à jour régulière en langue éwé, dans la mesure où, pour l’instant, aucun institut ni école supérieure dédiée à cette spécialité n’existe dans notre pays. Cette situation, qui tend à jeter le discrédit non seulement sur les formateurs mais aussi sur l’engagement des apprenants, ne fait que freiner davantage l’élan de développement intellectuel, culturel et social de notre communauté.</w:t>
      </w:r>
    </w:p>
    <w:p>
      <w:pPr>
        <w:spacing w:after="120"/>
        <w:ind w:firstLine="567"/>
        <w:jc w:val="both"/>
      </w:pPr>
      <w:r>
        <w:rPr>
          <w:rFonts w:ascii="Times New Roman" w:hAnsi="Times New Roman"/>
          <w:b w:val="0"/>
          <w:i w:val="0"/>
          <w:sz w:val="24"/>
        </w:rPr>
        <w:t>Le volet du matériel didactique demeure le plus grand défi : il est à repenser afin de mettre à la disposition des élèves-professeurs d’école, au sein des ENFPE, des documents authentiques, ne serait-ce que pour la syllabation, la lecture-compréhension et les travaux pratiques essentiellement fondés sur l’oral. Nous notons avec amertume, au regard de la performance des élèves-professeurs, que ces facteurs pèsent négativement, consciemment ou inconsciemment, sur leurs productions tant à l’oral qu’à l’écrit.</w:t>
      </w:r>
    </w:p>
    <w:p>
      <w:pPr>
        <w:spacing w:after="120"/>
        <w:ind w:firstLine="567"/>
        <w:jc w:val="both"/>
      </w:pPr>
      <w:r>
        <w:rPr>
          <w:rFonts w:ascii="Times New Roman" w:hAnsi="Times New Roman"/>
          <w:b w:val="0"/>
          <w:i w:val="0"/>
          <w:sz w:val="24"/>
        </w:rPr>
        <w:t>Les résultats obtenus à l’issue de notre questionnaire, soumis à un échantillon de cinquante EPE, et des entretiens menés avec plusieurs autres, tous de la promotion 3 en fin de formation à l’ENFPE de Notsè, confirment nos hypothèses de départ : le dispositif actuel souffre d’un manque de moyens, d’un volume horaire insuffisant et d’une faible valorisation de la langue éwé. Par conséquent, les élèves-professeurs sortent des ENFPE avec de nombreuses lacunes linguistiques et didactiques, qui entravent la mise en œuvre de l’approche bilingue dans les écoles.</w:t>
      </w:r>
    </w:p>
    <w:p>
      <w:pPr>
        <w:spacing w:after="120"/>
        <w:ind w:firstLine="567"/>
        <w:jc w:val="both"/>
      </w:pPr>
      <w:r>
        <w:rPr>
          <w:rFonts w:ascii="Times New Roman" w:hAnsi="Times New Roman"/>
          <w:b w:val="0"/>
          <w:i w:val="0"/>
          <w:sz w:val="24"/>
        </w:rPr>
        <w:t>L’analyse menée à travers les théories de Chevallard, de Cummins et de Bourdieu nous a permis de comprendre clairement que le problème est non seulement d’ordre didactique, mais aussi linguistique et sociologique. Trois résultats méritent, à ce titre, d’être retenus au terme de ce travail.</w:t>
      </w:r>
    </w:p>
    <w:p>
      <w:pPr>
        <w:spacing w:after="120"/>
        <w:ind w:firstLine="567"/>
        <w:jc w:val="both"/>
      </w:pPr>
      <w:r>
        <w:rPr>
          <w:rFonts w:ascii="Times New Roman" w:hAnsi="Times New Roman"/>
          <w:b w:val="0"/>
          <w:i w:val="0"/>
          <w:sz w:val="24"/>
        </w:rPr>
        <w:t>Le premier est le paradoxe du locuteur natif : parler une langue depuis l’enfance ne confère aucune compétence à l’écrire, encore moins à l’enseigner. Les 75 % de difficultés à l’écrit relevées chez ceux-là mêmes qui parlent l’éwégbé quotidiennement mesurent précisément l’effet d’un siècle de scolarisation exclusivement francophone.</w:t>
      </w:r>
    </w:p>
    <w:p>
      <w:pPr>
        <w:spacing w:after="120"/>
        <w:ind w:firstLine="567"/>
        <w:jc w:val="both"/>
      </w:pPr>
      <w:r>
        <w:rPr>
          <w:rFonts w:ascii="Times New Roman" w:hAnsi="Times New Roman"/>
          <w:b w:val="0"/>
          <w:i w:val="0"/>
          <w:sz w:val="24"/>
        </w:rPr>
        <w:t>Le deuxième est le gradient sociolinguistique : la difficulté n’est pas la même selon le profil de l’apprenant, et un dispositif unique ne peut y répondre. Ce résultat, qui constitue l’apport méthodologique central de ce mémoire, invalide par principe toute réforme qui se contenterait d’ajouter des heures ou des manuels sans différencier les parcours.</w:t>
      </w:r>
    </w:p>
    <w:p>
      <w:pPr>
        <w:spacing w:after="120"/>
        <w:ind w:firstLine="567"/>
        <w:jc w:val="both"/>
      </w:pPr>
      <w:r>
        <w:rPr>
          <w:rFonts w:ascii="Times New Roman" w:hAnsi="Times New Roman"/>
          <w:b w:val="0"/>
          <w:i w:val="0"/>
          <w:sz w:val="24"/>
        </w:rPr>
        <w:t>Le troisième est la permanence du diagnostic. Les difficultés que nous avons mesurées en 2026 — pénurie d’enseignants compétents, insuffisance du matériel, hétérogénéité des classes, absence de dictionnaires et de grammaires, confusion des alphabets — sont mot pour mot celles que Rongier relevait en 1995 et qu’Amoudji décrivait en 1987. Trente à quarante ans de constats identiques ne relèvent plus de la difficulté conjoncturelle : ils signalent un défaut structurel que seule une décision politique peut lever.</w:t>
      </w:r>
    </w:p>
    <w:p>
      <w:pPr>
        <w:spacing w:after="120"/>
        <w:ind w:firstLine="567"/>
        <w:jc w:val="both"/>
      </w:pPr>
      <w:r>
        <w:rPr>
          <w:rFonts w:ascii="Times New Roman" w:hAnsi="Times New Roman"/>
          <w:b w:val="0"/>
          <w:i w:val="0"/>
          <w:sz w:val="24"/>
        </w:rPr>
        <w:t>Il est donc urgent de procéder à une révision approfondie de la formation dans les ENFPE pour que l’école bilingue togolaise devienne une réussite. Pour ce faire, la mobilisation de moyens supplémentaires et la mise en place d’activités de pratique intensive, couplées à une revalorisation du statut des langues nationales, s’imposent.</w:t>
      </w:r>
    </w:p>
    <w:p>
      <w:pPr>
        <w:spacing w:after="120"/>
        <w:ind w:firstLine="567"/>
        <w:jc w:val="both"/>
      </w:pPr>
      <w:r>
        <w:rPr>
          <w:rFonts w:ascii="Times New Roman" w:hAnsi="Times New Roman"/>
          <w:b w:val="0"/>
          <w:i w:val="0"/>
          <w:sz w:val="24"/>
        </w:rPr>
        <w:t>L’enseignement de la langue nationale éwé occupe une place cruciale dans la préservation du patrimoine culturel, non seulement du peuple éwé mais aussi de la nation qu’il représente ; il demeure, à ce titre, tout aussi essentiel au développement du système éducatif togolais. Notre mémoire a mis en lumière les défis liés à la formation des enseignants, tant sur le plan institutionnel que didactique et sociologique. Il en ressort qu’en dépit d’un encadrement officiel structuré, la mise en œuvre effective du dispositif reste entravée par des insuffisances notoires, notamment dans le domaine des ressources, sans oublier la formation des formateurs.</w:t>
      </w:r>
    </w:p>
    <w:p>
      <w:pPr>
        <w:spacing w:after="120"/>
        <w:ind w:firstLine="567"/>
        <w:jc w:val="both"/>
      </w:pPr>
      <w:r>
        <w:rPr>
          <w:rFonts w:ascii="Times New Roman" w:hAnsi="Times New Roman"/>
          <w:b w:val="0"/>
          <w:i w:val="0"/>
          <w:sz w:val="24"/>
        </w:rPr>
        <w:t>Des opportunités d’amélioration progressive existent cependant et, si elles sont saisies, permettront de garantir des perspectives d’optimisation de la qualité de l’enseignement de l’éwégbé. Ces opportunités reposent incontestablement sur un engagement sans faille des autorités éducatives du pays, qui pourraient notamment renforcer les compétences des formateurs à travers la formation continue, diversifier les approches pédagogiques, promouvoir la recherche appliquée, revoir à la hausse le volume horaire alloué aux cours de langues nationales, et revoir leur statut en cessant de considérer le kabiyè et l’éwégbé comme une seule et même unité d’enseignement. Ces langues étant des vecteurs d’identité et de cohésion sociale, le renforcement de leur rôle devrait également être assuré.</w:t>
      </w:r>
    </w:p>
    <w:p>
      <w:pPr>
        <w:spacing w:after="120"/>
        <w:ind w:firstLine="567"/>
        <w:jc w:val="both"/>
      </w:pPr>
      <w:r>
        <w:rPr>
          <w:rFonts w:ascii="Times New Roman" w:hAnsi="Times New Roman"/>
          <w:b w:val="0"/>
          <w:i w:val="0"/>
          <w:sz w:val="24"/>
        </w:rPr>
        <w:t>Les recommandations de la réforme de 1975 doivent impérativement être prises en compte, tout en observant et, le cas échéant, en réactualisant le découpage par zone d’enseignement-apprentissage des langues éwé et kabiyè selon leur influence géographique, selon lequel la zone 1, qui s’étend de Lomé à Blitta, aurait pour langue première l’éwégbé et pour deuxième le kabiyè, la situation inverse s’appliquant dans la zone 2, qui va de Blitta à Dapaong (p. 19). Rappelons-en les termes :</w:t>
      </w:r>
    </w:p>
    <w:p>
      <w:pPr>
        <w:spacing w:after="80"/>
        <w:ind w:left="567" w:hanging="283"/>
        <w:jc w:val="both"/>
      </w:pPr>
      <w:r>
        <w:rPr>
          <w:rFonts w:ascii="Times New Roman" w:hAnsi="Times New Roman"/>
          <w:sz w:val="24"/>
        </w:rPr>
        <w:t>• « créer un Institut de Linguistique africaine proprement togolais qui étudiera ces langues pour elles-mêmes ;</w:t>
      </w:r>
    </w:p>
    <w:p>
      <w:pPr>
        <w:spacing w:after="80"/>
        <w:ind w:left="567" w:hanging="283"/>
        <w:jc w:val="both"/>
      </w:pPr>
      <w:r>
        <w:rPr>
          <w:rFonts w:ascii="Times New Roman" w:hAnsi="Times New Roman"/>
          <w:sz w:val="24"/>
        </w:rPr>
        <w:t>• faire élaborer par les organismes de recherche et de formation pédagogique les instruments indispensables à leur enseignement ;</w:t>
      </w:r>
    </w:p>
    <w:p>
      <w:pPr>
        <w:spacing w:after="80"/>
        <w:ind w:left="567" w:hanging="283"/>
        <w:jc w:val="both"/>
      </w:pPr>
      <w:r>
        <w:rPr>
          <w:rFonts w:ascii="Times New Roman" w:hAnsi="Times New Roman"/>
          <w:sz w:val="24"/>
        </w:rPr>
        <w:t>• introduire dans l’enseignement dès 1975 les langues dont les études sont assez avancées ;</w:t>
      </w:r>
    </w:p>
    <w:p>
      <w:pPr>
        <w:spacing w:after="80"/>
        <w:ind w:left="567" w:hanging="283"/>
        <w:jc w:val="both"/>
      </w:pPr>
      <w:r>
        <w:rPr>
          <w:rFonts w:ascii="Times New Roman" w:hAnsi="Times New Roman"/>
          <w:sz w:val="24"/>
        </w:rPr>
        <w:t>• préparer les maîtres en conséquence. Chaque citoyen apprendra deux langues togolaises. » (pp. 8-9)</w:t>
      </w:r>
    </w:p>
    <w:p>
      <w:pPr>
        <w:spacing w:after="120"/>
        <w:ind w:firstLine="567"/>
        <w:jc w:val="both"/>
      </w:pPr>
      <w:r>
        <w:rPr>
          <w:rFonts w:ascii="Times New Roman" w:hAnsi="Times New Roman"/>
          <w:b w:val="0"/>
          <w:i w:val="0"/>
          <w:sz w:val="24"/>
        </w:rPr>
        <w:t>Il convient, en toute rigueur scientifique, de rappeler les limites de ce travail. Il porte sur un seul établissement et sur une seule promotion ; il repose sur des déclarations et des auto-évaluations plutôt que sur des épreuves standardisées de niveau ; et son échantillon, s’il couvre l’intégralité des profils, ne permet pas de tests de significativité statistique. Ces limites ouvrent autant de perspectives de recherche : une étude comparative portant sur les sept ENFPE ; une évaluation par tests standardisés des compétences effectives en éwégbé à l’entrée et à la sortie de la formation ; un suivi longitudinal des sortants dans leurs premières années d’exercice, afin de mesurer le transfert réel des acquis ; et, enfin, une recherche parallèle sur le kabiyè, qui permettrait de déterminer lesquels de nos résultats tiennent à la langue et lesquels tiennent au dispositif.</w:t>
      </w:r>
    </w:p>
    <w:p>
      <w:pPr>
        <w:spacing w:after="120"/>
        <w:ind w:firstLine="567"/>
        <w:jc w:val="both"/>
      </w:pPr>
      <w:r>
        <w:rPr>
          <w:rFonts w:ascii="Times New Roman" w:hAnsi="Times New Roman"/>
          <w:b w:val="0"/>
          <w:i w:val="0"/>
          <w:sz w:val="24"/>
        </w:rPr>
        <w:t>En somme, ce travail invite à une mobilisation concertée de tous les acteurs du système éducatif togolais, en collaboration avec les détenteurs des us et coutumes, sans passer sous silence la contribution des parents d’élèves, afin de faire de l’enseignement des langues nationales un véritable socle de développement culturel et humain, soubassement de tout autre développement par l’innovation. Nous espérons que les recommandations formulées ici contribueront à l’amélioration du système éducatif de notre pays, car l’avenir de nos langues nationales et de notre identité culturelle en dépend. Comme on le dit chez nous : « XE GBE YE XE DONA », et aussi « AME AƉEKE MEKUA DRƆ̃E LE AME BUBU ƑE GBE ME OO ».</w:t>
      </w:r>
    </w:p>
    <w:p>
      <w:r>
        <w:br w:type="page"/>
      </w:r>
    </w:p>
    <w:p>
      <w:pPr>
        <w:pStyle w:val="Heading1"/>
        <w:jc w:val="left"/>
      </w:pPr>
      <w:r>
        <w:t>BIBLIOGRAPHIE</w:t>
      </w:r>
    </w:p>
    <w:p>
      <w:pPr>
        <w:pStyle w:val="Heading2"/>
        <w:jc w:val="left"/>
      </w:pPr>
      <w:r>
        <w:t>1. Ouvrages et articles scientifiques</w:t>
      </w:r>
    </w:p>
    <w:p>
      <w:pPr>
        <w:spacing w:after="120" w:line="276" w:lineRule="auto"/>
        <w:ind w:left="567" w:hanging="567"/>
        <w:jc w:val="both"/>
      </w:pPr>
      <w:r>
        <w:rPr>
          <w:rFonts w:ascii="Times New Roman" w:hAnsi="Times New Roman"/>
          <w:sz w:val="22"/>
        </w:rPr>
        <w:t>ADIKA, G. (2017). Language Policy and Actual Learning Time in Ghanaian Schools. Accra.</w:t>
      </w:r>
    </w:p>
    <w:p>
      <w:pPr>
        <w:spacing w:after="120" w:line="276" w:lineRule="auto"/>
        <w:ind w:left="567" w:hanging="567"/>
        <w:jc w:val="both"/>
      </w:pPr>
      <w:r>
        <w:rPr>
          <w:rFonts w:ascii="Times New Roman" w:hAnsi="Times New Roman"/>
          <w:sz w:val="22"/>
        </w:rPr>
        <w:t>AFELI, K. A. (2003). Politique linguistique et aménagement linguistique au Togo. Lomé, Université de Lomé.</w:t>
      </w:r>
    </w:p>
    <w:p>
      <w:pPr>
        <w:spacing w:after="120" w:line="276" w:lineRule="auto"/>
        <w:ind w:left="567" w:hanging="567"/>
        <w:jc w:val="both"/>
      </w:pPr>
      <w:r>
        <w:rPr>
          <w:rFonts w:ascii="Times New Roman" w:hAnsi="Times New Roman"/>
          <w:sz w:val="22"/>
        </w:rPr>
        <w:t>AGBEDOR, P. (2018). Dialectal Variation and Standardisation in Ewe. Accra.</w:t>
      </w:r>
    </w:p>
    <w:p>
      <w:pPr>
        <w:spacing w:after="120" w:line="276" w:lineRule="auto"/>
        <w:ind w:left="567" w:hanging="567"/>
        <w:jc w:val="both"/>
      </w:pPr>
      <w:r>
        <w:rPr>
          <w:rFonts w:ascii="Times New Roman" w:hAnsi="Times New Roman"/>
          <w:sz w:val="22"/>
        </w:rPr>
        <w:t>AKAKPO-AHIANYO, A. (1974). Les langues nationales et la formation de l’homme total. Lomé.</w:t>
      </w:r>
    </w:p>
    <w:p>
      <w:pPr>
        <w:spacing w:after="120" w:line="276" w:lineRule="auto"/>
        <w:ind w:left="567" w:hanging="567"/>
        <w:jc w:val="both"/>
      </w:pPr>
      <w:r>
        <w:rPr>
          <w:rFonts w:ascii="Times New Roman" w:hAnsi="Times New Roman"/>
          <w:sz w:val="22"/>
        </w:rPr>
        <w:t>AMENUMEY, D. E. K. (2018). Ewe Children’s Literature and Teacher Training. Ho, Ghana.</w:t>
      </w:r>
    </w:p>
    <w:p>
      <w:pPr>
        <w:spacing w:after="120" w:line="276" w:lineRule="auto"/>
        <w:ind w:left="567" w:hanging="567"/>
        <w:jc w:val="both"/>
      </w:pPr>
      <w:r>
        <w:rPr>
          <w:rFonts w:ascii="Times New Roman" w:hAnsi="Times New Roman"/>
          <w:sz w:val="22"/>
        </w:rPr>
        <w:t>AMOUDJI, K. (1987). Problèmes de l’enseignement de l’éwé dans les écoles togolaises. Lomé, DIFOP, pp. 32-63.</w:t>
      </w:r>
    </w:p>
    <w:p>
      <w:pPr>
        <w:spacing w:after="120" w:line="276" w:lineRule="auto"/>
        <w:ind w:left="567" w:hanging="567"/>
        <w:jc w:val="both"/>
      </w:pPr>
      <w:r>
        <w:rPr>
          <w:rFonts w:ascii="Times New Roman" w:hAnsi="Times New Roman"/>
          <w:sz w:val="22"/>
        </w:rPr>
        <w:t>APASU, F. (2024). Défis d’intégration effective des langues endogènes dans l’éducation formelle en Afrique : le cas de l’éwé au Sud du Togo. Thèse de doctorat.</w:t>
      </w:r>
    </w:p>
    <w:p>
      <w:pPr>
        <w:spacing w:after="120" w:line="276" w:lineRule="auto"/>
        <w:ind w:left="567" w:hanging="567"/>
        <w:jc w:val="both"/>
      </w:pPr>
      <w:r>
        <w:rPr>
          <w:rFonts w:ascii="Times New Roman" w:hAnsi="Times New Roman"/>
          <w:sz w:val="22"/>
        </w:rPr>
        <w:t>ATAKPA, F. K. (2019). Tutor Qualification in Volta Region Colleges of Education. Ho, Ghana.</w:t>
      </w:r>
    </w:p>
    <w:p>
      <w:pPr>
        <w:spacing w:after="120" w:line="276" w:lineRule="auto"/>
        <w:ind w:left="567" w:hanging="567"/>
        <w:jc w:val="both"/>
      </w:pPr>
      <w:r>
        <w:rPr>
          <w:rFonts w:ascii="Times New Roman" w:hAnsi="Times New Roman"/>
          <w:sz w:val="22"/>
        </w:rPr>
        <w:t>BAMGBOSE, A. (1999). « African language development and language planning ». Social Dynamics, 25(1), pp. 13-30.</w:t>
      </w:r>
    </w:p>
    <w:p>
      <w:pPr>
        <w:spacing w:after="120" w:line="276" w:lineRule="auto"/>
        <w:ind w:left="567" w:hanging="567"/>
        <w:jc w:val="both"/>
      </w:pPr>
      <w:r>
        <w:rPr>
          <w:rFonts w:ascii="Times New Roman" w:hAnsi="Times New Roman"/>
          <w:sz w:val="22"/>
        </w:rPr>
        <w:t>BAMGBOSE, A. (2000). Language and Exclusion: The Consequences of Language Policies in Africa. Münster/Hambourg/Londres, LIT Verlag.</w:t>
      </w:r>
    </w:p>
    <w:p>
      <w:pPr>
        <w:spacing w:after="120" w:line="276" w:lineRule="auto"/>
        <w:ind w:left="567" w:hanging="567"/>
        <w:jc w:val="both"/>
      </w:pPr>
      <w:r>
        <w:rPr>
          <w:rFonts w:ascii="Times New Roman" w:hAnsi="Times New Roman"/>
          <w:sz w:val="22"/>
        </w:rPr>
        <w:t>BOURDIEU, P. (1982). Ce que parler veut dire. L’économie des échanges linguistiques. Paris, Fayard.</w:t>
      </w:r>
    </w:p>
    <w:p>
      <w:pPr>
        <w:spacing w:after="120" w:line="276" w:lineRule="auto"/>
        <w:ind w:left="567" w:hanging="567"/>
        <w:jc w:val="both"/>
      </w:pPr>
      <w:r>
        <w:rPr>
          <w:rFonts w:ascii="Times New Roman" w:hAnsi="Times New Roman"/>
          <w:sz w:val="22"/>
        </w:rPr>
        <w:t>CASELY-HAYFORD, L. et al. (2013). The Quality of Basic Education in Ghana. Accra.</w:t>
      </w:r>
    </w:p>
    <w:p>
      <w:pPr>
        <w:spacing w:after="120" w:line="276" w:lineRule="auto"/>
        <w:ind w:left="567" w:hanging="567"/>
        <w:jc w:val="both"/>
      </w:pPr>
      <w:r>
        <w:rPr>
          <w:rFonts w:ascii="Times New Roman" w:hAnsi="Times New Roman"/>
          <w:sz w:val="22"/>
        </w:rPr>
        <w:t>CHEVALLARD, Y. (1985). La transposition didactique : du savoir savant au savoir enseigné. Grenoble, La Pensée sauvage.</w:t>
      </w:r>
    </w:p>
    <w:p>
      <w:pPr>
        <w:spacing w:after="120" w:line="276" w:lineRule="auto"/>
        <w:ind w:left="567" w:hanging="567"/>
        <w:jc w:val="both"/>
      </w:pPr>
      <w:r>
        <w:rPr>
          <w:rFonts w:ascii="Times New Roman" w:hAnsi="Times New Roman"/>
          <w:sz w:val="22"/>
        </w:rPr>
        <w:t>CUMMINS, J. (1981). « The Role of Primary Language Development in Promoting Educational Success for Language Minority Students ». Sacramento, California State Department of Education.</w:t>
      </w:r>
    </w:p>
    <w:p>
      <w:pPr>
        <w:spacing w:after="120" w:line="276" w:lineRule="auto"/>
        <w:ind w:left="567" w:hanging="567"/>
        <w:jc w:val="both"/>
      </w:pPr>
      <w:r>
        <w:rPr>
          <w:rFonts w:ascii="Times New Roman" w:hAnsi="Times New Roman"/>
          <w:sz w:val="22"/>
        </w:rPr>
        <w:t>CUQ, J.-P. (dir.) (2003). Dictionnaire de didactique du français langue étrangère et seconde. Paris, CLE International.</w:t>
      </w:r>
    </w:p>
    <w:p>
      <w:pPr>
        <w:spacing w:after="120" w:line="276" w:lineRule="auto"/>
        <w:ind w:left="567" w:hanging="567"/>
        <w:jc w:val="both"/>
      </w:pPr>
      <w:r>
        <w:rPr>
          <w:rFonts w:ascii="Times New Roman" w:hAnsi="Times New Roman"/>
          <w:sz w:val="22"/>
        </w:rPr>
        <w:t>CUQ, J.-P. et GRUCA, I. (2005). Cours de didactique du français langue étrangère et seconde. Grenoble, PUG.</w:t>
      </w:r>
    </w:p>
    <w:p>
      <w:pPr>
        <w:spacing w:after="120" w:line="276" w:lineRule="auto"/>
        <w:ind w:left="567" w:hanging="567"/>
        <w:jc w:val="both"/>
      </w:pPr>
      <w:r>
        <w:rPr>
          <w:rFonts w:ascii="Times New Roman" w:hAnsi="Times New Roman"/>
          <w:sz w:val="22"/>
        </w:rPr>
        <w:t>DANSO, K. (2020). Newly Trained Teachers’ Confidence in Using L1 as Medium of Instruction. Accra.</w:t>
      </w:r>
    </w:p>
    <w:p>
      <w:pPr>
        <w:spacing w:after="120" w:line="276" w:lineRule="auto"/>
        <w:ind w:left="567" w:hanging="567"/>
        <w:jc w:val="both"/>
      </w:pPr>
      <w:r>
        <w:rPr>
          <w:rFonts w:ascii="Times New Roman" w:hAnsi="Times New Roman"/>
          <w:sz w:val="22"/>
        </w:rPr>
        <w:t>DJITÉ, P. G. (2008). The Sociolinguistics of Development in Africa. Clevedon, Multilingual Matters.</w:t>
      </w:r>
    </w:p>
    <w:p>
      <w:pPr>
        <w:spacing w:after="120" w:line="276" w:lineRule="auto"/>
        <w:ind w:left="567" w:hanging="567"/>
        <w:jc w:val="both"/>
      </w:pPr>
      <w:r>
        <w:rPr>
          <w:rFonts w:ascii="Times New Roman" w:hAnsi="Times New Roman"/>
          <w:sz w:val="22"/>
        </w:rPr>
        <w:t>DZAMESHIE, A. K. (2015). Standard Ewe and Dialect Variation in Education. Legon, University of Ghana.</w:t>
      </w:r>
    </w:p>
    <w:p>
      <w:pPr>
        <w:spacing w:after="120" w:line="276" w:lineRule="auto"/>
        <w:ind w:left="567" w:hanging="567"/>
        <w:jc w:val="both"/>
      </w:pPr>
      <w:r>
        <w:rPr>
          <w:rFonts w:ascii="Times New Roman" w:hAnsi="Times New Roman"/>
          <w:sz w:val="22"/>
        </w:rPr>
        <w:t>EWUSI-MENSAH, K. (2019). Language Attitudes and Teacher Licensure in Ghana. Cape Coast.</w:t>
      </w:r>
    </w:p>
    <w:p>
      <w:pPr>
        <w:spacing w:after="120" w:line="276" w:lineRule="auto"/>
        <w:ind w:left="567" w:hanging="567"/>
        <w:jc w:val="both"/>
      </w:pPr>
      <w:r>
        <w:rPr>
          <w:rFonts w:ascii="Times New Roman" w:hAnsi="Times New Roman"/>
          <w:sz w:val="22"/>
        </w:rPr>
        <w:t>GANGUE, K. et al. (2023). « L’enseignement bilingue au Togo : bilan et perspectives », dans AUF et IFEF, Actes du séminaire international Apprendre-ELAN, Dakar, 27-29 juin 2022, p. 55.</w:t>
      </w:r>
    </w:p>
    <w:p>
      <w:pPr>
        <w:spacing w:after="120" w:line="276" w:lineRule="auto"/>
        <w:ind w:left="567" w:hanging="567"/>
        <w:jc w:val="both"/>
      </w:pPr>
      <w:r>
        <w:rPr>
          <w:rFonts w:ascii="Times New Roman" w:hAnsi="Times New Roman"/>
          <w:sz w:val="22"/>
        </w:rPr>
        <w:t>HALAOUI, N. (2011). Politiques linguistiques et éducation en Afrique. Paris.</w:t>
      </w:r>
    </w:p>
    <w:p>
      <w:pPr>
        <w:spacing w:after="120" w:line="276" w:lineRule="auto"/>
        <w:ind w:left="567" w:hanging="567"/>
        <w:jc w:val="both"/>
      </w:pPr>
      <w:r>
        <w:rPr>
          <w:rFonts w:ascii="Times New Roman" w:hAnsi="Times New Roman"/>
          <w:sz w:val="22"/>
        </w:rPr>
        <w:t>HIRSCHSPRUNG, N. (2005). Apprendre et enseigner avec le multimédia. Paris, Hachette.</w:t>
      </w:r>
    </w:p>
    <w:p>
      <w:pPr>
        <w:spacing w:after="120" w:line="276" w:lineRule="auto"/>
        <w:ind w:left="567" w:hanging="567"/>
        <w:jc w:val="both"/>
      </w:pPr>
      <w:r>
        <w:rPr>
          <w:rFonts w:ascii="Times New Roman" w:hAnsi="Times New Roman"/>
          <w:sz w:val="22"/>
        </w:rPr>
        <w:t>KAMBOU, S. (2018). L’éducation bilingue au Burkina Faso : bilan et perspectives. Ouagadougou.</w:t>
      </w:r>
    </w:p>
    <w:p>
      <w:pPr>
        <w:spacing w:after="120" w:line="276" w:lineRule="auto"/>
        <w:ind w:left="567" w:hanging="567"/>
        <w:jc w:val="both"/>
      </w:pPr>
      <w:r>
        <w:rPr>
          <w:rFonts w:ascii="Times New Roman" w:hAnsi="Times New Roman"/>
          <w:sz w:val="22"/>
        </w:rPr>
        <w:t>LEGENDRE, R. (1993). Dictionnaire actuel de l’éducation. Montréal, Guérin.</w:t>
      </w:r>
    </w:p>
    <w:p>
      <w:pPr>
        <w:spacing w:after="120" w:line="276" w:lineRule="auto"/>
        <w:ind w:left="567" w:hanging="567"/>
        <w:jc w:val="both"/>
      </w:pPr>
      <w:r>
        <w:rPr>
          <w:rFonts w:ascii="Times New Roman" w:hAnsi="Times New Roman"/>
          <w:sz w:val="22"/>
        </w:rPr>
        <w:t>MAURER, B. et N’DOYE, M. (2022). Langue première et langue d’enseignement : quelle(s) stratégie(s) pour faciliter les premiers apprentissages, la réussite scolaire et le vivre-ensemble au XXIe siècle ? Document de réflexion et d’orientation, 59e session de la CONFEMEN, Rabat, 21-22 février 2022.</w:t>
      </w:r>
    </w:p>
    <w:p>
      <w:pPr>
        <w:spacing w:after="120" w:line="276" w:lineRule="auto"/>
        <w:ind w:left="567" w:hanging="567"/>
        <w:jc w:val="both"/>
      </w:pPr>
      <w:r>
        <w:rPr>
          <w:rFonts w:ascii="Times New Roman" w:hAnsi="Times New Roman"/>
          <w:sz w:val="22"/>
        </w:rPr>
        <w:t>MOSCOVICI, S. (1961). La psychanalyse, son image et son public. Paris, PUF.</w:t>
      </w:r>
    </w:p>
    <w:p>
      <w:pPr>
        <w:spacing w:after="120" w:line="276" w:lineRule="auto"/>
        <w:ind w:left="567" w:hanging="567"/>
        <w:jc w:val="both"/>
      </w:pPr>
      <w:r>
        <w:rPr>
          <w:rFonts w:ascii="Times New Roman" w:hAnsi="Times New Roman"/>
          <w:sz w:val="22"/>
        </w:rPr>
        <w:t>NYAMEKYE, E. (2021). ICT and Indigenous Language Teaching in Ghanaian Colleges of Education. Winneba.</w:t>
      </w:r>
    </w:p>
    <w:p>
      <w:pPr>
        <w:spacing w:after="120" w:line="276" w:lineRule="auto"/>
        <w:ind w:left="567" w:hanging="567"/>
        <w:jc w:val="both"/>
      </w:pPr>
      <w:r>
        <w:rPr>
          <w:rFonts w:ascii="Times New Roman" w:hAnsi="Times New Roman"/>
          <w:sz w:val="22"/>
        </w:rPr>
        <w:t>OUANE, A. (dir.) (1995). Vers une culture multilingue de l’éducation. Hambourg, Institut de l’UNESCO pour l’éducation.</w:t>
      </w:r>
    </w:p>
    <w:p>
      <w:pPr>
        <w:spacing w:after="120" w:line="276" w:lineRule="auto"/>
        <w:ind w:left="567" w:hanging="567"/>
        <w:jc w:val="both"/>
      </w:pPr>
      <w:r>
        <w:rPr>
          <w:rFonts w:ascii="Times New Roman" w:hAnsi="Times New Roman"/>
          <w:sz w:val="22"/>
        </w:rPr>
        <w:t>PRAH, K. K. (2009). The Burden of English in Africa. Cape Town, CASAS.</w:t>
      </w:r>
    </w:p>
    <w:p>
      <w:pPr>
        <w:spacing w:after="120" w:line="276" w:lineRule="auto"/>
        <w:ind w:left="567" w:hanging="567"/>
        <w:jc w:val="both"/>
      </w:pPr>
      <w:r>
        <w:rPr>
          <w:rFonts w:ascii="Times New Roman" w:hAnsi="Times New Roman"/>
          <w:sz w:val="22"/>
        </w:rPr>
        <w:t>RIEBSTEIN, E. (1923). Vocabulaire de la langue éwé, 1re partie : éwé-français. Lomé.</w:t>
      </w:r>
    </w:p>
    <w:p>
      <w:pPr>
        <w:spacing w:after="120" w:line="276" w:lineRule="auto"/>
        <w:ind w:left="567" w:hanging="567"/>
        <w:jc w:val="both"/>
      </w:pPr>
      <w:r>
        <w:rPr>
          <w:rFonts w:ascii="Times New Roman" w:hAnsi="Times New Roman"/>
          <w:sz w:val="22"/>
        </w:rPr>
        <w:t>RIEBSTEIN, E. (1926). Vocabulaire de la langue éwé, 2e partie : français-éwé. Lomé.</w:t>
      </w:r>
    </w:p>
    <w:p>
      <w:pPr>
        <w:spacing w:after="120" w:line="276" w:lineRule="auto"/>
        <w:ind w:left="567" w:hanging="567"/>
        <w:jc w:val="both"/>
      </w:pPr>
      <w:r>
        <w:rPr>
          <w:rFonts w:ascii="Times New Roman" w:hAnsi="Times New Roman"/>
          <w:sz w:val="22"/>
        </w:rPr>
        <w:t>RONGIER, J. (1995). « Pour une amélioration de l’enseignement de l’éwé au Togo ». Lomé, p. 50.</w:t>
      </w:r>
    </w:p>
    <w:p>
      <w:pPr>
        <w:spacing w:after="120" w:line="276" w:lineRule="auto"/>
        <w:ind w:left="567" w:hanging="567"/>
        <w:jc w:val="both"/>
      </w:pPr>
      <w:r>
        <w:rPr>
          <w:rFonts w:ascii="Times New Roman" w:hAnsi="Times New Roman"/>
          <w:sz w:val="22"/>
        </w:rPr>
        <w:t>SCHLEGEL, J. B. (1856). Aongla-Primer. Stuttgart.</w:t>
      </w:r>
    </w:p>
    <w:p>
      <w:pPr>
        <w:spacing w:after="120" w:line="276" w:lineRule="auto"/>
        <w:ind w:left="567" w:hanging="567"/>
        <w:jc w:val="both"/>
      </w:pPr>
      <w:r>
        <w:rPr>
          <w:rFonts w:ascii="Times New Roman" w:hAnsi="Times New Roman"/>
          <w:sz w:val="22"/>
        </w:rPr>
        <w:t>SCHLEGEL, J. B. (1857). Schlüssel zur Ewe-Sprache. Stuttgart.</w:t>
      </w:r>
    </w:p>
    <w:p>
      <w:pPr>
        <w:spacing w:after="120" w:line="276" w:lineRule="auto"/>
        <w:ind w:left="567" w:hanging="567"/>
        <w:jc w:val="both"/>
      </w:pPr>
      <w:r>
        <w:rPr>
          <w:rFonts w:ascii="Times New Roman" w:hAnsi="Times New Roman"/>
          <w:sz w:val="22"/>
        </w:rPr>
        <w:t>TAKOUGNADI, Y. (2024). « L’enseignement des langues nationales au Togo : nécessité de changer de paradigmes ». IOSR Journal of Humanities and Social Science, 29(12), pp. 64-70.</w:t>
      </w:r>
    </w:p>
    <w:p>
      <w:pPr>
        <w:spacing w:after="120" w:line="276" w:lineRule="auto"/>
        <w:ind w:left="567" w:hanging="567"/>
        <w:jc w:val="both"/>
      </w:pPr>
      <w:r>
        <w:rPr>
          <w:rFonts w:ascii="Times New Roman" w:hAnsi="Times New Roman"/>
          <w:sz w:val="22"/>
        </w:rPr>
        <w:t>TANANG, E. « L’enseignement des langues nationales au Togo : entre valorisation du patrimoine culturel linguistique et enjeux politiques (fin des années 1960-2018) ». Université de Kara, p. 128.</w:t>
      </w:r>
    </w:p>
    <w:p>
      <w:pPr>
        <w:spacing w:after="120" w:line="276" w:lineRule="auto"/>
        <w:ind w:left="567" w:hanging="567"/>
        <w:jc w:val="both"/>
      </w:pPr>
      <w:r>
        <w:rPr>
          <w:rFonts w:ascii="Times New Roman" w:hAnsi="Times New Roman"/>
          <w:sz w:val="22"/>
        </w:rPr>
        <w:t>WINEGUE, E. L’insuffisance des services d’orientation scolaire et le risque de décrochage dans le sous-système de l’enseignement technique et de la formation professionnelle : cas des élèves du CRETFP-Dapaong. Mémoire.</w:t>
      </w:r>
    </w:p>
    <w:p>
      <w:pPr>
        <w:spacing w:after="120" w:line="276" w:lineRule="auto"/>
        <w:ind w:left="567" w:hanging="567"/>
        <w:jc w:val="both"/>
      </w:pPr>
      <w:r>
        <w:rPr>
          <w:rFonts w:ascii="Times New Roman" w:hAnsi="Times New Roman"/>
          <w:sz w:val="22"/>
        </w:rPr>
        <w:t>WOLFF, H. E. (2006). Background and History – Language Politics and Planning in Africa. Hambourg.</w:t>
      </w:r>
    </w:p>
    <w:p>
      <w:pPr>
        <w:pStyle w:val="Heading2"/>
        <w:jc w:val="left"/>
      </w:pPr>
      <w:r>
        <w:t>2. Documents institutionnels et textes réglementaires</w:t>
      </w:r>
    </w:p>
    <w:p>
      <w:pPr>
        <w:spacing w:after="120" w:line="276" w:lineRule="auto"/>
        <w:ind w:left="567" w:hanging="567"/>
        <w:jc w:val="both"/>
      </w:pPr>
      <w:r>
        <w:rPr>
          <w:rFonts w:ascii="Times New Roman" w:hAnsi="Times New Roman"/>
          <w:sz w:val="22"/>
        </w:rPr>
        <w:t>AUF et IFEF (2023). Actes du séminaire international Apprendre-ELAN : restitution scientifique des projets de recherche « Enseignements-apprentissages bilingues », Dakar, 27-29 juin 2022.</w:t>
      </w:r>
    </w:p>
    <w:p>
      <w:pPr>
        <w:spacing w:after="120" w:line="276" w:lineRule="auto"/>
        <w:ind w:left="567" w:hanging="567"/>
        <w:jc w:val="both"/>
      </w:pPr>
      <w:r>
        <w:rPr>
          <w:rFonts w:ascii="Times New Roman" w:hAnsi="Times New Roman"/>
          <w:sz w:val="22"/>
        </w:rPr>
        <w:t>CONFEMEN (2022). Actes de la 59e session ministérielle, Rabat, 21-22 février 2022.</w:t>
      </w:r>
    </w:p>
    <w:p>
      <w:pPr>
        <w:spacing w:after="120" w:line="276" w:lineRule="auto"/>
        <w:ind w:left="567" w:hanging="567"/>
        <w:jc w:val="both"/>
      </w:pPr>
      <w:r>
        <w:rPr>
          <w:rFonts w:ascii="Times New Roman" w:hAnsi="Times New Roman"/>
          <w:sz w:val="22"/>
        </w:rPr>
        <w:t>DIFOP (1991). Fascicule sur l’enseignement des langues nationales au Togo. Lomé, pp. 1-19.</w:t>
      </w:r>
    </w:p>
    <w:p>
      <w:pPr>
        <w:spacing w:after="120" w:line="276" w:lineRule="auto"/>
        <w:ind w:left="567" w:hanging="567"/>
        <w:jc w:val="both"/>
      </w:pPr>
      <w:r>
        <w:rPr>
          <w:rFonts w:ascii="Times New Roman" w:hAnsi="Times New Roman"/>
          <w:sz w:val="22"/>
        </w:rPr>
        <w:t>GNON-MONDE (1991). Rapport sur l’enseignement des langues nationales. Lomé, pp. 15-17.</w:t>
      </w:r>
    </w:p>
    <w:p>
      <w:pPr>
        <w:spacing w:after="120" w:line="276" w:lineRule="auto"/>
        <w:ind w:left="567" w:hanging="567"/>
        <w:jc w:val="both"/>
      </w:pPr>
      <w:r>
        <w:rPr>
          <w:rFonts w:ascii="Times New Roman" w:hAnsi="Times New Roman"/>
          <w:sz w:val="22"/>
        </w:rPr>
        <w:t>GNON-SAMYA (1988). Note sur les difficultés de l’enseignement de l’éwé. Lomé, pp. 16-19.</w:t>
      </w:r>
    </w:p>
    <w:p>
      <w:pPr>
        <w:spacing w:after="120" w:line="276" w:lineRule="auto"/>
        <w:ind w:left="567" w:hanging="567"/>
        <w:jc w:val="both"/>
      </w:pPr>
      <w:r>
        <w:rPr>
          <w:rFonts w:ascii="Times New Roman" w:hAnsi="Times New Roman"/>
          <w:sz w:val="22"/>
        </w:rPr>
        <w:t>INSEED (2026). Estimation de la population togolaise au 1er janvier 2026. Lomé.</w:t>
      </w:r>
    </w:p>
    <w:p>
      <w:pPr>
        <w:spacing w:after="120" w:line="276" w:lineRule="auto"/>
        <w:ind w:left="567" w:hanging="567"/>
        <w:jc w:val="both"/>
      </w:pPr>
      <w:r>
        <w:rPr>
          <w:rFonts w:ascii="Times New Roman" w:hAnsi="Times New Roman"/>
          <w:sz w:val="22"/>
        </w:rPr>
        <w:t>MINISTÈRE DE L’ÉDUCATION NATIONALE (2020). Tableau de bord de l’éducation au Togo, indicateurs 2019-2020. Lomé.</w:t>
      </w:r>
    </w:p>
    <w:p>
      <w:pPr>
        <w:spacing w:after="120" w:line="276" w:lineRule="auto"/>
        <w:ind w:left="567" w:hanging="567"/>
        <w:jc w:val="both"/>
      </w:pPr>
      <w:r>
        <w:rPr>
          <w:rFonts w:ascii="Times New Roman" w:hAnsi="Times New Roman"/>
          <w:sz w:val="22"/>
        </w:rPr>
        <w:t>MINISTÈRE DE L’ÉDUCATION NATIONALE. Module de formation en langue nationale éwé dans les ENFPE. Lomé.</w:t>
      </w:r>
    </w:p>
    <w:p>
      <w:pPr>
        <w:spacing w:after="120" w:line="276" w:lineRule="auto"/>
        <w:ind w:left="567" w:hanging="567"/>
        <w:jc w:val="both"/>
      </w:pPr>
      <w:r>
        <w:rPr>
          <w:rFonts w:ascii="Times New Roman" w:hAnsi="Times New Roman"/>
          <w:sz w:val="22"/>
        </w:rPr>
        <w:t>PASEC (2014). Performances du système éducatif togolais : compétences et facteurs de réussite au primaire. Dakar, CONFEMEN.</w:t>
      </w:r>
    </w:p>
    <w:p>
      <w:pPr>
        <w:spacing w:after="120" w:line="276" w:lineRule="auto"/>
        <w:ind w:left="567" w:hanging="567"/>
        <w:jc w:val="both"/>
      </w:pPr>
      <w:r>
        <w:rPr>
          <w:rFonts w:ascii="Times New Roman" w:hAnsi="Times New Roman"/>
          <w:sz w:val="22"/>
        </w:rPr>
        <w:t>RÉPUBLIQUE TOGOLAISE (1975). Ordonnance n° 75-016 du 6 mai 1975 portant réforme de l’enseignement au Togo.</w:t>
      </w:r>
    </w:p>
    <w:p>
      <w:pPr>
        <w:spacing w:after="120" w:line="276" w:lineRule="auto"/>
        <w:ind w:left="567" w:hanging="567"/>
        <w:jc w:val="both"/>
      </w:pPr>
      <w:r>
        <w:rPr>
          <w:rFonts w:ascii="Times New Roman" w:hAnsi="Times New Roman"/>
          <w:sz w:val="22"/>
        </w:rPr>
        <w:t>RÉPUBLIQUE TOGOLAISE (2022). Arrêté interministériel n° 009/MEPSTA/MFPTDS/MEF du 4 novembre 2022 portant dénomination des Écoles normales de formation des professeurs d’école.</w:t>
      </w:r>
    </w:p>
    <w:p>
      <w:pPr>
        <w:spacing w:after="120" w:line="276" w:lineRule="auto"/>
        <w:ind w:left="567" w:hanging="567"/>
        <w:jc w:val="both"/>
      </w:pPr>
      <w:r>
        <w:rPr>
          <w:rFonts w:ascii="Times New Roman" w:hAnsi="Times New Roman"/>
          <w:sz w:val="22"/>
        </w:rPr>
        <w:t>RÉPUBLIQUE TOGOLAISE (2024). Arrêté interministériel n° 003/MEPST/MFPTDS du 15 mai 2024 portant organisation du concours de recrutement des professeurs d’école normale.</w:t>
      </w:r>
    </w:p>
    <w:p>
      <w:pPr>
        <w:spacing w:after="120" w:line="276" w:lineRule="auto"/>
        <w:ind w:left="567" w:hanging="567"/>
        <w:jc w:val="both"/>
      </w:pPr>
      <w:r>
        <w:rPr>
          <w:rFonts w:ascii="Times New Roman" w:hAnsi="Times New Roman"/>
          <w:sz w:val="22"/>
        </w:rPr>
        <w:t>UNESCO (1969). Conférence d’Alger sur l’éducation et les cultures africaines. Alger.</w:t>
      </w:r>
    </w:p>
    <w:p>
      <w:pPr>
        <w:spacing w:after="120" w:line="276" w:lineRule="auto"/>
        <w:ind w:left="567" w:hanging="567"/>
        <w:jc w:val="both"/>
      </w:pPr>
      <w:r>
        <w:rPr>
          <w:rFonts w:ascii="Times New Roman" w:hAnsi="Times New Roman"/>
          <w:sz w:val="22"/>
        </w:rPr>
        <w:t>UNESCO (1970). Définition de l’orientation scolaire et professionnelle. Paris.</w:t>
      </w:r>
    </w:p>
    <w:p>
      <w:pPr>
        <w:spacing w:after="120" w:line="276" w:lineRule="auto"/>
        <w:ind w:left="567" w:hanging="567"/>
        <w:jc w:val="both"/>
      </w:pPr>
      <w:r>
        <w:rPr>
          <w:rFonts w:ascii="Times New Roman" w:hAnsi="Times New Roman"/>
          <w:sz w:val="22"/>
        </w:rPr>
        <w:t>UNESCO (1987). Langues nationales et formation des maîtres en Afrique. Paris.</w:t>
      </w:r>
    </w:p>
    <w:p>
      <w:pPr>
        <w:spacing w:after="120" w:line="276" w:lineRule="auto"/>
        <w:ind w:left="567" w:hanging="567"/>
        <w:jc w:val="both"/>
      </w:pPr>
      <w:r>
        <w:rPr>
          <w:rFonts w:ascii="Times New Roman" w:hAnsi="Times New Roman"/>
          <w:sz w:val="22"/>
        </w:rPr>
        <w:t>UNESCO (1999). La formation des enseignants en enseignement bilingue ou plurilingue (version Afrique). Paris.</w:t>
      </w:r>
    </w:p>
    <w:p>
      <w:pPr>
        <w:spacing w:after="120" w:line="276" w:lineRule="auto"/>
        <w:ind w:left="567" w:hanging="567"/>
        <w:jc w:val="both"/>
      </w:pPr>
      <w:r>
        <w:rPr>
          <w:rFonts w:ascii="Times New Roman" w:hAnsi="Times New Roman"/>
          <w:sz w:val="22"/>
        </w:rPr>
        <w:t>UNESCO (2006). Stratégie de formation des enseignants en enseignement bilingue additif pour les pays du Sahel. Paris.</w:t>
      </w:r>
    </w:p>
    <w:p>
      <w:pPr>
        <w:spacing w:after="120" w:line="276" w:lineRule="auto"/>
        <w:ind w:left="567" w:hanging="567"/>
        <w:jc w:val="both"/>
      </w:pPr>
      <w:r>
        <w:rPr>
          <w:rFonts w:ascii="Times New Roman" w:hAnsi="Times New Roman"/>
          <w:sz w:val="22"/>
        </w:rPr>
        <w:t>UNICEF (2020). Rapport sur l’état de l’éducation de base au Togo. Lomé.</w:t>
      </w:r>
    </w:p>
    <w:p>
      <w:r>
        <w:br w:type="page"/>
      </w:r>
    </w:p>
    <w:p>
      <w:pPr>
        <w:pStyle w:val="Heading1"/>
        <w:jc w:val="left"/>
      </w:pPr>
      <w:r>
        <w:t>ANNEXES</w:t>
      </w:r>
    </w:p>
    <w:p>
      <w:pPr>
        <w:pStyle w:val="Heading2"/>
        <w:jc w:val="left"/>
      </w:pPr>
      <w:r>
        <w:t>Annexe 1 : Questionnaire adressé aux élèves-professeurs d’école</w:t>
      </w:r>
    </w:p>
    <w:p>
      <w:pPr>
        <w:spacing w:after="120"/>
        <w:ind w:firstLine="567"/>
        <w:jc w:val="both"/>
      </w:pPr>
      <w:r>
        <w:rPr>
          <w:rFonts w:ascii="Times New Roman" w:hAnsi="Times New Roman"/>
          <w:b w:val="0"/>
          <w:i/>
          <w:sz w:val="24"/>
        </w:rPr>
        <w:t>Le présent questionnaire, anonyme, s’inscrit dans le cadre d’un mémoire de fin de formation portant sur le dispositif d’enseignement-apprentissage de l’éwégbé à l’ENFPE de Notsè. Les réponses fournies sont exclusivement destinées à un usage scientifique. Nous vous remercions de votre collaboration.</w:t>
      </w:r>
    </w:p>
    <w:p>
      <w:pPr>
        <w:spacing w:after="120"/>
        <w:jc w:val="both"/>
      </w:pPr>
      <w:r>
        <w:rPr>
          <w:rFonts w:ascii="Times New Roman" w:hAnsi="Times New Roman"/>
          <w:b/>
          <w:i w:val="0"/>
          <w:sz w:val="24"/>
        </w:rPr>
        <w:t>Partie I – Identité et niveau d’étude</w:t>
      </w:r>
    </w:p>
    <w:p>
      <w:pPr>
        <w:spacing w:after="80"/>
        <w:ind w:left="567" w:hanging="283"/>
        <w:jc w:val="both"/>
      </w:pPr>
      <w:r>
        <w:rPr>
          <w:rFonts w:ascii="Times New Roman" w:hAnsi="Times New Roman"/>
          <w:sz w:val="24"/>
        </w:rPr>
        <w:t>• 1. Sexe : ☐ Masculin  ☐ Féminin</w:t>
      </w:r>
    </w:p>
    <w:p>
      <w:pPr>
        <w:spacing w:after="80"/>
        <w:ind w:left="567" w:hanging="283"/>
        <w:jc w:val="both"/>
      </w:pPr>
      <w:r>
        <w:rPr>
          <w:rFonts w:ascii="Times New Roman" w:hAnsi="Times New Roman"/>
          <w:sz w:val="24"/>
        </w:rPr>
        <w:t>• 2. Âge : …………</w:t>
      </w:r>
    </w:p>
    <w:p>
      <w:pPr>
        <w:spacing w:after="80"/>
        <w:ind w:left="567" w:hanging="283"/>
        <w:jc w:val="both"/>
      </w:pPr>
      <w:r>
        <w:rPr>
          <w:rFonts w:ascii="Times New Roman" w:hAnsi="Times New Roman"/>
          <w:sz w:val="24"/>
        </w:rPr>
        <w:t>• 3. Groupe-classe : …………   Promotion : …………</w:t>
      </w:r>
    </w:p>
    <w:p>
      <w:pPr>
        <w:spacing w:after="80"/>
        <w:ind w:left="567" w:hanging="283"/>
        <w:jc w:val="both"/>
      </w:pPr>
      <w:r>
        <w:rPr>
          <w:rFonts w:ascii="Times New Roman" w:hAnsi="Times New Roman"/>
          <w:sz w:val="24"/>
        </w:rPr>
        <w:t>• 4. Dernier diplôme obtenu : …………………………………</w:t>
      </w:r>
    </w:p>
    <w:p>
      <w:pPr>
        <w:spacing w:after="120"/>
        <w:jc w:val="both"/>
      </w:pPr>
      <w:r>
        <w:rPr>
          <w:rFonts w:ascii="Times New Roman" w:hAnsi="Times New Roman"/>
          <w:b/>
          <w:i w:val="0"/>
          <w:sz w:val="24"/>
        </w:rPr>
        <w:t>Partie II – Aspect sociodémographique et linguistique</w:t>
      </w:r>
    </w:p>
    <w:p>
      <w:pPr>
        <w:spacing w:after="80"/>
        <w:ind w:left="567" w:hanging="283"/>
        <w:jc w:val="both"/>
      </w:pPr>
      <w:r>
        <w:rPr>
          <w:rFonts w:ascii="Times New Roman" w:hAnsi="Times New Roman"/>
          <w:sz w:val="24"/>
        </w:rPr>
        <w:t>• 5. Région et préfecture d’origine : …………………………………</w:t>
      </w:r>
    </w:p>
    <w:p>
      <w:pPr>
        <w:spacing w:after="80"/>
        <w:ind w:left="567" w:hanging="283"/>
        <w:jc w:val="both"/>
      </w:pPr>
      <w:r>
        <w:rPr>
          <w:rFonts w:ascii="Times New Roman" w:hAnsi="Times New Roman"/>
          <w:sz w:val="24"/>
        </w:rPr>
        <w:t>• 6. Quelle est votre langue maternelle ? …………………………………</w:t>
      </w:r>
    </w:p>
    <w:p>
      <w:pPr>
        <w:spacing w:after="80"/>
        <w:ind w:left="567" w:hanging="283"/>
        <w:jc w:val="both"/>
      </w:pPr>
      <w:r>
        <w:rPr>
          <w:rFonts w:ascii="Times New Roman" w:hAnsi="Times New Roman"/>
          <w:sz w:val="24"/>
        </w:rPr>
        <w:t>• 7. Par rapport à l’éwégbé, vous considérez-vous comme : ☐ non-locuteur  ☐ locuteur natif  ☐ locuteur non natif  ☐ locuteur (sans précision)</w:t>
      </w:r>
    </w:p>
    <w:p>
      <w:pPr>
        <w:spacing w:after="80"/>
        <w:ind w:left="567" w:hanging="283"/>
        <w:jc w:val="both"/>
      </w:pPr>
      <w:r>
        <w:rPr>
          <w:rFonts w:ascii="Times New Roman" w:hAnsi="Times New Roman"/>
          <w:sz w:val="24"/>
        </w:rPr>
        <w:t>• 8. Avez-vous déjà suivi un cours d’éwégbé avant l’ENFPE ? ☐ Oui  ☐ Non. Si oui, à quel(s) niveau(x) ? …………………………………</w:t>
      </w:r>
    </w:p>
    <w:p>
      <w:pPr>
        <w:spacing w:after="120"/>
        <w:jc w:val="both"/>
      </w:pPr>
      <w:r>
        <w:rPr>
          <w:rFonts w:ascii="Times New Roman" w:hAnsi="Times New Roman"/>
          <w:b/>
          <w:i w:val="0"/>
          <w:sz w:val="24"/>
        </w:rPr>
        <w:t>Partie III – Méthodes pédagogiques et volume horaire</w:t>
      </w:r>
    </w:p>
    <w:p>
      <w:pPr>
        <w:spacing w:after="80"/>
        <w:ind w:left="567" w:hanging="283"/>
        <w:jc w:val="both"/>
      </w:pPr>
      <w:r>
        <w:rPr>
          <w:rFonts w:ascii="Times New Roman" w:hAnsi="Times New Roman"/>
          <w:sz w:val="24"/>
        </w:rPr>
        <w:t>• 9. Selon vous, les cours d’éwégbé à l’ENFPE sont : ☐ participatifs  ☐ en travaux de groupe  ☐ magistraux (deux réponses possibles)</w:t>
      </w:r>
    </w:p>
    <w:p>
      <w:pPr>
        <w:spacing w:after="80"/>
        <w:ind w:left="567" w:hanging="283"/>
        <w:jc w:val="both"/>
      </w:pPr>
      <w:r>
        <w:rPr>
          <w:rFonts w:ascii="Times New Roman" w:hAnsi="Times New Roman"/>
          <w:sz w:val="24"/>
        </w:rPr>
        <w:t>• 10. Le volume horaire alloué au cours de langue éwé vous paraît-il suffisant pour une maîtrise de la langue ? ☐ Oui  ☐ Non</w:t>
      </w:r>
    </w:p>
    <w:p>
      <w:pPr>
        <w:spacing w:after="80"/>
        <w:ind w:left="567" w:hanging="283"/>
        <w:jc w:val="both"/>
      </w:pPr>
      <w:r>
        <w:rPr>
          <w:rFonts w:ascii="Times New Roman" w:hAnsi="Times New Roman"/>
          <w:sz w:val="24"/>
        </w:rPr>
        <w:t>• 11. Le contenu du cours vous permet-il une maîtrise suffisante de la langue ? ☐ Oui  ☐ Non</w:t>
      </w:r>
    </w:p>
    <w:p>
      <w:pPr>
        <w:spacing w:after="80"/>
        <w:ind w:left="567" w:hanging="283"/>
        <w:jc w:val="both"/>
      </w:pPr>
      <w:r>
        <w:rPr>
          <w:rFonts w:ascii="Times New Roman" w:hAnsi="Times New Roman"/>
          <w:sz w:val="24"/>
        </w:rPr>
        <w:t>• 12. Comprenez-vous facilement le cours ? ☐ Oui  ☐ Non</w:t>
      </w:r>
    </w:p>
    <w:p>
      <w:pPr>
        <w:spacing w:after="120"/>
        <w:jc w:val="both"/>
      </w:pPr>
      <w:r>
        <w:rPr>
          <w:rFonts w:ascii="Times New Roman" w:hAnsi="Times New Roman"/>
          <w:b/>
          <w:i w:val="0"/>
          <w:sz w:val="24"/>
        </w:rPr>
        <w:t>Partie IV – Supports didactiques</w:t>
      </w:r>
    </w:p>
    <w:p>
      <w:pPr>
        <w:spacing w:after="80"/>
        <w:ind w:left="567" w:hanging="283"/>
        <w:jc w:val="both"/>
      </w:pPr>
      <w:r>
        <w:rPr>
          <w:rFonts w:ascii="Times New Roman" w:hAnsi="Times New Roman"/>
          <w:sz w:val="24"/>
        </w:rPr>
        <w:t>• 13. Possédez-vous un manuel en éwégbé ? ☐ Oui  ☐ Non. Si oui, le jugez-vous adapté au programme ? ☐ Oui  ☐ Non</w:t>
      </w:r>
    </w:p>
    <w:p>
      <w:pPr>
        <w:spacing w:after="80"/>
        <w:ind w:left="567" w:hanging="283"/>
        <w:jc w:val="both"/>
      </w:pPr>
      <w:r>
        <w:rPr>
          <w:rFonts w:ascii="Times New Roman" w:hAnsi="Times New Roman"/>
          <w:sz w:val="24"/>
        </w:rPr>
        <w:t>• 14. Quels supports sont utilisés en classe ? ☐ manuel  ☐ affiche  ☐ audio  ☐ dictionnaire  ☐ aucun</w:t>
      </w:r>
    </w:p>
    <w:p>
      <w:pPr>
        <w:spacing w:after="120"/>
        <w:jc w:val="both"/>
      </w:pPr>
      <w:r>
        <w:rPr>
          <w:rFonts w:ascii="Times New Roman" w:hAnsi="Times New Roman"/>
          <w:b/>
          <w:i w:val="0"/>
          <w:sz w:val="24"/>
        </w:rPr>
        <w:t>Partie V – Impressions, difficultés et suggestions</w:t>
      </w:r>
    </w:p>
    <w:p>
      <w:pPr>
        <w:spacing w:after="80"/>
        <w:ind w:left="567" w:hanging="283"/>
        <w:jc w:val="both"/>
      </w:pPr>
      <w:r>
        <w:rPr>
          <w:rFonts w:ascii="Times New Roman" w:hAnsi="Times New Roman"/>
          <w:sz w:val="24"/>
        </w:rPr>
        <w:t>• 15. Reconnaissez-vous l’importance de l’enseignement des langues nationales dans les ENFPE ? ☐ Oui  ☐ Non</w:t>
      </w:r>
    </w:p>
    <w:p>
      <w:pPr>
        <w:spacing w:after="80"/>
        <w:ind w:left="567" w:hanging="283"/>
        <w:jc w:val="both"/>
      </w:pPr>
      <w:r>
        <w:rPr>
          <w:rFonts w:ascii="Times New Roman" w:hAnsi="Times New Roman"/>
          <w:sz w:val="24"/>
        </w:rPr>
        <w:t>• 16. Trouvez-vous normal que les cours et les épreuves d’évaluation en langues nationales soient présentés en français ? ☐ Très bien  ☐ Normal  ☐ Mauvais</w:t>
      </w:r>
    </w:p>
    <w:p>
      <w:pPr>
        <w:spacing w:after="80"/>
        <w:ind w:left="567" w:hanging="283"/>
        <w:jc w:val="both"/>
      </w:pPr>
      <w:r>
        <w:rPr>
          <w:rFonts w:ascii="Times New Roman" w:hAnsi="Times New Roman"/>
          <w:sz w:val="24"/>
        </w:rPr>
        <w:t>• 17. Comment évaluez-vous votre niveau en éwégbé ? ☐ Très bon  ☐ Bon  ☐ Moyen  ☐ Faible  ☐ Très faible</w:t>
      </w:r>
    </w:p>
    <w:p>
      <w:pPr>
        <w:spacing w:after="80"/>
        <w:ind w:left="567" w:hanging="283"/>
        <w:jc w:val="both"/>
      </w:pPr>
      <w:r>
        <w:rPr>
          <w:rFonts w:ascii="Times New Roman" w:hAnsi="Times New Roman"/>
          <w:sz w:val="24"/>
        </w:rPr>
        <w:t>• 18. Quelles difficultés rencontrez-vous dans l’apprentissage de l’éwégbé ? (réponse libre) …………………………………………………………………</w:t>
      </w:r>
    </w:p>
    <w:p>
      <w:pPr>
        <w:spacing w:after="80"/>
        <w:ind w:left="567" w:hanging="283"/>
        <w:jc w:val="both"/>
      </w:pPr>
      <w:r>
        <w:rPr>
          <w:rFonts w:ascii="Times New Roman" w:hAnsi="Times New Roman"/>
          <w:sz w:val="24"/>
        </w:rPr>
        <w:t>• 19. Quelles suggestions formulez-vous pour améliorer cet apprentissage ? (réponse libre) …………………………………………………………………</w:t>
      </w:r>
    </w:p>
    <w:p>
      <w:pPr>
        <w:pStyle w:val="Heading2"/>
        <w:jc w:val="left"/>
      </w:pPr>
      <w:r>
        <w:t>Annexe 2 : Guide d’entretien adressé aux formateurs en langues nationales</w:t>
      </w:r>
    </w:p>
    <w:p>
      <w:pPr>
        <w:spacing w:after="80"/>
        <w:ind w:left="567" w:hanging="283"/>
        <w:jc w:val="both"/>
      </w:pPr>
      <w:r>
        <w:rPr>
          <w:rFonts w:ascii="Times New Roman" w:hAnsi="Times New Roman"/>
          <w:sz w:val="24"/>
        </w:rPr>
        <w:t>• 1. Depuis combien d’années enseignez-vous la langue nationale en ENFPE ? Quel est votre parcours de formation ?</w:t>
      </w:r>
    </w:p>
    <w:p>
      <w:pPr>
        <w:spacing w:after="80"/>
        <w:ind w:left="567" w:hanging="283"/>
        <w:jc w:val="both"/>
      </w:pPr>
      <w:r>
        <w:rPr>
          <w:rFonts w:ascii="Times New Roman" w:hAnsi="Times New Roman"/>
          <w:sz w:val="24"/>
        </w:rPr>
        <w:t>• 2. Avez-vous bénéficié d’une formation spécifique à la didactique des langues nationales ? Si oui, laquelle ?</w:t>
      </w:r>
    </w:p>
    <w:p>
      <w:pPr>
        <w:spacing w:after="80"/>
        <w:ind w:left="567" w:hanging="283"/>
        <w:jc w:val="both"/>
      </w:pPr>
      <w:r>
        <w:rPr>
          <w:rFonts w:ascii="Times New Roman" w:hAnsi="Times New Roman"/>
          <w:sz w:val="24"/>
        </w:rPr>
        <w:t>• 3. Quels documents officiels encadrent votre enseignement ? Vous paraissent-ils suffisants ?</w:t>
      </w:r>
    </w:p>
    <w:p>
      <w:pPr>
        <w:spacing w:after="80"/>
        <w:ind w:left="567" w:hanging="283"/>
        <w:jc w:val="both"/>
      </w:pPr>
      <w:r>
        <w:rPr>
          <w:rFonts w:ascii="Times New Roman" w:hAnsi="Times New Roman"/>
          <w:sz w:val="24"/>
        </w:rPr>
        <w:t>• 4. De quels supports didactiques disposez-vous pour conduire votre enseignement ?</w:t>
      </w:r>
    </w:p>
    <w:p>
      <w:pPr>
        <w:spacing w:after="80"/>
        <w:ind w:left="567" w:hanging="283"/>
        <w:jc w:val="both"/>
      </w:pPr>
      <w:r>
        <w:rPr>
          <w:rFonts w:ascii="Times New Roman" w:hAnsi="Times New Roman"/>
          <w:sz w:val="24"/>
        </w:rPr>
        <w:t>• 5. Quel est le volume horaire dont vous disposez par semestre ? Le jugez-vous suffisant ?</w:t>
      </w:r>
    </w:p>
    <w:p>
      <w:pPr>
        <w:spacing w:after="80"/>
        <w:ind w:left="567" w:hanging="283"/>
        <w:jc w:val="both"/>
      </w:pPr>
      <w:r>
        <w:rPr>
          <w:rFonts w:ascii="Times New Roman" w:hAnsi="Times New Roman"/>
          <w:sz w:val="24"/>
        </w:rPr>
        <w:t>• 6. Comment gérez-vous l’hétérogénéité des groupes-classes (locuteurs natifs, non natifs, non-locuteurs) ?</w:t>
      </w:r>
    </w:p>
    <w:p>
      <w:pPr>
        <w:spacing w:after="80"/>
        <w:ind w:left="567" w:hanging="283"/>
        <w:jc w:val="both"/>
      </w:pPr>
      <w:r>
        <w:rPr>
          <w:rFonts w:ascii="Times New Roman" w:hAnsi="Times New Roman"/>
          <w:sz w:val="24"/>
        </w:rPr>
        <w:t>• 7. En quelle langue conduisez-vous votre cours ? Pourquoi ?</w:t>
      </w:r>
    </w:p>
    <w:p>
      <w:pPr>
        <w:spacing w:after="80"/>
        <w:ind w:left="567" w:hanging="283"/>
        <w:jc w:val="both"/>
      </w:pPr>
      <w:r>
        <w:rPr>
          <w:rFonts w:ascii="Times New Roman" w:hAnsi="Times New Roman"/>
          <w:sz w:val="24"/>
        </w:rPr>
        <w:t>• 8. Comment les évaluations sont-elles conçues et dans quelle langue ?</w:t>
      </w:r>
    </w:p>
    <w:p>
      <w:pPr>
        <w:spacing w:after="80"/>
        <w:ind w:left="567" w:hanging="283"/>
        <w:jc w:val="both"/>
      </w:pPr>
      <w:r>
        <w:rPr>
          <w:rFonts w:ascii="Times New Roman" w:hAnsi="Times New Roman"/>
          <w:sz w:val="24"/>
        </w:rPr>
        <w:t>• 9. Quelles sont, selon vous, les principales difficultés rencontrées par les EPE ?</w:t>
      </w:r>
    </w:p>
    <w:p>
      <w:pPr>
        <w:spacing w:after="80"/>
        <w:ind w:left="567" w:hanging="283"/>
        <w:jc w:val="both"/>
      </w:pPr>
      <w:r>
        <w:rPr>
          <w:rFonts w:ascii="Times New Roman" w:hAnsi="Times New Roman"/>
          <w:sz w:val="24"/>
        </w:rPr>
        <w:t>• 10. Comment jugez-vous l’attitude et la motivation des apprenants à l’égard de la langue ?</w:t>
      </w:r>
    </w:p>
    <w:p>
      <w:pPr>
        <w:spacing w:after="80"/>
        <w:ind w:left="567" w:hanging="283"/>
        <w:jc w:val="both"/>
      </w:pPr>
      <w:r>
        <w:rPr>
          <w:rFonts w:ascii="Times New Roman" w:hAnsi="Times New Roman"/>
          <w:sz w:val="24"/>
        </w:rPr>
        <w:t>• 11. Quel est votre point de vue global sur le dispositif d’enseignement-apprentissage des langues nationales dans les ENFPE ?</w:t>
      </w:r>
    </w:p>
    <w:p>
      <w:pPr>
        <w:spacing w:after="80"/>
        <w:ind w:left="567" w:hanging="283"/>
        <w:jc w:val="both"/>
      </w:pPr>
      <w:r>
        <w:rPr>
          <w:rFonts w:ascii="Times New Roman" w:hAnsi="Times New Roman"/>
          <w:sz w:val="24"/>
        </w:rPr>
        <w:t>• 12. Quelles propositions formulez-vous pour l’améliorer ?</w:t>
      </w:r>
    </w:p>
    <w:p>
      <w:pPr>
        <w:pStyle w:val="Heading2"/>
        <w:jc w:val="left"/>
      </w:pPr>
      <w:r>
        <w:t>Annexe 3 : Grille d’observation de classe</w:t>
      </w:r>
    </w:p>
    <w:tbl>
      <w:tblPr>
        <w:tblStyle w:val="TableGrid"/>
        <w:tblW w:type="auto" w:w="0"/>
        <w:jc w:val="center"/>
        <w:tblLook w:firstColumn="1" w:firstRow="1" w:lastColumn="0" w:lastRow="0" w:noHBand="0" w:noVBand="1" w:val="04A0"/>
      </w:tblPr>
      <w:tblGrid>
        <w:gridCol w:w="4394"/>
        <w:gridCol w:w="4394"/>
      </w:tblGrid>
      <w:tr>
        <w:tc>
          <w:tcPr>
            <w:tcW w:type="dxa" w:w="2268"/>
            <w:shd w:val="clear" w:color="auto" w:fill="D9E2F3"/>
          </w:tcPr>
          <w:p>
            <w:pPr>
              <w:spacing w:after="40" w:before="40" w:line="240" w:lineRule="auto"/>
              <w:jc w:val="center"/>
            </w:pPr>
            <w:r/>
            <w:r>
              <w:rPr>
                <w:rFonts w:ascii="Times New Roman" w:hAnsi="Times New Roman"/>
                <w:b/>
                <w:sz w:val="20"/>
              </w:rPr>
              <w:t>Rubrique</w:t>
            </w:r>
          </w:p>
        </w:tc>
        <w:tc>
          <w:tcPr>
            <w:tcW w:type="dxa" w:w="6520"/>
            <w:shd w:val="clear" w:color="auto" w:fill="D9E2F3"/>
          </w:tcPr>
          <w:p>
            <w:pPr>
              <w:spacing w:after="40" w:before="40" w:line="240" w:lineRule="auto"/>
              <w:jc w:val="center"/>
            </w:pPr>
            <w:r/>
            <w:r>
              <w:rPr>
                <w:rFonts w:ascii="Times New Roman" w:hAnsi="Times New Roman"/>
                <w:b/>
                <w:sz w:val="20"/>
              </w:rPr>
              <w:t>Éléments observés</w:t>
            </w:r>
          </w:p>
        </w:tc>
      </w:tr>
      <w:tr>
        <w:tc>
          <w:tcPr>
            <w:tcW w:type="dxa" w:w="2268"/>
          </w:tcPr>
          <w:p>
            <w:pPr>
              <w:spacing w:after="40" w:before="40" w:line="240" w:lineRule="auto"/>
              <w:jc w:val="left"/>
            </w:pPr>
            <w:r/>
            <w:r>
              <w:rPr>
                <w:rFonts w:ascii="Times New Roman" w:hAnsi="Times New Roman"/>
                <w:b w:val="0"/>
                <w:sz w:val="20"/>
              </w:rPr>
              <w:t>Organisation</w:t>
            </w:r>
          </w:p>
        </w:tc>
        <w:tc>
          <w:tcPr>
            <w:tcW w:type="dxa" w:w="6520"/>
          </w:tcPr>
          <w:p>
            <w:pPr>
              <w:spacing w:after="40" w:before="40" w:line="240" w:lineRule="auto"/>
              <w:jc w:val="left"/>
            </w:pPr>
            <w:r/>
            <w:r>
              <w:rPr>
                <w:rFonts w:ascii="Times New Roman" w:hAnsi="Times New Roman"/>
                <w:b w:val="0"/>
                <w:sz w:val="20"/>
              </w:rPr>
              <w:t>Effectif présent ; disposition de la salle ; durée effective de la séance ; matériel disponible</w:t>
            </w:r>
          </w:p>
        </w:tc>
      </w:tr>
      <w:tr>
        <w:tc>
          <w:tcPr>
            <w:tcW w:type="dxa" w:w="2268"/>
          </w:tcPr>
          <w:p>
            <w:pPr>
              <w:spacing w:after="40" w:before="40" w:line="240" w:lineRule="auto"/>
              <w:jc w:val="left"/>
            </w:pPr>
            <w:r/>
            <w:r>
              <w:rPr>
                <w:rFonts w:ascii="Times New Roman" w:hAnsi="Times New Roman"/>
                <w:b w:val="0"/>
                <w:sz w:val="20"/>
              </w:rPr>
              <w:t>Contenu</w:t>
            </w:r>
          </w:p>
        </w:tc>
        <w:tc>
          <w:tcPr>
            <w:tcW w:type="dxa" w:w="6520"/>
          </w:tcPr>
          <w:p>
            <w:pPr>
              <w:spacing w:after="40" w:before="40" w:line="240" w:lineRule="auto"/>
              <w:jc w:val="left"/>
            </w:pPr>
            <w:r/>
            <w:r>
              <w:rPr>
                <w:rFonts w:ascii="Times New Roman" w:hAnsi="Times New Roman"/>
                <w:b w:val="0"/>
                <w:sz w:val="20"/>
              </w:rPr>
              <w:t>Notion traitée ; conformité au module de formation ; niveau de complexité linguistique</w:t>
            </w:r>
          </w:p>
        </w:tc>
      </w:tr>
      <w:tr>
        <w:tc>
          <w:tcPr>
            <w:tcW w:type="dxa" w:w="2268"/>
          </w:tcPr>
          <w:p>
            <w:pPr>
              <w:spacing w:after="40" w:before="40" w:line="240" w:lineRule="auto"/>
              <w:jc w:val="left"/>
            </w:pPr>
            <w:r/>
            <w:r>
              <w:rPr>
                <w:rFonts w:ascii="Times New Roman" w:hAnsi="Times New Roman"/>
                <w:b w:val="0"/>
                <w:sz w:val="20"/>
              </w:rPr>
              <w:t>Langue du cours</w:t>
            </w:r>
          </w:p>
        </w:tc>
        <w:tc>
          <w:tcPr>
            <w:tcW w:type="dxa" w:w="6520"/>
          </w:tcPr>
          <w:p>
            <w:pPr>
              <w:spacing w:after="40" w:before="40" w:line="240" w:lineRule="auto"/>
              <w:jc w:val="left"/>
            </w:pPr>
            <w:r/>
            <w:r>
              <w:rPr>
                <w:rFonts w:ascii="Times New Roman" w:hAnsi="Times New Roman"/>
                <w:b w:val="0"/>
                <w:sz w:val="20"/>
              </w:rPr>
              <w:t>Part de l’éwégbé et du français dans les consignes, les explications et les échanges ; recours au guin-mina</w:t>
            </w:r>
          </w:p>
        </w:tc>
      </w:tr>
      <w:tr>
        <w:tc>
          <w:tcPr>
            <w:tcW w:type="dxa" w:w="2268"/>
          </w:tcPr>
          <w:p>
            <w:pPr>
              <w:spacing w:after="40" w:before="40" w:line="240" w:lineRule="auto"/>
              <w:jc w:val="left"/>
            </w:pPr>
            <w:r/>
            <w:r>
              <w:rPr>
                <w:rFonts w:ascii="Times New Roman" w:hAnsi="Times New Roman"/>
                <w:b w:val="0"/>
                <w:sz w:val="20"/>
              </w:rPr>
              <w:t>Méthodes</w:t>
            </w:r>
          </w:p>
        </w:tc>
        <w:tc>
          <w:tcPr>
            <w:tcW w:type="dxa" w:w="6520"/>
          </w:tcPr>
          <w:p>
            <w:pPr>
              <w:spacing w:after="40" w:before="40" w:line="240" w:lineRule="auto"/>
              <w:jc w:val="left"/>
            </w:pPr>
            <w:r/>
            <w:r>
              <w:rPr>
                <w:rFonts w:ascii="Times New Roman" w:hAnsi="Times New Roman"/>
                <w:b w:val="0"/>
                <w:sz w:val="20"/>
              </w:rPr>
              <w:t>Exposé magistral ; travail de groupe ; interaction orale ; usage du tableau ; supports mobilisés</w:t>
            </w:r>
          </w:p>
        </w:tc>
      </w:tr>
      <w:tr>
        <w:tc>
          <w:tcPr>
            <w:tcW w:type="dxa" w:w="2268"/>
          </w:tcPr>
          <w:p>
            <w:pPr>
              <w:spacing w:after="40" w:before="40" w:line="240" w:lineRule="auto"/>
              <w:jc w:val="left"/>
            </w:pPr>
            <w:r/>
            <w:r>
              <w:rPr>
                <w:rFonts w:ascii="Times New Roman" w:hAnsi="Times New Roman"/>
                <w:b w:val="0"/>
                <w:sz w:val="20"/>
              </w:rPr>
              <w:t>Participation</w:t>
            </w:r>
          </w:p>
        </w:tc>
        <w:tc>
          <w:tcPr>
            <w:tcW w:type="dxa" w:w="6520"/>
          </w:tcPr>
          <w:p>
            <w:pPr>
              <w:spacing w:after="40" w:before="40" w:line="240" w:lineRule="auto"/>
              <w:jc w:val="left"/>
            </w:pPr>
            <w:r/>
            <w:r>
              <w:rPr>
                <w:rFonts w:ascii="Times New Roman" w:hAnsi="Times New Roman"/>
                <w:b w:val="0"/>
                <w:sz w:val="20"/>
              </w:rPr>
              <w:t>Nombre et profil des intervenants ; participation des non-locuteurs ; gestion de l’hétérogénéité</w:t>
            </w:r>
          </w:p>
        </w:tc>
      </w:tr>
      <w:tr>
        <w:tc>
          <w:tcPr>
            <w:tcW w:type="dxa" w:w="2268"/>
          </w:tcPr>
          <w:p>
            <w:pPr>
              <w:spacing w:after="40" w:before="40" w:line="240" w:lineRule="auto"/>
              <w:jc w:val="left"/>
            </w:pPr>
            <w:r/>
            <w:r>
              <w:rPr>
                <w:rFonts w:ascii="Times New Roman" w:hAnsi="Times New Roman"/>
                <w:b w:val="0"/>
                <w:sz w:val="20"/>
              </w:rPr>
              <w:t>Difficultés observées</w:t>
            </w:r>
          </w:p>
        </w:tc>
        <w:tc>
          <w:tcPr>
            <w:tcW w:type="dxa" w:w="6520"/>
          </w:tcPr>
          <w:p>
            <w:pPr>
              <w:spacing w:after="40" w:before="40" w:line="240" w:lineRule="auto"/>
              <w:jc w:val="left"/>
            </w:pPr>
            <w:r/>
            <w:r>
              <w:rPr>
                <w:rFonts w:ascii="Times New Roman" w:hAnsi="Times New Roman"/>
                <w:b w:val="0"/>
                <w:sz w:val="20"/>
              </w:rPr>
              <w:t>Prononciation et tons ; alphabet et graphie ; lecture ; compréhension ; production orale</w:t>
            </w:r>
          </w:p>
        </w:tc>
      </w:tr>
      <w:tr>
        <w:tc>
          <w:tcPr>
            <w:tcW w:type="dxa" w:w="2268"/>
          </w:tcPr>
          <w:p>
            <w:pPr>
              <w:spacing w:after="40" w:before="40" w:line="240" w:lineRule="auto"/>
              <w:jc w:val="left"/>
            </w:pPr>
            <w:r/>
            <w:r>
              <w:rPr>
                <w:rFonts w:ascii="Times New Roman" w:hAnsi="Times New Roman"/>
                <w:b w:val="0"/>
                <w:sz w:val="20"/>
              </w:rPr>
              <w:t>Évaluation en séance</w:t>
            </w:r>
          </w:p>
        </w:tc>
        <w:tc>
          <w:tcPr>
            <w:tcW w:type="dxa" w:w="6520"/>
          </w:tcPr>
          <w:p>
            <w:pPr>
              <w:spacing w:after="40" w:before="40" w:line="240" w:lineRule="auto"/>
              <w:jc w:val="left"/>
            </w:pPr>
            <w:r/>
            <w:r>
              <w:rPr>
                <w:rFonts w:ascii="Times New Roman" w:hAnsi="Times New Roman"/>
                <w:b w:val="0"/>
                <w:sz w:val="20"/>
              </w:rPr>
              <w:t>Nature des questions posées ; langue de l’évaluation ; traitement de l’erreur</w:t>
            </w:r>
          </w:p>
        </w:tc>
      </w:tr>
    </w:tbl>
    <w:p>
      <w:pPr>
        <w:spacing w:after="0"/>
      </w:pPr>
    </w:p>
    <w:p>
      <w:pPr>
        <w:pStyle w:val="Heading2"/>
        <w:jc w:val="left"/>
      </w:pPr>
      <w:r>
        <w:t>Annexe 4 : Répartition du volume horaire de l’UE Langues nationales</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color="auto" w:fill="D9E2F3"/>
          </w:tcPr>
          <w:p>
            <w:pPr>
              <w:spacing w:after="40" w:before="40" w:line="240" w:lineRule="auto"/>
              <w:jc w:val="center"/>
            </w:pPr>
            <w:r/>
            <w:r>
              <w:rPr>
                <w:rFonts w:ascii="Times New Roman" w:hAnsi="Times New Roman"/>
                <w:b/>
                <w:sz w:val="20"/>
              </w:rPr>
              <w:t>Semestre</w:t>
            </w:r>
          </w:p>
        </w:tc>
        <w:tc>
          <w:tcPr>
            <w:tcW w:type="dxa" w:w="3685"/>
            <w:shd w:val="clear" w:color="auto" w:fill="D9E2F3"/>
          </w:tcPr>
          <w:p>
            <w:pPr>
              <w:spacing w:after="40" w:before="40" w:line="240" w:lineRule="auto"/>
              <w:jc w:val="center"/>
            </w:pPr>
            <w:r/>
            <w:r>
              <w:rPr>
                <w:rFonts w:ascii="Times New Roman" w:hAnsi="Times New Roman"/>
                <w:b/>
                <w:sz w:val="20"/>
              </w:rPr>
              <w:t>Volume horaire</w:t>
            </w:r>
          </w:p>
        </w:tc>
        <w:tc>
          <w:tcPr>
            <w:tcW w:type="dxa" w:w="3402"/>
            <w:shd w:val="clear" w:color="auto" w:fill="D9E2F3"/>
          </w:tcPr>
          <w:p>
            <w:pPr>
              <w:spacing w:after="40" w:before="40" w:line="240" w:lineRule="auto"/>
              <w:jc w:val="center"/>
            </w:pPr>
            <w:r/>
            <w:r>
              <w:rPr>
                <w:rFonts w:ascii="Times New Roman" w:hAnsi="Times New Roman"/>
                <w:b/>
                <w:sz w:val="20"/>
              </w:rPr>
              <w:t>Contenus dominants</w:t>
            </w:r>
          </w:p>
        </w:tc>
      </w:tr>
      <w:tr>
        <w:tc>
          <w:tcPr>
            <w:tcW w:type="dxa" w:w="1701"/>
          </w:tcPr>
          <w:p>
            <w:pPr>
              <w:spacing w:after="40" w:before="40" w:line="240" w:lineRule="auto"/>
              <w:jc w:val="left"/>
            </w:pPr>
            <w:r/>
            <w:r>
              <w:rPr>
                <w:rFonts w:ascii="Times New Roman" w:hAnsi="Times New Roman"/>
                <w:b w:val="0"/>
                <w:sz w:val="20"/>
              </w:rPr>
              <w:t>Semestre 1</w:t>
            </w:r>
          </w:p>
        </w:tc>
        <w:tc>
          <w:tcPr>
            <w:tcW w:type="dxa" w:w="3685"/>
          </w:tcPr>
          <w:p>
            <w:pPr>
              <w:spacing w:after="40" w:before="40" w:line="240" w:lineRule="auto"/>
              <w:jc w:val="left"/>
            </w:pPr>
            <w:r/>
            <w:r>
              <w:rPr>
                <w:rFonts w:ascii="Times New Roman" w:hAnsi="Times New Roman"/>
                <w:b w:val="0"/>
                <w:sz w:val="20"/>
              </w:rPr>
              <w:t>12 heures</w:t>
            </w:r>
          </w:p>
        </w:tc>
        <w:tc>
          <w:tcPr>
            <w:tcW w:type="dxa" w:w="3402"/>
          </w:tcPr>
          <w:p>
            <w:pPr>
              <w:spacing w:after="40" w:before="40" w:line="240" w:lineRule="auto"/>
              <w:jc w:val="left"/>
            </w:pPr>
            <w:r/>
            <w:r>
              <w:rPr>
                <w:rFonts w:ascii="Times New Roman" w:hAnsi="Times New Roman"/>
                <w:b w:val="0"/>
                <w:sz w:val="20"/>
              </w:rPr>
              <w:t>Instructions officielles et notions générales de langue</w:t>
            </w:r>
          </w:p>
        </w:tc>
      </w:tr>
      <w:tr>
        <w:tc>
          <w:tcPr>
            <w:tcW w:type="dxa" w:w="1701"/>
          </w:tcPr>
          <w:p>
            <w:pPr>
              <w:spacing w:after="40" w:before="40" w:line="240" w:lineRule="auto"/>
              <w:jc w:val="left"/>
            </w:pPr>
            <w:r/>
            <w:r>
              <w:rPr>
                <w:rFonts w:ascii="Times New Roman" w:hAnsi="Times New Roman"/>
                <w:b w:val="0"/>
                <w:sz w:val="20"/>
              </w:rPr>
              <w:t>Semestre 2</w:t>
            </w:r>
          </w:p>
        </w:tc>
        <w:tc>
          <w:tcPr>
            <w:tcW w:type="dxa" w:w="3685"/>
          </w:tcPr>
          <w:p>
            <w:pPr>
              <w:spacing w:after="40" w:before="40" w:line="240" w:lineRule="auto"/>
              <w:jc w:val="left"/>
            </w:pPr>
            <w:r/>
            <w:r>
              <w:rPr>
                <w:rFonts w:ascii="Times New Roman" w:hAnsi="Times New Roman"/>
                <w:b w:val="0"/>
                <w:sz w:val="20"/>
              </w:rPr>
              <w:t>12 heures</w:t>
            </w:r>
          </w:p>
        </w:tc>
        <w:tc>
          <w:tcPr>
            <w:tcW w:type="dxa" w:w="3402"/>
          </w:tcPr>
          <w:p>
            <w:pPr>
              <w:spacing w:after="40" w:before="40" w:line="240" w:lineRule="auto"/>
              <w:jc w:val="left"/>
            </w:pPr>
            <w:r/>
            <w:r>
              <w:rPr>
                <w:rFonts w:ascii="Times New Roman" w:hAnsi="Times New Roman"/>
                <w:b w:val="0"/>
                <w:sz w:val="20"/>
              </w:rPr>
              <w:t>Notions de langue : alphabet, salutations, présentations</w:t>
            </w:r>
          </w:p>
        </w:tc>
      </w:tr>
      <w:tr>
        <w:tc>
          <w:tcPr>
            <w:tcW w:type="dxa" w:w="1701"/>
          </w:tcPr>
          <w:p>
            <w:pPr>
              <w:spacing w:after="40" w:before="40" w:line="240" w:lineRule="auto"/>
              <w:jc w:val="left"/>
            </w:pPr>
            <w:r/>
            <w:r>
              <w:rPr>
                <w:rFonts w:ascii="Times New Roman" w:hAnsi="Times New Roman"/>
                <w:b w:val="0"/>
                <w:sz w:val="20"/>
              </w:rPr>
              <w:t>Semestre 3</w:t>
            </w:r>
          </w:p>
        </w:tc>
        <w:tc>
          <w:tcPr>
            <w:tcW w:type="dxa" w:w="3685"/>
          </w:tcPr>
          <w:p>
            <w:pPr>
              <w:spacing w:after="40" w:before="40" w:line="240" w:lineRule="auto"/>
              <w:jc w:val="left"/>
            </w:pPr>
            <w:r/>
            <w:r>
              <w:rPr>
                <w:rFonts w:ascii="Times New Roman" w:hAnsi="Times New Roman"/>
                <w:b w:val="0"/>
                <w:sz w:val="20"/>
              </w:rPr>
              <w:t>18 heures</w:t>
            </w:r>
          </w:p>
        </w:tc>
        <w:tc>
          <w:tcPr>
            <w:tcW w:type="dxa" w:w="3402"/>
          </w:tcPr>
          <w:p>
            <w:pPr>
              <w:spacing w:after="40" w:before="40" w:line="240" w:lineRule="auto"/>
              <w:jc w:val="left"/>
            </w:pPr>
            <w:r/>
            <w:r>
              <w:rPr>
                <w:rFonts w:ascii="Times New Roman" w:hAnsi="Times New Roman"/>
                <w:b w:val="0"/>
                <w:sz w:val="20"/>
              </w:rPr>
              <w:t>Notions de langue : jours, mois, numération, comptage monétaire</w:t>
            </w:r>
          </w:p>
        </w:tc>
      </w:tr>
      <w:tr>
        <w:tc>
          <w:tcPr>
            <w:tcW w:type="dxa" w:w="1701"/>
          </w:tcPr>
          <w:p>
            <w:pPr>
              <w:spacing w:after="40" w:before="40" w:line="240" w:lineRule="auto"/>
              <w:jc w:val="left"/>
            </w:pPr>
            <w:r/>
            <w:r>
              <w:rPr>
                <w:rFonts w:ascii="Times New Roman" w:hAnsi="Times New Roman"/>
                <w:b w:val="0"/>
                <w:sz w:val="20"/>
              </w:rPr>
              <w:t>Total</w:t>
            </w:r>
          </w:p>
        </w:tc>
        <w:tc>
          <w:tcPr>
            <w:tcW w:type="dxa" w:w="3685"/>
          </w:tcPr>
          <w:p>
            <w:pPr>
              <w:spacing w:after="40" w:before="40" w:line="240" w:lineRule="auto"/>
              <w:jc w:val="left"/>
            </w:pPr>
            <w:r/>
            <w:r>
              <w:rPr>
                <w:rFonts w:ascii="Times New Roman" w:hAnsi="Times New Roman"/>
                <w:b w:val="0"/>
                <w:sz w:val="20"/>
              </w:rPr>
              <w:t>42 heures (dont 30 heures de travail effectif sur la langue, partagées entre l’éwégbé et le kabiyè)</w:t>
            </w:r>
          </w:p>
        </w:tc>
        <w:tc>
          <w:tcPr>
            <w:tcW w:type="dxa" w:w="3402"/>
          </w:tcPr>
          <w:p>
            <w:pPr>
              <w:spacing w:after="40" w:before="40" w:line="240" w:lineRule="auto"/>
              <w:jc w:val="left"/>
            </w:pPr>
            <w:r/>
            <w:r>
              <w:rPr>
                <w:rFonts w:ascii="Times New Roman" w:hAnsi="Times New Roman"/>
                <w:b w:val="0"/>
                <w:sz w:val="20"/>
              </w:rPr>
              <w:t>—</w:t>
            </w:r>
          </w:p>
        </w:tc>
      </w:tr>
    </w:tbl>
    <w:p>
      <w:pPr>
        <w:spacing w:after="0"/>
      </w:pPr>
    </w:p>
    <w:p>
      <w:pPr>
        <w:spacing w:after="200"/>
        <w:jc w:val="left"/>
      </w:pPr>
      <w:r>
        <w:rPr>
          <w:rFonts w:ascii="Times New Roman" w:hAnsi="Times New Roman"/>
          <w:i/>
          <w:sz w:val="20"/>
        </w:rPr>
        <w:t>Source : module de formation en langue nationale éwé et entretiens avec les formateurs titulaires, ENFPE de Notsè, 2026.</w:t>
      </w:r>
    </w:p>
    <w:p>
      <w:pPr>
        <w:pStyle w:val="Heading2"/>
        <w:jc w:val="left"/>
      </w:pPr>
      <w:r>
        <w:t>Annexe 5 : L’alphabet éwé et ses spécificités graphiques</w:t>
      </w:r>
    </w:p>
    <w:p>
      <w:pPr>
        <w:spacing w:after="120"/>
        <w:ind w:firstLine="567"/>
        <w:jc w:val="both"/>
      </w:pPr>
      <w:r>
        <w:rPr>
          <w:rFonts w:ascii="Times New Roman" w:hAnsi="Times New Roman"/>
          <w:b w:val="0"/>
          <w:i w:val="0"/>
          <w:sz w:val="24"/>
        </w:rPr>
        <w:t>L’alphabet éwé comporte trente graphèmes, dont sept sont absents de l’alphabet français et constituent, comme l’établit notre enquête, un seuil d’entrée dans l’écrit pour 24 % des élèves-professeurs d’école enquêtés :</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val="clear" w:color="auto" w:fill="D9E2F3"/>
          </w:tcPr>
          <w:p>
            <w:pPr>
              <w:spacing w:after="40" w:before="40" w:line="240" w:lineRule="auto"/>
              <w:jc w:val="center"/>
            </w:pPr>
            <w:r/>
            <w:r>
              <w:rPr>
                <w:rFonts w:ascii="Times New Roman" w:hAnsi="Times New Roman"/>
                <w:b/>
                <w:sz w:val="20"/>
              </w:rPr>
              <w:t>Graphème</w:t>
            </w:r>
          </w:p>
        </w:tc>
        <w:tc>
          <w:tcPr>
            <w:tcW w:type="dxa" w:w="3402"/>
            <w:shd w:val="clear" w:color="auto" w:fill="D9E2F3"/>
          </w:tcPr>
          <w:p>
            <w:pPr>
              <w:spacing w:after="40" w:before="40" w:line="240" w:lineRule="auto"/>
              <w:jc w:val="center"/>
            </w:pPr>
            <w:r/>
            <w:r>
              <w:rPr>
                <w:rFonts w:ascii="Times New Roman" w:hAnsi="Times New Roman"/>
                <w:b/>
                <w:sz w:val="20"/>
              </w:rPr>
              <w:t>Description</w:t>
            </w:r>
          </w:p>
        </w:tc>
        <w:tc>
          <w:tcPr>
            <w:tcW w:type="dxa" w:w="3969"/>
            <w:shd w:val="clear" w:color="auto" w:fill="D9E2F3"/>
          </w:tcPr>
          <w:p>
            <w:pPr>
              <w:spacing w:after="40" w:before="40" w:line="240" w:lineRule="auto"/>
              <w:jc w:val="center"/>
            </w:pPr>
            <w:r/>
            <w:r>
              <w:rPr>
                <w:rFonts w:ascii="Times New Roman" w:hAnsi="Times New Roman"/>
                <w:b/>
                <w:sz w:val="20"/>
              </w:rPr>
              <w:t>Remarque didactique</w:t>
            </w:r>
          </w:p>
        </w:tc>
      </w:tr>
      <w:tr>
        <w:tc>
          <w:tcPr>
            <w:tcW w:type="dxa" w:w="1417"/>
          </w:tcPr>
          <w:p>
            <w:pPr>
              <w:spacing w:after="40" w:before="40" w:line="240" w:lineRule="auto"/>
              <w:jc w:val="left"/>
            </w:pPr>
            <w:r/>
            <w:r>
              <w:rPr>
                <w:rFonts w:ascii="Times New Roman" w:hAnsi="Times New Roman"/>
                <w:b w:val="0"/>
                <w:sz w:val="20"/>
              </w:rPr>
              <w:t>ɖ</w:t>
            </w:r>
          </w:p>
        </w:tc>
        <w:tc>
          <w:tcPr>
            <w:tcW w:type="dxa" w:w="3402"/>
          </w:tcPr>
          <w:p>
            <w:pPr>
              <w:spacing w:after="40" w:before="40" w:line="240" w:lineRule="auto"/>
              <w:jc w:val="left"/>
            </w:pPr>
            <w:r/>
            <w:r>
              <w:rPr>
                <w:rFonts w:ascii="Times New Roman" w:hAnsi="Times New Roman"/>
                <w:b w:val="0"/>
                <w:sz w:val="20"/>
              </w:rPr>
              <w:t>Occlusive rétroflexe sonore</w:t>
            </w:r>
          </w:p>
        </w:tc>
        <w:tc>
          <w:tcPr>
            <w:tcW w:type="dxa" w:w="3969"/>
          </w:tcPr>
          <w:p>
            <w:pPr>
              <w:spacing w:after="40" w:before="40" w:line="240" w:lineRule="auto"/>
              <w:jc w:val="left"/>
            </w:pPr>
            <w:r/>
            <w:r>
              <w:rPr>
                <w:rFonts w:ascii="Times New Roman" w:hAnsi="Times New Roman"/>
                <w:b w:val="0"/>
                <w:sz w:val="20"/>
              </w:rPr>
              <w:t>Distincte du d français ; confusion fréquente</w:t>
            </w:r>
          </w:p>
        </w:tc>
      </w:tr>
      <w:tr>
        <w:tc>
          <w:tcPr>
            <w:tcW w:type="dxa" w:w="1417"/>
          </w:tcPr>
          <w:p>
            <w:pPr>
              <w:spacing w:after="40" w:before="40" w:line="240" w:lineRule="auto"/>
              <w:jc w:val="left"/>
            </w:pPr>
            <w:r/>
            <w:r>
              <w:rPr>
                <w:rFonts w:ascii="Times New Roman" w:hAnsi="Times New Roman"/>
                <w:b w:val="0"/>
                <w:sz w:val="20"/>
              </w:rPr>
              <w:t>ƒ</w:t>
            </w:r>
          </w:p>
        </w:tc>
        <w:tc>
          <w:tcPr>
            <w:tcW w:type="dxa" w:w="3402"/>
          </w:tcPr>
          <w:p>
            <w:pPr>
              <w:spacing w:after="40" w:before="40" w:line="240" w:lineRule="auto"/>
              <w:jc w:val="left"/>
            </w:pPr>
            <w:r/>
            <w:r>
              <w:rPr>
                <w:rFonts w:ascii="Times New Roman" w:hAnsi="Times New Roman"/>
                <w:b w:val="0"/>
                <w:sz w:val="20"/>
              </w:rPr>
              <w:t>Fricative bilabiale sourde</w:t>
            </w:r>
          </w:p>
        </w:tc>
        <w:tc>
          <w:tcPr>
            <w:tcW w:type="dxa" w:w="3969"/>
          </w:tcPr>
          <w:p>
            <w:pPr>
              <w:spacing w:after="40" w:before="40" w:line="240" w:lineRule="auto"/>
              <w:jc w:val="left"/>
            </w:pPr>
            <w:r/>
            <w:r>
              <w:rPr>
                <w:rFonts w:ascii="Times New Roman" w:hAnsi="Times New Roman"/>
                <w:b w:val="0"/>
                <w:sz w:val="20"/>
              </w:rPr>
              <w:t>Distincte du f français</w:t>
            </w:r>
          </w:p>
        </w:tc>
      </w:tr>
      <w:tr>
        <w:tc>
          <w:tcPr>
            <w:tcW w:type="dxa" w:w="1417"/>
          </w:tcPr>
          <w:p>
            <w:pPr>
              <w:spacing w:after="40" w:before="40" w:line="240" w:lineRule="auto"/>
              <w:jc w:val="left"/>
            </w:pPr>
            <w:r/>
            <w:r>
              <w:rPr>
                <w:rFonts w:ascii="Times New Roman" w:hAnsi="Times New Roman"/>
                <w:b w:val="0"/>
                <w:sz w:val="20"/>
              </w:rPr>
              <w:t>ɣ</w:t>
            </w:r>
          </w:p>
        </w:tc>
        <w:tc>
          <w:tcPr>
            <w:tcW w:type="dxa" w:w="3402"/>
          </w:tcPr>
          <w:p>
            <w:pPr>
              <w:spacing w:after="40" w:before="40" w:line="240" w:lineRule="auto"/>
              <w:jc w:val="left"/>
            </w:pPr>
            <w:r/>
            <w:r>
              <w:rPr>
                <w:rFonts w:ascii="Times New Roman" w:hAnsi="Times New Roman"/>
                <w:b w:val="0"/>
                <w:sz w:val="20"/>
              </w:rPr>
              <w:t>Fricative vélaire sonore</w:t>
            </w:r>
          </w:p>
        </w:tc>
        <w:tc>
          <w:tcPr>
            <w:tcW w:type="dxa" w:w="3969"/>
          </w:tcPr>
          <w:p>
            <w:pPr>
              <w:spacing w:after="40" w:before="40" w:line="240" w:lineRule="auto"/>
              <w:jc w:val="left"/>
            </w:pPr>
            <w:r/>
            <w:r>
              <w:rPr>
                <w:rFonts w:ascii="Times New Roman" w:hAnsi="Times New Roman"/>
                <w:b w:val="0"/>
                <w:sz w:val="20"/>
              </w:rPr>
              <w:t>Sans équivalent en français</w:t>
            </w:r>
          </w:p>
        </w:tc>
      </w:tr>
      <w:tr>
        <w:tc>
          <w:tcPr>
            <w:tcW w:type="dxa" w:w="1417"/>
          </w:tcPr>
          <w:p>
            <w:pPr>
              <w:spacing w:after="40" w:before="40" w:line="240" w:lineRule="auto"/>
              <w:jc w:val="left"/>
            </w:pPr>
            <w:r/>
            <w:r>
              <w:rPr>
                <w:rFonts w:ascii="Times New Roman" w:hAnsi="Times New Roman"/>
                <w:b w:val="0"/>
                <w:sz w:val="20"/>
              </w:rPr>
              <w:t>ŋ</w:t>
            </w:r>
          </w:p>
        </w:tc>
        <w:tc>
          <w:tcPr>
            <w:tcW w:type="dxa" w:w="3402"/>
          </w:tcPr>
          <w:p>
            <w:pPr>
              <w:spacing w:after="40" w:before="40" w:line="240" w:lineRule="auto"/>
              <w:jc w:val="left"/>
            </w:pPr>
            <w:r/>
            <w:r>
              <w:rPr>
                <w:rFonts w:ascii="Times New Roman" w:hAnsi="Times New Roman"/>
                <w:b w:val="0"/>
                <w:sz w:val="20"/>
              </w:rPr>
              <w:t>Nasale vélaire</w:t>
            </w:r>
          </w:p>
        </w:tc>
        <w:tc>
          <w:tcPr>
            <w:tcW w:type="dxa" w:w="3969"/>
          </w:tcPr>
          <w:p>
            <w:pPr>
              <w:spacing w:after="40" w:before="40" w:line="240" w:lineRule="auto"/>
              <w:jc w:val="left"/>
            </w:pPr>
            <w:r/>
            <w:r>
              <w:rPr>
                <w:rFonts w:ascii="Times New Roman" w:hAnsi="Times New Roman"/>
                <w:b w:val="0"/>
                <w:sz w:val="20"/>
              </w:rPr>
              <w:t>Notée « ng » dans les transcriptions approximatives</w:t>
            </w:r>
          </w:p>
        </w:tc>
      </w:tr>
      <w:tr>
        <w:tc>
          <w:tcPr>
            <w:tcW w:type="dxa" w:w="1417"/>
          </w:tcPr>
          <w:p>
            <w:pPr>
              <w:spacing w:after="40" w:before="40" w:line="240" w:lineRule="auto"/>
              <w:jc w:val="left"/>
            </w:pPr>
            <w:r/>
            <w:r>
              <w:rPr>
                <w:rFonts w:ascii="Times New Roman" w:hAnsi="Times New Roman"/>
                <w:b w:val="0"/>
                <w:sz w:val="20"/>
              </w:rPr>
              <w:t>ɔ</w:t>
            </w:r>
          </w:p>
        </w:tc>
        <w:tc>
          <w:tcPr>
            <w:tcW w:type="dxa" w:w="3402"/>
          </w:tcPr>
          <w:p>
            <w:pPr>
              <w:spacing w:after="40" w:before="40" w:line="240" w:lineRule="auto"/>
              <w:jc w:val="left"/>
            </w:pPr>
            <w:r/>
            <w:r>
              <w:rPr>
                <w:rFonts w:ascii="Times New Roman" w:hAnsi="Times New Roman"/>
                <w:b w:val="0"/>
                <w:sz w:val="20"/>
              </w:rPr>
              <w:t>Voyelle ouverte postérieure</w:t>
            </w:r>
          </w:p>
        </w:tc>
        <w:tc>
          <w:tcPr>
            <w:tcW w:type="dxa" w:w="3969"/>
          </w:tcPr>
          <w:p>
            <w:pPr>
              <w:spacing w:after="40" w:before="40" w:line="240" w:lineRule="auto"/>
              <w:jc w:val="left"/>
            </w:pPr>
            <w:r/>
            <w:r>
              <w:rPr>
                <w:rFonts w:ascii="Times New Roman" w:hAnsi="Times New Roman"/>
                <w:b w:val="0"/>
                <w:sz w:val="20"/>
              </w:rPr>
              <w:t>Distincte du o fermé</w:t>
            </w:r>
          </w:p>
        </w:tc>
      </w:tr>
      <w:tr>
        <w:tc>
          <w:tcPr>
            <w:tcW w:type="dxa" w:w="1417"/>
          </w:tcPr>
          <w:p>
            <w:pPr>
              <w:spacing w:after="40" w:before="40" w:line="240" w:lineRule="auto"/>
              <w:jc w:val="left"/>
            </w:pPr>
            <w:r/>
            <w:r>
              <w:rPr>
                <w:rFonts w:ascii="Times New Roman" w:hAnsi="Times New Roman"/>
                <w:b w:val="0"/>
                <w:sz w:val="20"/>
              </w:rPr>
              <w:t>ʋ</w:t>
            </w:r>
          </w:p>
        </w:tc>
        <w:tc>
          <w:tcPr>
            <w:tcW w:type="dxa" w:w="3402"/>
          </w:tcPr>
          <w:p>
            <w:pPr>
              <w:spacing w:after="40" w:before="40" w:line="240" w:lineRule="auto"/>
              <w:jc w:val="left"/>
            </w:pPr>
            <w:r/>
            <w:r>
              <w:rPr>
                <w:rFonts w:ascii="Times New Roman" w:hAnsi="Times New Roman"/>
                <w:b w:val="0"/>
                <w:sz w:val="20"/>
              </w:rPr>
              <w:t>Fricative bilabiale sonore</w:t>
            </w:r>
          </w:p>
        </w:tc>
        <w:tc>
          <w:tcPr>
            <w:tcW w:type="dxa" w:w="3969"/>
          </w:tcPr>
          <w:p>
            <w:pPr>
              <w:spacing w:after="40" w:before="40" w:line="240" w:lineRule="auto"/>
              <w:jc w:val="left"/>
            </w:pPr>
            <w:r/>
            <w:r>
              <w:rPr>
                <w:rFonts w:ascii="Times New Roman" w:hAnsi="Times New Roman"/>
                <w:b w:val="0"/>
                <w:sz w:val="20"/>
              </w:rPr>
              <w:t>Distincte du v français</w:t>
            </w:r>
          </w:p>
        </w:tc>
      </w:tr>
      <w:tr>
        <w:tc>
          <w:tcPr>
            <w:tcW w:type="dxa" w:w="1417"/>
          </w:tcPr>
          <w:p>
            <w:pPr>
              <w:spacing w:after="40" w:before="40" w:line="240" w:lineRule="auto"/>
              <w:jc w:val="left"/>
            </w:pPr>
            <w:r/>
            <w:r>
              <w:rPr>
                <w:rFonts w:ascii="Times New Roman" w:hAnsi="Times New Roman"/>
                <w:b w:val="0"/>
                <w:sz w:val="20"/>
              </w:rPr>
              <w:t>ɛ</w:t>
            </w:r>
          </w:p>
        </w:tc>
        <w:tc>
          <w:tcPr>
            <w:tcW w:type="dxa" w:w="3402"/>
          </w:tcPr>
          <w:p>
            <w:pPr>
              <w:spacing w:after="40" w:before="40" w:line="240" w:lineRule="auto"/>
              <w:jc w:val="left"/>
            </w:pPr>
            <w:r/>
            <w:r>
              <w:rPr>
                <w:rFonts w:ascii="Times New Roman" w:hAnsi="Times New Roman"/>
                <w:b w:val="0"/>
                <w:sz w:val="20"/>
              </w:rPr>
              <w:t>Voyelle ouverte antérieure</w:t>
            </w:r>
          </w:p>
        </w:tc>
        <w:tc>
          <w:tcPr>
            <w:tcW w:type="dxa" w:w="3969"/>
          </w:tcPr>
          <w:p>
            <w:pPr>
              <w:spacing w:after="40" w:before="40" w:line="240" w:lineRule="auto"/>
              <w:jc w:val="left"/>
            </w:pPr>
            <w:r/>
            <w:r>
              <w:rPr>
                <w:rFonts w:ascii="Times New Roman" w:hAnsi="Times New Roman"/>
                <w:b w:val="0"/>
                <w:sz w:val="20"/>
              </w:rPr>
              <w:t>Distincte du e fermé</w:t>
            </w:r>
          </w:p>
        </w:tc>
      </w:tr>
    </w:tbl>
    <w:p>
      <w:pPr>
        <w:spacing w:after="0"/>
      </w:pPr>
    </w:p>
    <w:p>
      <w:pPr>
        <w:spacing w:after="120"/>
        <w:ind w:firstLine="567"/>
        <w:jc w:val="both"/>
      </w:pPr>
      <w:r>
        <w:rPr>
          <w:rFonts w:ascii="Times New Roman" w:hAnsi="Times New Roman"/>
          <w:b w:val="0"/>
          <w:i w:val="0"/>
          <w:sz w:val="24"/>
        </w:rPr>
        <w:t>À ces graphèmes s’ajoute le système tonal, dont la valeur est distinctive : un même segment phonétique change de sens selon son ton. Ni les graphèmes spécifiques ni la notation tonale ne font l’objet d’un enseignement systématique dans le module de formation actuel, ce qui explique une part substantielle des difficultés relevées aux sections 4.3 et 4.12.2.</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88" w:lineRule="auto"/>
      <w:outlineLvl w:val="1"/>
    </w:pPr>
    <w:rPr>
      <w:rFonts w:asciiTheme="majorHAnsi" w:eastAsiaTheme="majorEastAsia" w:hAnsiTheme="majorHAnsi" w:cstheme="majorBidi" w:ascii="Times New Roman" w:hAnsi="Times New Roman"/>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160" w:line="288" w:lineRule="auto"/>
      <w:outlineLvl w:val="2"/>
    </w:pPr>
    <w:rPr>
      <w:rFonts w:asciiTheme="majorHAnsi" w:eastAsiaTheme="majorEastAsia" w:hAnsiTheme="majorHAnsi" w:cstheme="majorBidi" w:ascii="Times New Roman" w:hAnsi="Times New Roman"/>
      <w:b/>
      <w:bCs/>
      <w:color w:val="2E5496"/>
      <w:sz w:val="26"/>
    </w:rPr>
  </w:style>
  <w:style w:type="paragraph" w:styleId="Heading4">
    <w:name w:val="heading 4"/>
    <w:basedOn w:val="Normal"/>
    <w:next w:val="Normal"/>
    <w:link w:val="Heading4Char"/>
    <w:uiPriority w:val="9"/>
    <w:semiHidden/>
    <w:unhideWhenUsed/>
    <w:qFormat/>
    <w:rsid w:val="00FC693F"/>
    <w:pPr>
      <w:keepNext/>
      <w:keepLines/>
      <w:spacing w:before="200" w:after="160" w:line="288" w:lineRule="auto"/>
      <w:outlineLvl w:val="3"/>
    </w:pPr>
    <w:rPr>
      <w:rFonts w:asciiTheme="majorHAnsi" w:eastAsiaTheme="majorEastAsia" w:hAnsiTheme="majorHAnsi" w:cstheme="majorBidi" w:ascii="Times New Roman" w:hAnsi="Times New Roman"/>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du dispositif d’enseignement-apprentissage de l’éwégbé dans les ENFPE au Togo : le cas de l’ENFPE de Notsè</dc:title>
  <dc:subject>Mémoire de fin de formation</dc:subject>
  <dc:creator>python-docx</dc:creator>
  <cp:keywords>éwégbé ; langues nationales ; formation des enseignants ; ENFPE ; éducation bilingue ; Togo</cp:keywords>
  <dc:description>Version restructurée : commentaires dédoublonnés, tableaux de résultats conservés, analyses et interprétations rattachées aux questions, objectifs, hypothèses et à la problématique.</dc:description>
  <cp:lastModifiedBy/>
  <cp:revision>1</cp:revision>
  <dcterms:created xsi:type="dcterms:W3CDTF">2013-12-23T23:15:00Z</dcterms:created>
  <dcterms:modified xsi:type="dcterms:W3CDTF">2013-12-23T23:15:00Z</dcterms:modified>
  <cp:category/>
  <dc:language>fr-FR</dc:language>
</cp:coreProperties>
</file>