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160"/>
        <w:rPr/>
      </w:pPr>
      <w:r>
        <w:rPr/>
        <w:t>Persona Communication Matrix</w:t>
      </w:r>
    </w:p>
    <w:p>
      <w:pPr>
        <w:pStyle w:val="Normal"/>
        <w:spacing w:before="0" w:after="120"/>
        <w:rPr/>
      </w:pPr>
      <w:r>
        <w:rPr>
          <w:b w:val="false"/>
          <w:bCs w:val="false"/>
          <w:i w:val="false"/>
          <w:iCs w:val="false"/>
          <w:color w:val="262626"/>
          <w:sz w:val="20"/>
          <w:szCs w:val="20"/>
        </w:rPr>
        <w:t>This page maps communication between SMD personas and the core destinations they reach, together with the controls applied to each permitted flow. The principle is unchanged from the rest of this strategy: inspect once at the optimal point, never at the same depth twice.</w:t>
      </w:r>
    </w:p>
    <w:p>
      <w:pPr>
        <w:pStyle w:val="Heading2"/>
        <w:rPr/>
      </w:pPr>
      <w:r>
        <w:rPr/>
        <w:t>At-a-Glance Matrix</w:t>
      </w:r>
    </w:p>
    <w:p>
      <w:pPr>
        <w:pStyle w:val="Normal"/>
        <w:spacing w:before="0" w:after="140"/>
        <w:rPr/>
      </w:pPr>
      <w:r>
        <w:rPr>
          <w:b w:val="false"/>
          <w:bCs w:val="false"/>
          <w:i w:val="false"/>
          <w:iCs w:val="false"/>
          <w:color w:val="595959"/>
          <w:sz w:val="18"/>
          <w:szCs w:val="18"/>
        </w:rPr>
        <w:t>Rows are the source (the side that opens the connection); columns are the destination. The tag in each permitted cell shows where the flow is deep-inspected.</w:t>
      </w:r>
    </w:p>
    <w:tbl>
      <w:tblPr>
        <w:tblW w:w="12960" w:type="dxa"/>
        <w:jc w:val="left"/>
        <w:tblInd w:w="0" w:type="dxa"/>
        <w:tblLayout w:type="fixed"/>
        <w:tblCellMar>
          <w:top w:w="60" w:type="dxa"/>
          <w:left w:w="100" w:type="dxa"/>
          <w:bottom w:w="60" w:type="dxa"/>
          <w:right w:w="100" w:type="dxa"/>
        </w:tblCellMar>
      </w:tblPr>
      <w:tblGrid>
        <w:gridCol w:w="2160"/>
        <w:gridCol w:w="1800"/>
        <w:gridCol w:w="1799"/>
        <w:gridCol w:w="1800"/>
        <w:gridCol w:w="1800"/>
        <w:gridCol w:w="1800"/>
        <w:gridCol w:w="1800"/>
      </w:tblGrid>
      <w:tr>
        <w:trPr>
          <w:tblHeader w:val="true"/>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val="false"/>
                <w:bCs w:val="false"/>
                <w:color w:val="595959"/>
                <w:sz w:val="16"/>
                <w:szCs w:val="16"/>
              </w:rPr>
              <w:t xml:space="preserve">↓ </w:t>
            </w:r>
            <w:r>
              <w:rPr>
                <w:b w:val="false"/>
                <w:bCs w:val="false"/>
                <w:color w:val="595959"/>
                <w:sz w:val="16"/>
                <w:szCs w:val="16"/>
              </w:rPr>
              <w:t>source · → dest</w:t>
            </w:r>
          </w:p>
        </w:tc>
        <w:tc>
          <w:tcPr>
            <w:tcW w:w="180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center"/>
              <w:rPr/>
            </w:pPr>
            <w:r>
              <w:rPr>
                <w:b/>
                <w:bCs/>
                <w:color w:val="404040"/>
                <w:sz w:val="18"/>
                <w:szCs w:val="18"/>
              </w:rPr>
              <w:t>Warehouse ops</w:t>
            </w:r>
          </w:p>
        </w:tc>
        <w:tc>
          <w:tcPr>
            <w:tcW w:w="1799"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center"/>
              <w:rPr/>
            </w:pPr>
            <w:r>
              <w:rPr>
                <w:b/>
                <w:bCs/>
                <w:color w:val="404040"/>
                <w:sz w:val="18"/>
                <w:szCs w:val="18"/>
              </w:rPr>
              <w:t>Automation</w:t>
            </w:r>
          </w:p>
        </w:tc>
        <w:tc>
          <w:tcPr>
            <w:tcW w:w="180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center"/>
              <w:rPr/>
            </w:pPr>
            <w:r>
              <w:rPr>
                <w:b/>
                <w:bCs/>
                <w:color w:val="404040"/>
                <w:sz w:val="18"/>
                <w:szCs w:val="18"/>
              </w:rPr>
              <w:t>Site systems</w:t>
            </w:r>
          </w:p>
        </w:tc>
        <w:tc>
          <w:tcPr>
            <w:tcW w:w="180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center"/>
              <w:rPr/>
            </w:pPr>
            <w:r>
              <w:rPr>
                <w:b/>
                <w:bCs/>
                <w:color w:val="404040"/>
                <w:sz w:val="18"/>
                <w:szCs w:val="18"/>
              </w:rPr>
              <w:t>WMS — cloud</w:t>
            </w:r>
          </w:p>
        </w:tc>
        <w:tc>
          <w:tcPr>
            <w:tcW w:w="180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center"/>
              <w:rPr/>
            </w:pPr>
            <w:r>
              <w:rPr>
                <w:b/>
                <w:bCs/>
                <w:color w:val="404040"/>
                <w:sz w:val="18"/>
                <w:szCs w:val="18"/>
              </w:rPr>
              <w:t>WMS — DC</w:t>
            </w:r>
          </w:p>
        </w:tc>
        <w:tc>
          <w:tcPr>
            <w:tcW w:w="180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center"/>
              <w:rPr/>
            </w:pPr>
            <w:r>
              <w:rPr>
                <w:b/>
                <w:bCs/>
                <w:color w:val="404040"/>
                <w:sz w:val="18"/>
                <w:szCs w:val="18"/>
              </w:rPr>
              <w:t>Internet / SaaS</w:t>
            </w:r>
          </w:p>
        </w:tc>
      </w:tr>
      <w:tr>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bCs/>
                <w:color w:val="1F1F1F"/>
                <w:sz w:val="18"/>
                <w:szCs w:val="18"/>
              </w:rPr>
              <w:t>Warehouse ops</w:t>
            </w:r>
          </w:p>
        </w:tc>
        <w:tc>
          <w:tcPr>
            <w:tcW w:w="1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center"/>
              <w:rPr/>
            </w:pPr>
            <w:r>
              <w:rPr>
                <w:b w:val="false"/>
                <w:bCs w:val="false"/>
                <w:color w:val="A6A6A6"/>
                <w:sz w:val="18"/>
                <w:szCs w:val="18"/>
              </w:rPr>
              <w:t>—</w:t>
            </w:r>
          </w:p>
        </w:tc>
        <w:tc>
          <w:tcPr>
            <w:tcW w:w="1799"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Site</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Site</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SSE</w:t>
            </w:r>
          </w:p>
        </w:tc>
      </w:tr>
      <w:tr>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bCs/>
                <w:color w:val="1F1F1F"/>
                <w:sz w:val="18"/>
                <w:szCs w:val="18"/>
              </w:rPr>
              <w:t>Automation</w:t>
            </w:r>
          </w:p>
        </w:tc>
        <w:tc>
          <w:tcPr>
            <w:tcW w:w="1800" w:type="dxa"/>
            <w:tcBorders>
              <w:top w:val="single" w:sz="4" w:space="0" w:color="BFBFBF"/>
              <w:left w:val="single" w:sz="4" w:space="0" w:color="BFBFBF"/>
              <w:bottom w:val="single" w:sz="4" w:space="0" w:color="BFBFBF"/>
              <w:right w:val="single" w:sz="4" w:space="0" w:color="BFBFBF"/>
            </w:tcBorders>
            <w:shd w:fill="FFF2CC" w:val="clear"/>
            <w:vAlign w:val="center"/>
          </w:tcPr>
          <w:p>
            <w:pPr>
              <w:pStyle w:val="Normal"/>
              <w:jc w:val="center"/>
              <w:rPr/>
            </w:pPr>
            <w:r>
              <w:rPr>
                <w:b w:val="false"/>
                <w:bCs w:val="false"/>
                <w:color w:val="7F6000"/>
                <w:sz w:val="18"/>
                <w:szCs w:val="18"/>
              </w:rPr>
              <w:t xml:space="preserve">△ </w:t>
            </w:r>
            <w:r>
              <w:rPr>
                <w:b w:val="false"/>
                <w:bCs w:val="false"/>
                <w:color w:val="7F6000"/>
                <w:sz w:val="18"/>
                <w:szCs w:val="18"/>
              </w:rPr>
              <w:t>Site</w:t>
            </w:r>
          </w:p>
        </w:tc>
        <w:tc>
          <w:tcPr>
            <w:tcW w:w="1799"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center"/>
              <w:rPr/>
            </w:pPr>
            <w:r>
              <w:rPr>
                <w:b w:val="false"/>
                <w:bCs w:val="false"/>
                <w:color w:val="A6A6A6"/>
                <w:sz w:val="18"/>
                <w:szCs w:val="18"/>
              </w:rPr>
              <w:t>—</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Site</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DEDED" w:val="clear"/>
            <w:vAlign w:val="center"/>
          </w:tcPr>
          <w:p>
            <w:pPr>
              <w:pStyle w:val="Normal"/>
              <w:jc w:val="center"/>
              <w:rPr/>
            </w:pPr>
            <w:r>
              <w:rPr>
                <w:b w:val="false"/>
                <w:bCs w:val="false"/>
                <w:color w:val="808080"/>
                <w:sz w:val="18"/>
                <w:szCs w:val="18"/>
              </w:rPr>
              <w:t>✕</w:t>
            </w:r>
          </w:p>
        </w:tc>
      </w:tr>
      <w:tr>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bCs/>
                <w:color w:val="1F1F1F"/>
                <w:sz w:val="18"/>
                <w:szCs w:val="18"/>
              </w:rPr>
              <w:t>Site systems</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Site</w:t>
            </w:r>
          </w:p>
        </w:tc>
        <w:tc>
          <w:tcPr>
            <w:tcW w:w="1799"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Site</w:t>
            </w:r>
          </w:p>
        </w:tc>
        <w:tc>
          <w:tcPr>
            <w:tcW w:w="1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center"/>
              <w:rPr/>
            </w:pPr>
            <w:r>
              <w:rPr>
                <w:b w:val="false"/>
                <w:bCs w:val="false"/>
                <w:color w:val="A6A6A6"/>
                <w:sz w:val="18"/>
                <w:szCs w:val="18"/>
              </w:rPr>
              <w:t>—</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FFF2CC" w:val="clear"/>
            <w:vAlign w:val="center"/>
          </w:tcPr>
          <w:p>
            <w:pPr>
              <w:pStyle w:val="Normal"/>
              <w:jc w:val="center"/>
              <w:rPr/>
            </w:pPr>
            <w:r>
              <w:rPr>
                <w:b w:val="false"/>
                <w:bCs w:val="false"/>
                <w:color w:val="7F6000"/>
                <w:sz w:val="18"/>
                <w:szCs w:val="18"/>
              </w:rPr>
              <w:t xml:space="preserve">△ </w:t>
            </w:r>
            <w:r>
              <w:rPr>
                <w:b w:val="false"/>
                <w:bCs w:val="false"/>
                <w:color w:val="7F6000"/>
                <w:sz w:val="18"/>
                <w:szCs w:val="18"/>
              </w:rPr>
              <w:t>SSE</w:t>
            </w:r>
          </w:p>
        </w:tc>
      </w:tr>
      <w:tr>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bCs/>
                <w:color w:val="1F1F1F"/>
                <w:sz w:val="18"/>
                <w:szCs w:val="18"/>
              </w:rPr>
              <w:t>WMS — cloud</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799"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center"/>
              <w:rPr/>
            </w:pPr>
            <w:r>
              <w:rPr>
                <w:b w:val="false"/>
                <w:bCs w:val="false"/>
                <w:color w:val="A6A6A6"/>
                <w:sz w:val="18"/>
                <w:szCs w:val="18"/>
              </w:rPr>
              <w:t>—</w:t>
            </w:r>
          </w:p>
        </w:tc>
        <w:tc>
          <w:tcPr>
            <w:tcW w:w="1800" w:type="dxa"/>
            <w:tcBorders>
              <w:top w:val="single" w:sz="4" w:space="0" w:color="BFBFBF"/>
              <w:left w:val="single" w:sz="4" w:space="0" w:color="BFBFBF"/>
              <w:bottom w:val="single" w:sz="4" w:space="0" w:color="BFBFBF"/>
              <w:right w:val="single" w:sz="4" w:space="0" w:color="BFBFBF"/>
            </w:tcBorders>
            <w:shd w:fill="FFF2CC" w:val="clear"/>
            <w:vAlign w:val="center"/>
          </w:tcPr>
          <w:p>
            <w:pPr>
              <w:pStyle w:val="Normal"/>
              <w:jc w:val="center"/>
              <w:rPr/>
            </w:pPr>
            <w:r>
              <w:rPr>
                <w:b w:val="false"/>
                <w:bCs w:val="false"/>
                <w:color w:val="7F6000"/>
                <w:sz w:val="18"/>
                <w:szCs w:val="18"/>
              </w:rPr>
              <w:t xml:space="preserve">△ </w:t>
            </w:r>
            <w:r>
              <w:rPr>
                <w:b w:val="false"/>
                <w:bCs w:val="false"/>
                <w:color w:val="7F6000"/>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Cloud</w:t>
            </w:r>
          </w:p>
        </w:tc>
      </w:tr>
      <w:tr>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bCs/>
                <w:color w:val="1F1F1F"/>
                <w:sz w:val="18"/>
                <w:szCs w:val="18"/>
              </w:rPr>
              <w:t>WMS — DC</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799"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FFF2CC" w:val="clear"/>
            <w:vAlign w:val="center"/>
          </w:tcPr>
          <w:p>
            <w:pPr>
              <w:pStyle w:val="Normal"/>
              <w:jc w:val="center"/>
              <w:rPr/>
            </w:pPr>
            <w:r>
              <w:rPr>
                <w:b w:val="false"/>
                <w:bCs w:val="false"/>
                <w:color w:val="7F6000"/>
                <w:sz w:val="18"/>
                <w:szCs w:val="18"/>
              </w:rPr>
              <w:t xml:space="preserve">△ </w:t>
            </w:r>
            <w:r>
              <w:rPr>
                <w:b w:val="false"/>
                <w:bCs w:val="false"/>
                <w:color w:val="7F6000"/>
                <w:sz w:val="18"/>
                <w:szCs w:val="18"/>
              </w:rPr>
              <w:t>Hub</w:t>
            </w:r>
          </w:p>
        </w:tc>
        <w:tc>
          <w:tcPr>
            <w:tcW w:w="1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center"/>
              <w:rPr/>
            </w:pPr>
            <w:r>
              <w:rPr>
                <w:b w:val="false"/>
                <w:bCs w:val="false"/>
                <w:color w:val="A6A6A6"/>
                <w:sz w:val="18"/>
                <w:szCs w:val="18"/>
              </w:rPr>
              <w:t>—</w:t>
            </w:r>
          </w:p>
        </w:tc>
        <w:tc>
          <w:tcPr>
            <w:tcW w:w="1800" w:type="dxa"/>
            <w:tcBorders>
              <w:top w:val="single" w:sz="4" w:space="0" w:color="BFBFBF"/>
              <w:left w:val="single" w:sz="4" w:space="0" w:color="BFBFBF"/>
              <w:bottom w:val="single" w:sz="4" w:space="0" w:color="BFBFBF"/>
              <w:right w:val="single" w:sz="4" w:space="0" w:color="BFBFBF"/>
            </w:tcBorders>
            <w:shd w:fill="E2EFDA" w:val="clear"/>
            <w:vAlign w:val="center"/>
          </w:tcPr>
          <w:p>
            <w:pPr>
              <w:pStyle w:val="Normal"/>
              <w:jc w:val="center"/>
              <w:rPr/>
            </w:pPr>
            <w:r>
              <w:rPr>
                <w:b w:val="false"/>
                <w:bCs w:val="false"/>
                <w:color w:val="375623"/>
                <w:sz w:val="18"/>
                <w:szCs w:val="18"/>
              </w:rPr>
              <w:t xml:space="preserve">✓ </w:t>
            </w:r>
            <w:r>
              <w:rPr>
                <w:b w:val="false"/>
                <w:bCs w:val="false"/>
                <w:color w:val="375623"/>
                <w:sz w:val="18"/>
                <w:szCs w:val="18"/>
              </w:rPr>
              <w:t>DC</w:t>
            </w:r>
          </w:p>
        </w:tc>
      </w:tr>
      <w:tr>
        <w:trPr/>
        <w:tc>
          <w:tcPr>
            <w:tcW w:w="2160" w:type="dxa"/>
            <w:tcBorders>
              <w:top w:val="single" w:sz="4" w:space="0" w:color="BFBFBF"/>
              <w:left w:val="single" w:sz="4" w:space="0" w:color="BFBFBF"/>
              <w:bottom w:val="single" w:sz="4" w:space="0" w:color="BFBFBF"/>
              <w:right w:val="single" w:sz="4" w:space="0" w:color="BFBFBF"/>
            </w:tcBorders>
            <w:shd w:fill="F2F2F2" w:val="clear"/>
            <w:vAlign w:val="center"/>
          </w:tcPr>
          <w:p>
            <w:pPr>
              <w:pStyle w:val="Normal"/>
              <w:jc w:val="left"/>
              <w:rPr/>
            </w:pPr>
            <w:r>
              <w:rPr>
                <w:b/>
                <w:bCs/>
                <w:color w:val="1F1F1F"/>
                <w:sz w:val="18"/>
                <w:szCs w:val="18"/>
              </w:rPr>
              <w:t>Internet / SaaS</w:t>
            </w:r>
          </w:p>
        </w:tc>
        <w:tc>
          <w:tcPr>
            <w:tcW w:w="1800" w:type="dxa"/>
            <w:tcBorders>
              <w:top w:val="single" w:sz="4" w:space="0" w:color="BFBFBF"/>
              <w:left w:val="single" w:sz="4" w:space="0" w:color="BFBFBF"/>
              <w:bottom w:val="single" w:sz="4" w:space="0" w:color="BFBFBF"/>
              <w:right w:val="single" w:sz="4" w:space="0" w:color="BFBFBF"/>
            </w:tcBorders>
            <w:shd w:fill="EDEDED" w:val="clear"/>
            <w:vAlign w:val="center"/>
          </w:tcPr>
          <w:p>
            <w:pPr>
              <w:pStyle w:val="Normal"/>
              <w:jc w:val="center"/>
              <w:rPr/>
            </w:pPr>
            <w:r>
              <w:rPr>
                <w:b w:val="false"/>
                <w:bCs w:val="false"/>
                <w:color w:val="808080"/>
                <w:sz w:val="18"/>
                <w:szCs w:val="18"/>
              </w:rPr>
              <w:t>✕</w:t>
            </w:r>
          </w:p>
        </w:tc>
        <w:tc>
          <w:tcPr>
            <w:tcW w:w="1799" w:type="dxa"/>
            <w:tcBorders>
              <w:top w:val="single" w:sz="4" w:space="0" w:color="BFBFBF"/>
              <w:left w:val="single" w:sz="4" w:space="0" w:color="BFBFBF"/>
              <w:bottom w:val="single" w:sz="4" w:space="0" w:color="BFBFBF"/>
              <w:right w:val="single" w:sz="4" w:space="0" w:color="BFBFBF"/>
            </w:tcBorders>
            <w:shd w:fill="EDEDED" w:val="clear"/>
            <w:vAlign w:val="center"/>
          </w:tcPr>
          <w:p>
            <w:pPr>
              <w:pStyle w:val="Normal"/>
              <w:jc w:val="center"/>
              <w:rPr/>
            </w:pPr>
            <w:r>
              <w:rPr>
                <w:b w:val="false"/>
                <w:bCs w:val="false"/>
                <w:color w:val="808080"/>
                <w:sz w:val="18"/>
                <w:szCs w:val="18"/>
              </w:rPr>
              <w:t>✕</w:t>
            </w:r>
          </w:p>
        </w:tc>
        <w:tc>
          <w:tcPr>
            <w:tcW w:w="1800" w:type="dxa"/>
            <w:tcBorders>
              <w:top w:val="single" w:sz="4" w:space="0" w:color="BFBFBF"/>
              <w:left w:val="single" w:sz="4" w:space="0" w:color="BFBFBF"/>
              <w:bottom w:val="single" w:sz="4" w:space="0" w:color="BFBFBF"/>
              <w:right w:val="single" w:sz="4" w:space="0" w:color="BFBFBF"/>
            </w:tcBorders>
            <w:shd w:fill="EDEDED" w:val="clear"/>
            <w:vAlign w:val="center"/>
          </w:tcPr>
          <w:p>
            <w:pPr>
              <w:pStyle w:val="Normal"/>
              <w:jc w:val="center"/>
              <w:rPr/>
            </w:pPr>
            <w:r>
              <w:rPr>
                <w:b w:val="false"/>
                <w:bCs w:val="false"/>
                <w:color w:val="808080"/>
                <w:sz w:val="18"/>
                <w:szCs w:val="18"/>
              </w:rPr>
              <w:t>✕</w:t>
            </w:r>
          </w:p>
        </w:tc>
        <w:tc>
          <w:tcPr>
            <w:tcW w:w="1800" w:type="dxa"/>
            <w:tcBorders>
              <w:top w:val="single" w:sz="4" w:space="0" w:color="BFBFBF"/>
              <w:left w:val="single" w:sz="4" w:space="0" w:color="BFBFBF"/>
              <w:bottom w:val="single" w:sz="4" w:space="0" w:color="BFBFBF"/>
              <w:right w:val="single" w:sz="4" w:space="0" w:color="BFBFBF"/>
            </w:tcBorders>
            <w:shd w:fill="FFF2CC" w:val="clear"/>
            <w:vAlign w:val="center"/>
          </w:tcPr>
          <w:p>
            <w:pPr>
              <w:pStyle w:val="Normal"/>
              <w:jc w:val="center"/>
              <w:rPr/>
            </w:pPr>
            <w:r>
              <w:rPr>
                <w:b w:val="false"/>
                <w:bCs w:val="false"/>
                <w:color w:val="7F6000"/>
                <w:sz w:val="18"/>
                <w:szCs w:val="18"/>
              </w:rPr>
              <w:t xml:space="preserve">△ </w:t>
            </w:r>
            <w:r>
              <w:rPr>
                <w:b w:val="false"/>
                <w:bCs w:val="false"/>
                <w:color w:val="7F6000"/>
                <w:sz w:val="18"/>
                <w:szCs w:val="18"/>
              </w:rPr>
              <w:t>Cloud</w:t>
            </w:r>
          </w:p>
        </w:tc>
        <w:tc>
          <w:tcPr>
            <w:tcW w:w="1800" w:type="dxa"/>
            <w:tcBorders>
              <w:top w:val="single" w:sz="4" w:space="0" w:color="BFBFBF"/>
              <w:left w:val="single" w:sz="4" w:space="0" w:color="BFBFBF"/>
              <w:bottom w:val="single" w:sz="4" w:space="0" w:color="BFBFBF"/>
              <w:right w:val="single" w:sz="4" w:space="0" w:color="BFBFBF"/>
            </w:tcBorders>
            <w:shd w:fill="FFF2CC" w:val="clear"/>
            <w:vAlign w:val="center"/>
          </w:tcPr>
          <w:p>
            <w:pPr>
              <w:pStyle w:val="Normal"/>
              <w:jc w:val="center"/>
              <w:rPr/>
            </w:pPr>
            <w:r>
              <w:rPr>
                <w:b w:val="false"/>
                <w:bCs w:val="false"/>
                <w:color w:val="7F6000"/>
                <w:sz w:val="18"/>
                <w:szCs w:val="18"/>
              </w:rPr>
              <w:t xml:space="preserve">△ </w:t>
            </w:r>
            <w:r>
              <w:rPr>
                <w:b w:val="false"/>
                <w:bCs w:val="false"/>
                <w:color w:val="7F6000"/>
                <w:sz w:val="18"/>
                <w:szCs w:val="18"/>
              </w:rPr>
              <w:t>DC</w:t>
            </w:r>
          </w:p>
        </w:tc>
        <w:tc>
          <w:tcPr>
            <w:tcW w:w="1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center"/>
              <w:rPr/>
            </w:pPr>
            <w:r>
              <w:rPr>
                <w:b w:val="false"/>
                <w:bCs w:val="false"/>
                <w:color w:val="A6A6A6"/>
                <w:sz w:val="18"/>
                <w:szCs w:val="18"/>
              </w:rPr>
              <w:t>—</w:t>
            </w:r>
          </w:p>
        </w:tc>
      </w:tr>
    </w:tbl>
    <w:p>
      <w:pPr>
        <w:pStyle w:val="Normal"/>
        <w:spacing w:before="0" w:after="60"/>
        <w:rPr/>
      </w:pPr>
      <w:r>
        <w:rPr/>
      </w:r>
    </w:p>
    <w:tbl>
      <w:tblPr>
        <w:tblW w:w="7200" w:type="dxa"/>
        <w:jc w:val="left"/>
        <w:tblInd w:w="0" w:type="dxa"/>
        <w:tblLayout w:type="fixed"/>
        <w:tblCellMar>
          <w:top w:w="60" w:type="dxa"/>
          <w:left w:w="100" w:type="dxa"/>
          <w:bottom w:w="60" w:type="dxa"/>
          <w:right w:w="100" w:type="dxa"/>
        </w:tblCellMar>
      </w:tblPr>
      <w:tblGrid>
        <w:gridCol w:w="2400"/>
        <w:gridCol w:w="2400"/>
        <w:gridCol w:w="2400"/>
      </w:tblGrid>
      <w:tr>
        <w:trPr/>
        <w:tc>
          <w:tcPr>
            <w:tcW w:w="2400" w:type="dxa"/>
            <w:tcBorders>
              <w:top w:val="single" w:sz="4" w:space="0" w:color="BFBFBF"/>
              <w:left w:val="single" w:sz="4" w:space="0" w:color="BFBFBF"/>
              <w:bottom w:val="single" w:sz="4" w:space="0" w:color="BFBFBF"/>
              <w:right w:val="single" w:sz="4" w:space="0" w:color="BFBFBF"/>
            </w:tcBorders>
            <w:shd w:fill="E2EFDA" w:val="clear"/>
          </w:tcPr>
          <w:p>
            <w:pPr>
              <w:pStyle w:val="Normal"/>
              <w:jc w:val="center"/>
              <w:rPr/>
            </w:pPr>
            <w:r>
              <w:rPr>
                <w:b/>
                <w:bCs/>
                <w:color w:val="375623"/>
                <w:sz w:val="18"/>
                <w:szCs w:val="18"/>
              </w:rPr>
              <w:t>Allowed</w:t>
            </w:r>
          </w:p>
        </w:tc>
        <w:tc>
          <w:tcPr>
            <w:tcW w:w="2400" w:type="dxa"/>
            <w:tcBorders>
              <w:top w:val="single" w:sz="4" w:space="0" w:color="BFBFBF"/>
              <w:left w:val="single" w:sz="4" w:space="0" w:color="BFBFBF"/>
              <w:bottom w:val="single" w:sz="4" w:space="0" w:color="BFBFBF"/>
              <w:right w:val="single" w:sz="4" w:space="0" w:color="BFBFBF"/>
            </w:tcBorders>
            <w:shd w:fill="FFF2CC" w:val="clear"/>
          </w:tcPr>
          <w:p>
            <w:pPr>
              <w:pStyle w:val="Normal"/>
              <w:jc w:val="center"/>
              <w:rPr/>
            </w:pPr>
            <w:r>
              <w:rPr>
                <w:b/>
                <w:bCs/>
                <w:color w:val="7F6000"/>
                <w:sz w:val="18"/>
                <w:szCs w:val="18"/>
              </w:rPr>
              <w:t>Exception only</w:t>
            </w:r>
          </w:p>
        </w:tc>
        <w:tc>
          <w:tcPr>
            <w:tcW w:w="2400" w:type="dxa"/>
            <w:tcBorders>
              <w:top w:val="single" w:sz="4" w:space="0" w:color="BFBFBF"/>
              <w:left w:val="single" w:sz="4" w:space="0" w:color="BFBFBF"/>
              <w:bottom w:val="single" w:sz="4" w:space="0" w:color="BFBFBF"/>
              <w:right w:val="single" w:sz="4" w:space="0" w:color="BFBFBF"/>
            </w:tcBorders>
            <w:shd w:fill="EDEDED" w:val="clear"/>
          </w:tcPr>
          <w:p>
            <w:pPr>
              <w:pStyle w:val="Normal"/>
              <w:jc w:val="center"/>
              <w:rPr/>
            </w:pPr>
            <w:r>
              <w:rPr>
                <w:b/>
                <w:bCs/>
                <w:color w:val="595959"/>
                <w:sz w:val="18"/>
                <w:szCs w:val="18"/>
              </w:rPr>
              <w:t>Denied (default)</w:t>
            </w:r>
          </w:p>
        </w:tc>
      </w:tr>
    </w:tbl>
    <w:p>
      <w:pPr>
        <w:pStyle w:val="Normal"/>
        <w:spacing w:before="0" w:after="60"/>
        <w:rPr/>
      </w:pPr>
      <w:r>
        <w:rPr/>
      </w:r>
    </w:p>
    <w:p>
      <w:pPr>
        <w:pStyle w:val="Normal"/>
        <w:spacing w:before="80" w:after="0"/>
        <w:rPr/>
      </w:pPr>
      <w:r>
        <w:rPr>
          <w:b w:val="false"/>
          <w:bCs w:val="false"/>
          <w:i w:val="false"/>
          <w:iCs w:val="false"/>
          <w:color w:val="595959"/>
          <w:sz w:val="18"/>
          <w:szCs w:val="18"/>
        </w:rPr>
        <w:t>Tag key — site: stateful control at the site (Tier 1). hub: deep inspection on the WAN leg at the hub (Tier 2), with micro-segmentation at the workload (Tier 3). SSE: user internet via the cloud proxy (Tier 0). cloud / DC: server-initiated egress handled closest to the workload, not back through the user proxy.</w:t>
      </w:r>
    </w:p>
    <w:p>
      <w:pPr>
        <w:pStyle w:val="Normal"/>
        <w:rPr/>
      </w:pPr>
      <w:r>
        <w:rPr>
          <w:b w:val="false"/>
          <w:bCs w:val="false"/>
          <w:i w:val="false"/>
          <w:iCs w:val="false"/>
          <w:color w:val="595959"/>
          <w:sz w:val="18"/>
          <w:szCs w:val="18"/>
        </w:rPr>
        <w:t>3rd-party and guest zones are excluded from this view: both are denied by default and configured bespoke per site, and guest zones are internet-only and fully isolated. Two cells are provisional pending confirmation — automation-to-internet is shown as denied (any vendor telemetry would be a documented exception), and WMS cloud-to-DC as an exception (treated as migration data-sync).</w:t>
      </w:r>
    </w:p>
    <w:p>
      <w:pPr>
        <w:pStyle w:val="Heading2"/>
        <w:rPr/>
      </w:pPr>
      <w:r>
        <w:rPr/>
        <w:t>Detailed Enforcement Matrix</w:t>
      </w:r>
    </w:p>
    <w:p>
      <w:pPr>
        <w:pStyle w:val="Normal"/>
        <w:spacing w:before="0" w:after="140"/>
        <w:rPr/>
      </w:pPr>
      <w:r>
        <w:rPr>
          <w:b w:val="false"/>
          <w:bCs w:val="false"/>
          <w:i w:val="false"/>
          <w:iCs w:val="false"/>
          <w:color w:val="595959"/>
          <w:sz w:val="18"/>
          <w:szCs w:val="18"/>
        </w:rPr>
        <w:t>The same flows expressed in full — the enforcement path each one traverses and the controls applied along it.</w:t>
      </w:r>
    </w:p>
    <w:tbl>
      <w:tblPr>
        <w:tblW w:w="12960" w:type="dxa"/>
        <w:jc w:val="left"/>
        <w:tblInd w:w="0" w:type="dxa"/>
        <w:tblLayout w:type="fixed"/>
        <w:tblCellMar>
          <w:top w:w="80" w:type="dxa"/>
          <w:left w:w="120" w:type="dxa"/>
          <w:bottom w:w="80" w:type="dxa"/>
          <w:right w:w="120" w:type="dxa"/>
        </w:tblCellMar>
      </w:tblPr>
      <w:tblGrid>
        <w:gridCol w:w="1899"/>
        <w:gridCol w:w="1900"/>
        <w:gridCol w:w="2161"/>
        <w:gridCol w:w="3200"/>
        <w:gridCol w:w="3800"/>
      </w:tblGrid>
      <w:tr>
        <w:trPr>
          <w:tblHeader w:val="true"/>
        </w:trPr>
        <w:tc>
          <w:tcPr>
            <w:tcW w:w="1899" w:type="dxa"/>
            <w:tcBorders>
              <w:top w:val="single" w:sz="4" w:space="0" w:color="BFBFBF"/>
              <w:left w:val="single" w:sz="4" w:space="0" w:color="BFBFBF"/>
              <w:bottom w:val="single" w:sz="4" w:space="0" w:color="BFBFBF"/>
              <w:right w:val="single" w:sz="4" w:space="0" w:color="BFBFBF"/>
            </w:tcBorders>
            <w:shd w:fill="C55A11" w:val="clear"/>
            <w:vAlign w:val="center"/>
          </w:tcPr>
          <w:p>
            <w:pPr>
              <w:pStyle w:val="Normal"/>
              <w:jc w:val="left"/>
              <w:rPr/>
            </w:pPr>
            <w:r>
              <w:rPr>
                <w:b/>
                <w:bCs/>
                <w:color w:val="FFFFFF"/>
                <w:sz w:val="20"/>
                <w:szCs w:val="20"/>
              </w:rPr>
              <w:t>Source</w:t>
            </w:r>
          </w:p>
        </w:tc>
        <w:tc>
          <w:tcPr>
            <w:tcW w:w="1900" w:type="dxa"/>
            <w:tcBorders>
              <w:top w:val="single" w:sz="4" w:space="0" w:color="BFBFBF"/>
              <w:left w:val="single" w:sz="4" w:space="0" w:color="BFBFBF"/>
              <w:bottom w:val="single" w:sz="4" w:space="0" w:color="BFBFBF"/>
              <w:right w:val="single" w:sz="4" w:space="0" w:color="BFBFBF"/>
            </w:tcBorders>
            <w:shd w:fill="C55A11" w:val="clear"/>
            <w:vAlign w:val="center"/>
          </w:tcPr>
          <w:p>
            <w:pPr>
              <w:pStyle w:val="Normal"/>
              <w:jc w:val="left"/>
              <w:rPr/>
            </w:pPr>
            <w:r>
              <w:rPr>
                <w:b/>
                <w:bCs/>
                <w:color w:val="FFFFFF"/>
                <w:sz w:val="20"/>
                <w:szCs w:val="20"/>
              </w:rPr>
              <w:t>Destination</w:t>
            </w:r>
          </w:p>
        </w:tc>
        <w:tc>
          <w:tcPr>
            <w:tcW w:w="2161" w:type="dxa"/>
            <w:tcBorders>
              <w:top w:val="single" w:sz="4" w:space="0" w:color="BFBFBF"/>
              <w:left w:val="single" w:sz="4" w:space="0" w:color="BFBFBF"/>
              <w:bottom w:val="single" w:sz="4" w:space="0" w:color="BFBFBF"/>
              <w:right w:val="single" w:sz="4" w:space="0" w:color="BFBFBF"/>
            </w:tcBorders>
            <w:shd w:fill="C55A11" w:val="clear"/>
            <w:vAlign w:val="center"/>
          </w:tcPr>
          <w:p>
            <w:pPr>
              <w:pStyle w:val="Normal"/>
              <w:jc w:val="left"/>
              <w:rPr/>
            </w:pPr>
            <w:r>
              <w:rPr>
                <w:b/>
                <w:bCs/>
                <w:color w:val="FFFFFF"/>
                <w:sz w:val="20"/>
                <w:szCs w:val="20"/>
              </w:rPr>
              <w:t>Communicate?</w:t>
            </w:r>
          </w:p>
        </w:tc>
        <w:tc>
          <w:tcPr>
            <w:tcW w:w="3200" w:type="dxa"/>
            <w:tcBorders>
              <w:top w:val="single" w:sz="4" w:space="0" w:color="BFBFBF"/>
              <w:left w:val="single" w:sz="4" w:space="0" w:color="BFBFBF"/>
              <w:bottom w:val="single" w:sz="4" w:space="0" w:color="BFBFBF"/>
              <w:right w:val="single" w:sz="4" w:space="0" w:color="BFBFBF"/>
            </w:tcBorders>
            <w:shd w:fill="C55A11" w:val="clear"/>
            <w:vAlign w:val="center"/>
          </w:tcPr>
          <w:p>
            <w:pPr>
              <w:pStyle w:val="Normal"/>
              <w:jc w:val="left"/>
              <w:rPr/>
            </w:pPr>
            <w:r>
              <w:rPr>
                <w:b/>
                <w:bCs/>
                <w:color w:val="FFFFFF"/>
                <w:sz w:val="20"/>
                <w:szCs w:val="20"/>
              </w:rPr>
              <w:t>Enforcement path</w:t>
            </w:r>
          </w:p>
        </w:tc>
        <w:tc>
          <w:tcPr>
            <w:tcW w:w="3800" w:type="dxa"/>
            <w:tcBorders>
              <w:top w:val="single" w:sz="4" w:space="0" w:color="BFBFBF"/>
              <w:left w:val="single" w:sz="4" w:space="0" w:color="BFBFBF"/>
              <w:bottom w:val="single" w:sz="4" w:space="0" w:color="BFBFBF"/>
              <w:right w:val="single" w:sz="4" w:space="0" w:color="BFBFBF"/>
            </w:tcBorders>
            <w:shd w:fill="C55A11" w:val="clear"/>
            <w:vAlign w:val="center"/>
          </w:tcPr>
          <w:p>
            <w:pPr>
              <w:pStyle w:val="Normal"/>
              <w:jc w:val="left"/>
              <w:rPr/>
            </w:pPr>
            <w:r>
              <w:rPr>
                <w:b/>
                <w:bCs/>
                <w:color w:val="FFFFFF"/>
                <w:sz w:val="20"/>
                <w:szCs w:val="20"/>
              </w:rPr>
              <w:t>Controls applied</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Automation</w:t>
            </w:r>
          </w:p>
        </w:tc>
        <w:tc>
          <w:tcPr>
            <w:tcW w:w="19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SMD Site Systems</w:t>
            </w:r>
          </w:p>
        </w:tc>
        <w:tc>
          <w:tcPr>
            <w:tcW w:w="2161"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Yes, approved local service flows only</w:t>
            </w:r>
          </w:p>
        </w:tc>
        <w:tc>
          <w:tcPr>
            <w:tcW w:w="32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Automation zone → Tier 1 site enforcement → SMD site systems</w:t>
            </w:r>
          </w:p>
        </w:tc>
        <w:tc>
          <w:tcPr>
            <w:tcW w:w="3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Tier 1 zone separation, ACL allow-listing, stateful inspection, permit/deny logging. No default site DPI/IPS.</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Automation</w:t>
            </w:r>
          </w:p>
        </w:tc>
        <w:tc>
          <w:tcPr>
            <w:tcW w:w="19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WMS Cloud</w:t>
            </w:r>
          </w:p>
        </w:tc>
        <w:tc>
          <w:tcPr>
            <w:tcW w:w="2161"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Yes, approved application flows only</w:t>
            </w:r>
          </w:p>
        </w:tc>
        <w:tc>
          <w:tcPr>
            <w:tcW w:w="32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Automation zone → Tier 1 → Tier 2 hub → Tier 3 cloud workload</w:t>
            </w:r>
          </w:p>
        </w:tc>
        <w:tc>
          <w:tcPr>
            <w:tcW w:w="38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Tier 1 ACL/SPI, Tier 2 DPI/IPS/anti-malware, Tier 3 micro-segmentation, centralized logging.</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Automation</w:t>
            </w:r>
          </w:p>
        </w:tc>
        <w:tc>
          <w:tcPr>
            <w:tcW w:w="19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WMS DC</w:t>
            </w:r>
          </w:p>
        </w:tc>
        <w:tc>
          <w:tcPr>
            <w:tcW w:w="2161"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Yes, transitional approved flows only</w:t>
            </w:r>
          </w:p>
        </w:tc>
        <w:tc>
          <w:tcPr>
            <w:tcW w:w="32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Automation zone → Tier 1 → Tier 2 hub / SMD DC</w:t>
            </w:r>
          </w:p>
        </w:tc>
        <w:tc>
          <w:tcPr>
            <w:tcW w:w="3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Tier 1 ACL/SPI, Tier 2 or SMD DC deep inspection, IPS/IDS, anti-malware, centralized logging. Retire as WMS DC dependency is removed.</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SMD Warehouse Ops</w:t>
            </w:r>
          </w:p>
        </w:tc>
        <w:tc>
          <w:tcPr>
            <w:tcW w:w="19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Automation</w:t>
            </w:r>
          </w:p>
        </w:tc>
        <w:tc>
          <w:tcPr>
            <w:tcW w:w="2161"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Yes, approved operational workflows only</w:t>
            </w:r>
          </w:p>
        </w:tc>
        <w:tc>
          <w:tcPr>
            <w:tcW w:w="32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Warehouse Ops zone → Tier 1 site enforcement → Automation zone</w:t>
            </w:r>
          </w:p>
        </w:tc>
        <w:tc>
          <w:tcPr>
            <w:tcW w:w="38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Tier 1 zone separation, source/destination/port allow-listing, stateful inspection, permit/deny logging. No broad lateral access.</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SMD Warehouse Ops</w:t>
            </w:r>
          </w:p>
        </w:tc>
        <w:tc>
          <w:tcPr>
            <w:tcW w:w="19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WMS Cloud</w:t>
            </w:r>
          </w:p>
        </w:tc>
        <w:tc>
          <w:tcPr>
            <w:tcW w:w="2161"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Yes, approved WMS access only</w:t>
            </w:r>
          </w:p>
        </w:tc>
        <w:tc>
          <w:tcPr>
            <w:tcW w:w="32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Warehouse Ops zone → Tier 1 → Tier 2 hub → Tier 3 cloud workload</w:t>
            </w:r>
          </w:p>
        </w:tc>
        <w:tc>
          <w:tcPr>
            <w:tcW w:w="3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Tier 1 ACL/SPI, Tier 2 DPI/IPS/anti-malware, Tier 3 workload micro-segmentation, centralized logging.</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SMD Warehouse Ops</w:t>
            </w:r>
          </w:p>
        </w:tc>
        <w:tc>
          <w:tcPr>
            <w:tcW w:w="19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WMS DC</w:t>
            </w:r>
          </w:p>
        </w:tc>
        <w:tc>
          <w:tcPr>
            <w:tcW w:w="2161"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Yes, transitional approved WMS access only</w:t>
            </w:r>
          </w:p>
        </w:tc>
        <w:tc>
          <w:tcPr>
            <w:tcW w:w="32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Warehouse Ops zone → Tier 1 → Tier 2 hub / SMD DC</w:t>
            </w:r>
          </w:p>
        </w:tc>
        <w:tc>
          <w:tcPr>
            <w:tcW w:w="38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Tier 1 ACL/SPI, Tier 2 or SMD DC inspection, IPS/IDS, anti-malware, centralized logging. Retire as workloads migrate to cloud.</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Any site source</w:t>
            </w:r>
          </w:p>
        </w:tc>
        <w:tc>
          <w:tcPr>
            <w:tcW w:w="19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bCs/>
                <w:color w:val="262626"/>
                <w:sz w:val="20"/>
                <w:szCs w:val="20"/>
              </w:rPr>
              <w:t>Other SMD site networks</w:t>
            </w:r>
          </w:p>
        </w:tc>
        <w:tc>
          <w:tcPr>
            <w:tcW w:w="2161"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Denied by default</w:t>
            </w:r>
          </w:p>
        </w:tc>
        <w:tc>
          <w:tcPr>
            <w:tcW w:w="32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Site-to-site traffic blocked unless approved exception exists</w:t>
            </w:r>
          </w:p>
        </w:tc>
        <w:tc>
          <w:tcPr>
            <w:tcW w:w="3800" w:type="dxa"/>
            <w:tcBorders>
              <w:top w:val="single" w:sz="4" w:space="0" w:color="BFBFBF"/>
              <w:left w:val="single" w:sz="4" w:space="0" w:color="BFBFBF"/>
              <w:bottom w:val="single" w:sz="4" w:space="0" w:color="BFBFBF"/>
              <w:right w:val="single" w:sz="4" w:space="0" w:color="BFBFBF"/>
            </w:tcBorders>
            <w:shd w:fill="FFFFFF" w:val="clear"/>
            <w:vAlign w:val="center"/>
          </w:tcPr>
          <w:p>
            <w:pPr>
              <w:pStyle w:val="Normal"/>
              <w:jc w:val="left"/>
              <w:rPr/>
            </w:pPr>
            <w:r>
              <w:rPr>
                <w:b w:val="false"/>
                <w:bCs w:val="false"/>
                <w:color w:val="262626"/>
                <w:sz w:val="20"/>
                <w:szCs w:val="20"/>
              </w:rPr>
              <w:t>RFC1918 deny posture, exception-based ACLs, hub inspection for approved exceptions, time-bound approval, audit logging.</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Warehouse Ops user traffic</w:t>
            </w:r>
          </w:p>
        </w:tc>
        <w:tc>
          <w:tcPr>
            <w:tcW w:w="19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bCs/>
                <w:color w:val="262626"/>
                <w:sz w:val="20"/>
                <w:szCs w:val="20"/>
              </w:rPr>
              <w:t>Internet / SaaS</w:t>
            </w:r>
          </w:p>
        </w:tc>
        <w:tc>
          <w:tcPr>
            <w:tcW w:w="2161"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Yes, via approved cloud proxy/SSE path</w:t>
            </w:r>
          </w:p>
        </w:tc>
        <w:tc>
          <w:tcPr>
            <w:tcW w:w="32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Tier 1 permits tunnel/direct path to Tier 0 cloud proxy/SSE; hub bypassed</w:t>
            </w:r>
          </w:p>
        </w:tc>
        <w:tc>
          <w:tcPr>
            <w:tcW w:w="3800" w:type="dxa"/>
            <w:tcBorders>
              <w:top w:val="single" w:sz="4" w:space="0" w:color="BFBFBF"/>
              <w:left w:val="single" w:sz="4" w:space="0" w:color="BFBFBF"/>
              <w:bottom w:val="single" w:sz="4" w:space="0" w:color="BFBFBF"/>
              <w:right w:val="single" w:sz="4" w:space="0" w:color="BFBFBF"/>
            </w:tcBorders>
            <w:shd w:fill="F6F3F0" w:val="clear"/>
            <w:vAlign w:val="center"/>
          </w:tcPr>
          <w:p>
            <w:pPr>
              <w:pStyle w:val="Normal"/>
              <w:jc w:val="left"/>
              <w:rPr/>
            </w:pPr>
            <w:r>
              <w:rPr>
                <w:b w:val="false"/>
                <w:bCs w:val="false"/>
                <w:color w:val="262626"/>
                <w:sz w:val="20"/>
                <w:szCs w:val="20"/>
              </w:rPr>
              <w:t>Tier 0 SWG, URL filtering, SSL/TLS inspection where enabled, malware scanning, DLP, DNS security, user/SaaS logging.</w:t>
            </w:r>
          </w:p>
        </w:tc>
      </w:tr>
    </w:tbl>
    <w:sectPr>
      <w:headerReference w:type="even" r:id="rId2"/>
      <w:headerReference w:type="default" r:id="rId3"/>
      <w:headerReference w:type="first" r:id="rId4"/>
      <w:footerReference w:type="even" r:id="rId5"/>
      <w:footerReference w:type="default" r:id="rId6"/>
      <w:footerReference w:type="first" r:id="rId7"/>
      <w:type w:val="nextPage"/>
      <w:pgSz w:orient="landscape" w:w="15840" w:h="122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0"/>
      <w:jc w:val="center"/>
      <w:rPr/>
    </w:pPr>
    <w:r>
      <w:rPr>
        <w:color w:val="808080"/>
        <w:sz w:val="16"/>
        <w:szCs w:val="16"/>
      </w:rPr>
      <w:t xml:space="preserve">Page </w:t>
    </w:r>
    <w:r>
      <w:rPr/>
      <w:fldChar w:fldCharType="begin"/>
    </w:r>
    <w:r>
      <w:rPr/>
      <w:instrText xml:space="preserve"> PAGE </w:instrText>
    </w:r>
    <w:r>
      <w:rPr/>
      <w:fldChar w:fldCharType="separate"/>
    </w:r>
    <w:r>
      <w:rPr/>
      <w:t>2</w:t>
    </w:r>
    <w:r>
      <w:rPr/>
      <w:fldChar w:fldCharType="end"/>
    </w:r>
  </w:p>
  <w:p>
    <w:pPr>
      <w:pStyle w:val="Normal"/>
      <w:jc w:val="center"/>
      <w:rPr/>
    </w:pPr>
    <w:r>
      <w:rPr>
        <w:i/>
        <w:iCs/>
        <w:color w:val="A6A6A6"/>
        <w:sz w:val="13"/>
        <w:szCs w:val="13"/>
      </w:rPr>
      <w:t>This document contains proprietary information, which is the exclusive property of SMD Logistics, Inc. and may not be used or reproduced, in whole or in part, without the express permission of SMD Logistics, Inc.</w:t>
    </w:r>
  </w:p>
  <w:p>
    <w:pPr>
      <w:pStyle w:val="Normal"/>
      <w:jc w:val="center"/>
      <w:rPr/>
    </w:pPr>
    <w:r>
      <w:rPr>
        <w:i/>
        <w:iCs/>
        <w:color w:val="A6A6A6"/>
        <w:sz w:val="13"/>
        <w:szCs w:val="13"/>
      </w:rPr>
      <w:t>Copyright © SMD Logistics, Inc.  All rights reserved.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0"/>
      <w:jc w:val="center"/>
      <w:rPr/>
    </w:pPr>
    <w:r>
      <w:rPr>
        <w:color w:val="808080"/>
        <w:sz w:val="16"/>
        <w:szCs w:val="16"/>
      </w:rPr>
      <w:t xml:space="preserve">Page </w:t>
    </w:r>
    <w:r>
      <w:rPr/>
      <w:fldChar w:fldCharType="begin"/>
    </w:r>
    <w:r>
      <w:rPr/>
      <w:instrText xml:space="preserve"> PAGE </w:instrText>
    </w:r>
    <w:r>
      <w:rPr/>
      <w:fldChar w:fldCharType="separate"/>
    </w:r>
    <w:r>
      <w:rPr/>
      <w:t>2</w:t>
    </w:r>
    <w:r>
      <w:rPr/>
      <w:fldChar w:fldCharType="end"/>
    </w:r>
  </w:p>
  <w:p>
    <w:pPr>
      <w:pStyle w:val="Normal"/>
      <w:jc w:val="center"/>
      <w:rPr/>
    </w:pPr>
    <w:r>
      <w:rPr>
        <w:i/>
        <w:iCs/>
        <w:color w:val="A6A6A6"/>
        <w:sz w:val="13"/>
        <w:szCs w:val="13"/>
      </w:rPr>
      <w:t>This document contains proprietary information, which is the exclusive property of SMD Logistics, Inc. and may not be used or reproduced, in whole or in part, without the express permission of SMD Logistics, Inc.</w:t>
    </w:r>
  </w:p>
  <w:p>
    <w:pPr>
      <w:pStyle w:val="Normal"/>
      <w:jc w:val="center"/>
      <w:rPr/>
    </w:pPr>
    <w:r>
      <w:rPr>
        <w:i/>
        <w:iCs/>
        <w:color w:val="A6A6A6"/>
        <w:sz w:val="13"/>
        <w:szCs w:val="13"/>
      </w:rPr>
      <w:t>Copyright © SMD Logistics, Inc.  All rights reserved.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808080"/>
      </w:pBdr>
      <w:tabs>
        <w:tab w:val="clear" w:pos="720"/>
        <w:tab w:val="right" w:pos="12960" w:leader="none"/>
      </w:tabs>
      <w:rPr/>
    </w:pPr>
    <w:r>
      <w:rPr>
        <w:color w:val="808080"/>
        <w:sz w:val="18"/>
        <w:szCs w:val="18"/>
      </w:rPr>
      <w:t>Document</w:t>
      <w:tab/>
      <w:t>Network Security Strategy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808080"/>
      </w:pBdr>
      <w:tabs>
        <w:tab w:val="clear" w:pos="720"/>
        <w:tab w:val="right" w:pos="12960" w:leader="none"/>
      </w:tabs>
      <w:rPr/>
    </w:pPr>
    <w:r>
      <w:rPr>
        <w:color w:val="808080"/>
        <w:sz w:val="18"/>
        <w:szCs w:val="18"/>
      </w:rPr>
      <w:t>Document</w:t>
      <w:tab/>
      <w:t>Network Security Strategy</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120" w:after="160"/>
      <w:outlineLvl w:val="0"/>
    </w:pPr>
    <w:rPr>
      <w:rFonts w:ascii="Calibri" w:hAnsi="Calibri" w:eastAsia="Calibri" w:cs="Calibri"/>
      <w:b/>
      <w:bCs/>
      <w:color w:val="1F1F1F"/>
      <w:sz w:val="34"/>
      <w:szCs w:val="34"/>
    </w:rPr>
  </w:style>
  <w:style w:type="paragraph" w:styleId="Heading2">
    <w:name w:val="Heading 2"/>
    <w:basedOn w:val="Heading"/>
    <w:qFormat/>
    <w:pPr>
      <w:spacing w:before="280" w:after="120"/>
      <w:outlineLvl w:val="1"/>
    </w:pPr>
    <w:rPr>
      <w:rFonts w:ascii="Calibri" w:hAnsi="Calibri" w:eastAsia="Calibri" w:cs="Calibri"/>
      <w:b/>
      <w:bCs/>
      <w:color w:val="C55A1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646</Words>
  <Characters>3356</Characters>
  <CharactersWithSpaces>3907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2026-06-04T20:09:40Z</dcterms:created>
  <dc:creator>Un-named</dc:creator>
  <dc:description/>
  <dc:language>en-US</dc:language>
  <cp:lastModifiedBy/>
  <dcterms:modified xsi:type="dcterms:W3CDTF">2026-06-04T16:14:56Z</dcterms:modified>
  <cp:revision>2</cp:revision>
  <dc:subject/>
  <dc:title/>
</cp:coreProperties>
</file>