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4544"/>
        <w:jc w:val="center"/>
        <w:tblLook w:firstColumn="1" w:firstRow="1" w:lastColumn="0" w:lastRow="0" w:noHBand="0" w:noVBand="1" w:val="04A0"/>
      </w:tblPr>
      <w:tblGrid>
        <w:gridCol w:w="14544"/>
      </w:tblGrid>
      <w:tr>
        <w:tc>
          <w:tcPr>
            <w:tcW w:type="dxa" w:w="14544"/>
            <w:shd w:fill="1F4E79"/>
            <w:tcMar>
              <w:top w:w="220" w:type="dxa"/>
              <w:start w:w="120" w:type="dxa"/>
              <w:bottom w:w="220" w:type="dxa"/>
              <w:end w:w="120" w:type="dxa"/>
            </w:tcMar>
            <w:tcBorders>
              <w:top w:sz="0" w:val="nil"/>
              <w:left w:sz="0" w:val="nil"/>
              <w:bottom w:sz="0" w:val="nil"/>
              <w:right w:sz="0" w:val="nil"/>
            </w:tcBorders>
          </w:tcPr>
          <w:p>
            <w:pPr>
              <w:spacing w:after="0" w:before="0"/>
              <w:jc w:val="center"/>
            </w:pPr>
            <w:r/>
            <w:r>
              <w:rPr>
                <w:rFonts w:ascii="Arial" w:hAnsi="Arial" w:eastAsia="Arial"/>
                <w:b/>
                <w:i w:val="0"/>
                <w:color w:val="FFFFFF"/>
                <w:sz w:val="36"/>
              </w:rPr>
              <w:t>GXO Network Security &amp; Segmentation</w:t>
            </w:r>
            <w:r>
              <w:br/>
            </w:r>
            <w:r>
              <w:rPr>
                <w:rFonts w:ascii="Arial" w:hAnsi="Arial" w:eastAsia="Arial"/>
                <w:b/>
                <w:i w:val="0"/>
                <w:color w:val="FFFFFF"/>
                <w:sz w:val="36"/>
              </w:rPr>
              <w:t>Site Segmentation and Logging Addendum</w:t>
            </w:r>
          </w:p>
        </w:tc>
      </w:tr>
    </w:tbl>
    <w:p>
      <w:pPr>
        <w:spacing w:after="200"/>
        <w:jc w:val="center"/>
      </w:pPr>
      <w:r>
        <w:rPr>
          <w:rFonts w:ascii="Arial" w:hAnsi="Arial" w:eastAsia="Arial"/>
          <w:color w:val="666666"/>
          <w:sz w:val="22"/>
        </w:rPr>
        <w:t>Addendum to the current site segmentation strategy and enforcement point model</w:t>
      </w:r>
    </w:p>
    <w:tbl>
      <w:tblPr>
        <w:tblW w:type="auto" w:w="0"/>
        <w:jc w:val="center"/>
        <w:tblLayout w:type="fixed"/>
        <w:tblLook w:firstColumn="1" w:firstRow="1" w:lastColumn="0" w:lastRow="0" w:noHBand="0" w:noVBand="1" w:val="04A0"/>
      </w:tblPr>
      <w:tblGrid>
        <w:gridCol w:w="7272"/>
        <w:gridCol w:w="7272"/>
      </w:tblGrid>
      <w:tr>
        <w:tc>
          <w:tcPr>
            <w:tcW w:type="dxa" w:w="7200"/>
            <w:tcBorders>
              <w:top w:sz="4" w:val="single" w:color="FFFFFF"/>
              <w:left w:sz="4" w:val="single" w:color="FFFFFF"/>
              <w:bottom w:sz="4" w:val="single" w:color="FFFFFF"/>
              <w:right w:sz="4" w:val="single" w:color="FFFFFF"/>
            </w:tcBorders>
            <w:tcMar>
              <w:top w:w="100" w:type="dxa"/>
              <w:start w:w="120" w:type="dxa"/>
              <w:bottom w:w="100" w:type="dxa"/>
              <w:end w:w="120" w:type="dxa"/>
            </w:tcMar>
            <w:vAlign w:val="center"/>
            <w:shd w:fill="F5F7FA"/>
          </w:tcPr>
          <w:p>
            <w:pPr>
              <w:spacing w:after="0" w:before="0"/>
              <w:jc w:val="left"/>
            </w:pPr>
            <w:r/>
            <w:r>
              <w:rPr>
                <w:rFonts w:ascii="Arial" w:hAnsi="Arial" w:eastAsia="Arial"/>
                <w:b/>
                <w:i w:val="0"/>
                <w:color w:val="1F4E79"/>
                <w:sz w:val="22"/>
              </w:rPr>
              <w:t>Purpose</w:t>
            </w:r>
          </w:p>
          <w:p>
            <w:pPr>
              <w:pStyle w:val="ListBullet"/>
              <w:spacing w:after="40"/>
            </w:pPr>
            <w:r>
              <w:t>Add site-level segmentation context without diluting the existing strategy narrative.</w:t>
            </w:r>
          </w:p>
          <w:p>
            <w:pPr>
              <w:pStyle w:val="ListBullet"/>
              <w:spacing w:after="40"/>
            </w:pPr>
            <w:r>
              <w:t>Show which source and destination types can communicate and where controls are applied.</w:t>
            </w:r>
          </w:p>
          <w:p>
            <w:pPr>
              <w:pStyle w:val="ListBullet"/>
              <w:spacing w:after="40"/>
            </w:pPr>
            <w:r>
              <w:t>Document logging requirements by enforcement tier for centralized monitoring and audit.</w:t>
            </w:r>
          </w:p>
        </w:tc>
        <w:tc>
          <w:tcPr>
            <w:tcW w:type="dxa" w:w="7200"/>
            <w:tcBorders>
              <w:top w:sz="4" w:val="single" w:color="FFFFFF"/>
              <w:left w:sz="4" w:val="single" w:color="FFFFFF"/>
              <w:bottom w:sz="4" w:val="single" w:color="FFFFFF"/>
              <w:right w:sz="4" w:val="single" w:color="FFFFFF"/>
            </w:tcBorders>
            <w:tcMar>
              <w:top w:w="100" w:type="dxa"/>
              <w:start w:w="120" w:type="dxa"/>
              <w:bottom w:w="100" w:type="dxa"/>
              <w:end w:w="120" w:type="dxa"/>
            </w:tcMar>
            <w:vAlign w:val="center"/>
            <w:shd w:fill="F5F7FA"/>
          </w:tcPr>
          <w:p>
            <w:pPr>
              <w:spacing w:after="0" w:before="0"/>
              <w:jc w:val="left"/>
            </w:pPr>
            <w:r/>
            <w:r>
              <w:rPr>
                <w:rFonts w:ascii="Arial" w:hAnsi="Arial" w:eastAsia="Arial"/>
                <w:b/>
                <w:i w:val="0"/>
                <w:color w:val="1F4E79"/>
                <w:sz w:val="22"/>
              </w:rPr>
              <w:t>Guiding principle</w:t>
            </w:r>
          </w:p>
          <w:p>
            <w:pPr>
              <w:pStyle w:val="BodyText"/>
              <w:spacing w:after="60"/>
            </w:pPr>
            <w:r>
              <w:rPr>
                <w:rFonts w:ascii="Arial" w:hAnsi="Arial" w:eastAsia="Arial"/>
                <w:b/>
                <w:color w:val="222222"/>
                <w:sz w:val="20"/>
              </w:rPr>
              <w:t>Inspect once at the optimal point, not everywhere along the path.</w:t>
            </w:r>
          </w:p>
          <w:p>
            <w:pPr>
              <w:pStyle w:val="ListBullet"/>
              <w:spacing w:after="40"/>
            </w:pPr>
            <w:r>
              <w:t>Tier 1 site controls provide zone separation, allow-listing, stateful inspection, and logging.</w:t>
            </w:r>
          </w:p>
          <w:p>
            <w:pPr>
              <w:pStyle w:val="ListBullet"/>
              <w:spacing w:after="40"/>
            </w:pPr>
            <w:r>
              <w:t>Tier 2 hub controls remain the primary internal deep-inspection point for private WAN and cloud-bound application traffic.</w:t>
            </w:r>
          </w:p>
          <w:p>
            <w:pPr>
              <w:pStyle w:val="ListBullet"/>
              <w:spacing w:after="40"/>
            </w:pPr>
            <w:r>
              <w:t>Tier 0 SSE/cloud proxy remains the point of record for internet and SaaS traffic.</w:t>
            </w:r>
          </w:p>
          <w:p>
            <w:pPr>
              <w:pStyle w:val="ListBullet"/>
              <w:spacing w:after="40"/>
            </w:pPr>
            <w:r>
              <w:t>Tier 3 cloud workload controls provide final workload-level micro-segmentation.</w:t>
            </w:r>
          </w:p>
        </w:tc>
      </w:tr>
    </w:tbl>
    <w:p>
      <w:pPr>
        <w:pStyle w:val="Heading1"/>
      </w:pPr>
      <w:r>
        <w:t>Recommended Tier 1 Strategy Addition</w:t>
      </w:r>
    </w:p>
    <w:p>
      <w:pPr>
        <w:pStyle w:val="BodyText"/>
        <w:spacing w:after="100"/>
      </w:pPr>
      <w:r>
        <w:rPr>
          <w:b w:val="0"/>
        </w:rPr>
        <w:t xml:space="preserve">At the site level, </w:t>
      </w:r>
      <w:r>
        <w:rPr>
          <w:b/>
        </w:rPr>
        <w:t>GXO Warehouse Operations</w:t>
      </w:r>
      <w:r>
        <w:t xml:space="preserve"> users and </w:t>
      </w:r>
      <w:r>
        <w:rPr>
          <w:b/>
        </w:rPr>
        <w:t>Automation</w:t>
      </w:r>
      <w:r>
        <w:t xml:space="preserve"> systems must be treated as separate source types rather than as a single flat warehouse network. These source types have different business purposes, risk profiles, and permitted destinations.</w:t>
      </w:r>
    </w:p>
    <w:p>
      <w:pPr>
        <w:pStyle w:val="BodyText"/>
        <w:spacing w:after="100"/>
      </w:pPr>
      <w:r>
        <w:t>Tier 1 site controls provide the first enforcement boundary between Warehouse Operations, Automation, local GXO site systems, WMS Cloud, and WMS DC destinations. The site enforcement point should provide zone separation, stateful inspection, ACL-based access control, and logging for traffic crossing site zones.</w:t>
      </w:r>
    </w:p>
    <w:p>
      <w:pPr>
        <w:pStyle w:val="BodyText"/>
        <w:spacing w:after="100"/>
      </w:pPr>
      <w:r>
        <w:t>Tier 1 does not become the primary deep-inspection point. For flows leaving the site toward cloud-hosted or data-center-hosted applications, Tier 1 should permit only the approved destination ranges, ports, and protocols required by the application. Deep inspection, IPS/IDS, anti-malware, and threat-intelligence controls remain at the hub or transitional GXO DC inspection point; cloud workload controls remain responsible for final workload-level segmentation.</w:t>
      </w:r>
    </w:p>
    <w:p>
      <w:pPr>
        <w:pStyle w:val="BodyText"/>
        <w:spacing w:after="80"/>
      </w:pPr>
      <w:r>
        <w:rPr>
          <w:b/>
        </w:rPr>
        <w:t xml:space="preserve">Default posture: </w:t>
      </w:r>
      <w:r>
        <w:t>any flow not explicitly approved in policy is denied by default. Return traffic is permitted only as part of an established stateful session.</w:t>
      </w:r>
    </w:p>
    <w:p>
      <w:r>
        <w:br w:type="page"/>
      </w:r>
    </w:p>
    <w:p>
      <w:pPr>
        <w:pStyle w:val="Heading1"/>
      </w:pPr>
      <w:r>
        <w:t>Matrix 1 - Source-to-Destination Communication View</w:t>
      </w:r>
    </w:p>
    <w:p>
      <w:pPr>
        <w:pStyle w:val="BodyText"/>
        <w:spacing w:after="120"/>
        <w:ind w:left="72"/>
      </w:pPr>
      <w:r>
        <w:rPr>
          <w:i/>
          <w:color w:val="666666"/>
          <w:sz w:val="16"/>
        </w:rPr>
        <w:t>Rows are sources and columns are destinations. Cell status shows whether the flow is allowed, exception-only, or denied by default. The tag indicates the primary enforcement or inspection point: Site = local zone/stateful enforcement; Hub/SSE/Cloud/DC = inspection or control point for that flow.</w:t>
      </w:r>
    </w:p>
    <w:tbl>
      <w:tblPr>
        <w:tblStyle w:val="TableGrid"/>
        <w:tblW w:type="auto" w:w="0"/>
        <w:jc w:val="left"/>
        <w:tblLayout w:type="fixed"/>
        <w:tblLook w:firstColumn="1" w:firstRow="1" w:lastColumn="0" w:lastRow="0" w:noHBand="0" w:noVBand="1" w:val="04A0"/>
      </w:tblPr>
      <w:tblGrid>
        <w:gridCol w:w="4848"/>
        <w:gridCol w:w="4848"/>
        <w:gridCol w:w="4848"/>
      </w:tblGrid>
      <w:tr>
        <w:tc>
          <w:tcPr>
            <w:tcW w:type="dxa" w:w="2592"/>
            <w:shd w:fill="E8F2DF"/>
            <w:tcBorders>
              <w:top w:sz="6" w:val="single" w:color="FFFFFF"/>
              <w:left w:sz="6" w:val="single" w:color="FFFFFF"/>
              <w:bottom w:sz="6" w:val="single" w:color="FFFFFF"/>
              <w:right w:sz="6" w:val="single" w:color="FFFFFF"/>
            </w:tcBorders>
            <w:tcMar>
              <w:top w:w="55" w:type="dxa"/>
              <w:start w:w="80" w:type="dxa"/>
              <w:bottom w:w="55" w:type="dxa"/>
              <w:end w:w="80" w:type="dxa"/>
            </w:tcMar>
          </w:tcPr>
          <w:p>
            <w:pPr>
              <w:spacing w:after="0" w:before="0"/>
              <w:jc w:val="center"/>
            </w:pPr>
            <w:r/>
            <w:r>
              <w:rPr>
                <w:rFonts w:ascii="Arial" w:hAnsi="Arial" w:eastAsia="Arial"/>
                <w:b/>
                <w:i w:val="0"/>
                <w:color w:val="1F5E20"/>
                <w:sz w:val="17"/>
              </w:rPr>
              <w:t>Allowed</w:t>
            </w:r>
          </w:p>
        </w:tc>
        <w:tc>
          <w:tcPr>
            <w:tcW w:type="dxa" w:w="3024"/>
            <w:shd w:fill="F7EEDF"/>
            <w:tcBorders>
              <w:top w:sz="6" w:val="single" w:color="FFFFFF"/>
              <w:left w:sz="6" w:val="single" w:color="FFFFFF"/>
              <w:bottom w:sz="6" w:val="single" w:color="FFFFFF"/>
              <w:right w:sz="6" w:val="single" w:color="FFFFFF"/>
            </w:tcBorders>
            <w:tcMar>
              <w:top w:w="55" w:type="dxa"/>
              <w:start w:w="80" w:type="dxa"/>
              <w:bottom w:w="55" w:type="dxa"/>
              <w:end w:w="80" w:type="dxa"/>
            </w:tcMar>
          </w:tcPr>
          <w:p>
            <w:pPr>
              <w:spacing w:after="0" w:before="0"/>
              <w:jc w:val="center"/>
            </w:pPr>
            <w:r/>
            <w:r>
              <w:rPr>
                <w:rFonts w:ascii="Arial" w:hAnsi="Arial" w:eastAsia="Arial"/>
                <w:b/>
                <w:i w:val="0"/>
                <w:color w:val="6B4B00"/>
                <w:sz w:val="17"/>
              </w:rPr>
              <w:t>Exception only</w:t>
            </w:r>
          </w:p>
        </w:tc>
        <w:tc>
          <w:tcPr>
            <w:tcW w:type="dxa" w:w="3024"/>
            <w:shd w:fill="F3F3F0"/>
            <w:tcBorders>
              <w:top w:sz="6" w:val="single" w:color="FFFFFF"/>
              <w:left w:sz="6" w:val="single" w:color="FFFFFF"/>
              <w:bottom w:sz="6" w:val="single" w:color="FFFFFF"/>
              <w:right w:sz="6" w:val="single" w:color="FFFFFF"/>
            </w:tcBorders>
            <w:tcMar>
              <w:top w:w="55" w:type="dxa"/>
              <w:start w:w="80" w:type="dxa"/>
              <w:bottom w:w="55" w:type="dxa"/>
              <w:end w:w="80" w:type="dxa"/>
            </w:tcMar>
          </w:tcPr>
          <w:p>
            <w:pPr>
              <w:spacing w:after="0" w:before="0"/>
              <w:jc w:val="center"/>
            </w:pPr>
            <w:r/>
            <w:r>
              <w:rPr>
                <w:rFonts w:ascii="Arial" w:hAnsi="Arial" w:eastAsia="Arial"/>
                <w:b/>
                <w:i w:val="0"/>
                <w:color w:val="666666"/>
                <w:sz w:val="17"/>
              </w:rPr>
              <w:t>Denied by default</w:t>
            </w:r>
          </w:p>
        </w:tc>
      </w:tr>
    </w:tbl>
    <w:p>
      <w:pPr>
        <w:spacing w:after="0"/>
      </w:pPr>
    </w:p>
    <w:tbl>
      <w:tblPr>
        <w:tblStyle w:val="TableGrid"/>
        <w:tblW w:type="dxa" w:w="14472"/>
        <w:jc w:val="center"/>
        <w:tblLayout w:type="fixed"/>
        <w:tblLook w:firstColumn="1" w:firstRow="1" w:lastColumn="0" w:lastRow="0" w:noHBand="0" w:noVBand="1" w:val="04A0"/>
      </w:tblPr>
      <w:tblGrid>
        <w:gridCol w:w="2078"/>
        <w:gridCol w:w="2078"/>
        <w:gridCol w:w="2078"/>
        <w:gridCol w:w="2078"/>
        <w:gridCol w:w="2078"/>
        <w:gridCol w:w="2078"/>
        <w:gridCol w:w="2078"/>
      </w:tblGrid>
      <w:tr>
        <w:trPr>
          <w:tblHeader w:val="true"/>
          <w:trHeight w:val="520" w:hRule="atLeast"/>
        </w:trPr>
        <w:tc>
          <w:tcPr>
            <w:tcW w:type="dxa" w:w="1900"/>
            <w:tcBorders>
              <w:top w:sz="4" w:val="single" w:color="FFFFFF"/>
              <w:left w:sz="4" w:val="single" w:color="FFFFFF"/>
              <w:bottom w:sz="4" w:val="single" w:color="FFFFFF"/>
              <w:right w:sz="4" w:val="single" w:color="FFFFFF"/>
            </w:tcBorders>
            <w:tcMar>
              <w:top w:w="70" w:type="dxa"/>
              <w:start w:w="50" w:type="dxa"/>
              <w:bottom w:w="70" w:type="dxa"/>
              <w:end w:w="50" w:type="dxa"/>
            </w:tcMar>
            <w:vAlign w:val="center"/>
            <w:shd w:fill="1F4E79"/>
          </w:tcPr>
          <w:p>
            <w:pPr>
              <w:spacing w:after="0" w:before="0"/>
              <w:jc w:val="center"/>
            </w:pPr>
            <w:r/>
            <w:r>
              <w:rPr>
                <w:rFonts w:ascii="Arial" w:hAnsi="Arial" w:eastAsia="Arial"/>
                <w:b/>
                <w:i w:val="0"/>
                <w:color w:val="FFFFFF"/>
                <w:sz w:val="15"/>
              </w:rPr>
              <w:t>source -&gt; destination</w:t>
            </w:r>
          </w:p>
        </w:tc>
        <w:tc>
          <w:tcPr>
            <w:tcW w:type="dxa" w:w="2088"/>
            <w:tcBorders>
              <w:top w:sz="4" w:val="single" w:color="FFFFFF"/>
              <w:left w:sz="4" w:val="single" w:color="FFFFFF"/>
              <w:bottom w:sz="4" w:val="single" w:color="FFFFFF"/>
              <w:right w:sz="4" w:val="single" w:color="FFFFFF"/>
            </w:tcBorders>
            <w:tcMar>
              <w:top w:w="70" w:type="dxa"/>
              <w:start w:w="50" w:type="dxa"/>
              <w:bottom w:w="70" w:type="dxa"/>
              <w:end w:w="50" w:type="dxa"/>
            </w:tcMar>
            <w:vAlign w:val="center"/>
            <w:shd w:fill="5B9BD5"/>
          </w:tcPr>
          <w:p>
            <w:pPr>
              <w:spacing w:after="0" w:before="0"/>
              <w:jc w:val="center"/>
            </w:pPr>
            <w:r/>
            <w:r>
              <w:rPr>
                <w:rFonts w:ascii="Arial" w:hAnsi="Arial" w:eastAsia="Arial"/>
                <w:b/>
                <w:i w:val="0"/>
                <w:color w:val="FFFFFF"/>
                <w:sz w:val="15"/>
              </w:rPr>
              <w:t>Warehouse Ops</w:t>
            </w:r>
          </w:p>
        </w:tc>
        <w:tc>
          <w:tcPr>
            <w:tcW w:type="dxa" w:w="2088"/>
            <w:tcBorders>
              <w:top w:sz="4" w:val="single" w:color="FFFFFF"/>
              <w:left w:sz="4" w:val="single" w:color="FFFFFF"/>
              <w:bottom w:sz="4" w:val="single" w:color="FFFFFF"/>
              <w:right w:sz="4" w:val="single" w:color="FFFFFF"/>
            </w:tcBorders>
            <w:tcMar>
              <w:top w:w="70" w:type="dxa"/>
              <w:start w:w="50" w:type="dxa"/>
              <w:bottom w:w="70" w:type="dxa"/>
              <w:end w:w="50" w:type="dxa"/>
            </w:tcMar>
            <w:vAlign w:val="center"/>
            <w:shd w:fill="5B9BD5"/>
          </w:tcPr>
          <w:p>
            <w:pPr>
              <w:spacing w:after="0" w:before="0"/>
              <w:jc w:val="center"/>
            </w:pPr>
            <w:r/>
            <w:r>
              <w:rPr>
                <w:rFonts w:ascii="Arial" w:hAnsi="Arial" w:eastAsia="Arial"/>
                <w:b/>
                <w:i w:val="0"/>
                <w:color w:val="FFFFFF"/>
                <w:sz w:val="15"/>
              </w:rPr>
              <w:t>Automation</w:t>
            </w:r>
          </w:p>
        </w:tc>
        <w:tc>
          <w:tcPr>
            <w:tcW w:type="dxa" w:w="2088"/>
            <w:tcBorders>
              <w:top w:sz="4" w:val="single" w:color="FFFFFF"/>
              <w:left w:sz="4" w:val="single" w:color="FFFFFF"/>
              <w:bottom w:sz="4" w:val="single" w:color="FFFFFF"/>
              <w:right w:sz="4" w:val="single" w:color="FFFFFF"/>
            </w:tcBorders>
            <w:tcMar>
              <w:top w:w="70" w:type="dxa"/>
              <w:start w:w="50" w:type="dxa"/>
              <w:bottom w:w="70" w:type="dxa"/>
              <w:end w:w="50" w:type="dxa"/>
            </w:tcMar>
            <w:vAlign w:val="center"/>
            <w:shd w:fill="5B9BD5"/>
          </w:tcPr>
          <w:p>
            <w:pPr>
              <w:spacing w:after="0" w:before="0"/>
              <w:jc w:val="center"/>
            </w:pPr>
            <w:r/>
            <w:r>
              <w:rPr>
                <w:rFonts w:ascii="Arial" w:hAnsi="Arial" w:eastAsia="Arial"/>
                <w:b/>
                <w:i w:val="0"/>
                <w:color w:val="FFFFFF"/>
                <w:sz w:val="15"/>
              </w:rPr>
              <w:t>Site Systems</w:t>
            </w:r>
          </w:p>
        </w:tc>
        <w:tc>
          <w:tcPr>
            <w:tcW w:type="dxa" w:w="2088"/>
            <w:tcBorders>
              <w:top w:sz="4" w:val="single" w:color="FFFFFF"/>
              <w:left w:sz="4" w:val="single" w:color="FFFFFF"/>
              <w:bottom w:sz="4" w:val="single" w:color="FFFFFF"/>
              <w:right w:sz="4" w:val="single" w:color="FFFFFF"/>
            </w:tcBorders>
            <w:tcMar>
              <w:top w:w="70" w:type="dxa"/>
              <w:start w:w="50" w:type="dxa"/>
              <w:bottom w:w="70" w:type="dxa"/>
              <w:end w:w="50" w:type="dxa"/>
            </w:tcMar>
            <w:vAlign w:val="center"/>
            <w:shd w:fill="5B9BD5"/>
          </w:tcPr>
          <w:p>
            <w:pPr>
              <w:spacing w:after="0" w:before="0"/>
              <w:jc w:val="center"/>
            </w:pPr>
            <w:r/>
            <w:r>
              <w:rPr>
                <w:rFonts w:ascii="Arial" w:hAnsi="Arial" w:eastAsia="Arial"/>
                <w:b/>
                <w:i w:val="0"/>
                <w:color w:val="FFFFFF"/>
                <w:sz w:val="15"/>
              </w:rPr>
              <w:t>WMS - Cloud</w:t>
            </w:r>
          </w:p>
        </w:tc>
        <w:tc>
          <w:tcPr>
            <w:tcW w:type="dxa" w:w="2088"/>
            <w:tcBorders>
              <w:top w:sz="4" w:val="single" w:color="FFFFFF"/>
              <w:left w:sz="4" w:val="single" w:color="FFFFFF"/>
              <w:bottom w:sz="4" w:val="single" w:color="FFFFFF"/>
              <w:right w:sz="4" w:val="single" w:color="FFFFFF"/>
            </w:tcBorders>
            <w:tcMar>
              <w:top w:w="70" w:type="dxa"/>
              <w:start w:w="50" w:type="dxa"/>
              <w:bottom w:w="70" w:type="dxa"/>
              <w:end w:w="50" w:type="dxa"/>
            </w:tcMar>
            <w:vAlign w:val="center"/>
            <w:shd w:fill="5B9BD5"/>
          </w:tcPr>
          <w:p>
            <w:pPr>
              <w:spacing w:after="0" w:before="0"/>
              <w:jc w:val="center"/>
            </w:pPr>
            <w:r/>
            <w:r>
              <w:rPr>
                <w:rFonts w:ascii="Arial" w:hAnsi="Arial" w:eastAsia="Arial"/>
                <w:b/>
                <w:i w:val="0"/>
                <w:color w:val="FFFFFF"/>
                <w:sz w:val="15"/>
              </w:rPr>
              <w:t>WMS - DC</w:t>
            </w:r>
          </w:p>
        </w:tc>
        <w:tc>
          <w:tcPr>
            <w:tcW w:type="dxa" w:w="2131"/>
            <w:tcBorders>
              <w:top w:sz="4" w:val="single" w:color="FFFFFF"/>
              <w:left w:sz="4" w:val="single" w:color="FFFFFF"/>
              <w:bottom w:sz="4" w:val="single" w:color="FFFFFF"/>
              <w:right w:sz="4" w:val="single" w:color="FFFFFF"/>
            </w:tcBorders>
            <w:tcMar>
              <w:top w:w="70" w:type="dxa"/>
              <w:start w:w="50" w:type="dxa"/>
              <w:bottom w:w="70" w:type="dxa"/>
              <w:end w:w="50" w:type="dxa"/>
            </w:tcMar>
            <w:vAlign w:val="center"/>
            <w:shd w:fill="5B9BD5"/>
          </w:tcPr>
          <w:p>
            <w:pPr>
              <w:spacing w:after="0" w:before="0"/>
              <w:jc w:val="center"/>
            </w:pPr>
            <w:r/>
            <w:r>
              <w:rPr>
                <w:rFonts w:ascii="Arial" w:hAnsi="Arial" w:eastAsia="Arial"/>
                <w:b/>
                <w:i w:val="0"/>
                <w:color w:val="FFFFFF"/>
                <w:sz w:val="15"/>
              </w:rPr>
              <w:t>Internet / SaaS</w:t>
            </w:r>
          </w:p>
        </w:tc>
      </w:tr>
      <w:tr>
        <w:trPr>
          <w:trHeight w:val="780" w:hRule="atLeast"/>
          <w:cantSplit/>
        </w:trPr>
        <w:tc>
          <w:tcPr>
            <w:tcW w:type="dxa" w:w="1900"/>
            <w:tcBorders>
              <w:top w:sz="4" w:val="single" w:color="FFFFFF"/>
              <w:left w:sz="4" w:val="single" w:color="FFFFFF"/>
              <w:bottom w:sz="4" w:val="single" w:color="FFFFFF"/>
              <w:right w:sz="4" w:val="single" w:color="FFFFFF"/>
            </w:tcBorders>
            <w:tcMar>
              <w:top w:w="70" w:type="dxa"/>
              <w:start w:w="50" w:type="dxa"/>
              <w:bottom w:w="70" w:type="dxa"/>
              <w:end w:w="50" w:type="dxa"/>
            </w:tcMar>
            <w:vAlign w:val="center"/>
            <w:shd w:fill="EDF2F7"/>
          </w:tcPr>
          <w:p>
            <w:pPr>
              <w:spacing w:after="0" w:before="0"/>
              <w:jc w:val="left"/>
            </w:pPr>
            <w:r/>
            <w:r>
              <w:rPr>
                <w:rFonts w:ascii="Arial" w:hAnsi="Arial" w:eastAsia="Arial"/>
                <w:b/>
                <w:i w:val="0"/>
                <w:color w:val="404040"/>
                <w:sz w:val="15"/>
              </w:rPr>
              <w:t>Warehouse Ops</w:t>
            </w:r>
          </w:p>
        </w:tc>
        <w:tc>
          <w:tcPr>
            <w:tcW w:type="dxa" w:w="2088"/>
            <w:tcBorders>
              <w:top w:sz="4" w:val="single" w:color="FFFFFF"/>
              <w:left w:sz="4" w:val="single" w:color="FFFFFF"/>
              <w:bottom w:sz="4" w:val="single" w:color="FFFFFF"/>
              <w:right w:sz="4" w:val="single" w:color="FFFFFF"/>
            </w:tcBorders>
            <w:tcMar>
              <w:top w:w="60" w:type="dxa"/>
              <w:start w:w="35" w:type="dxa"/>
              <w:bottom w:w="60" w:type="dxa"/>
              <w:end w:w="35" w:type="dxa"/>
            </w:tcMar>
            <w:vAlign w:val="center"/>
            <w:shd w:fill="E6E6E6"/>
          </w:tcPr>
          <w:p>
            <w:pPr>
              <w:spacing w:after="0" w:before="0"/>
              <w:jc w:val="center"/>
            </w:pPr>
            <w:r/>
            <w:r>
              <w:rPr>
                <w:rFonts w:ascii="Arial" w:hAnsi="Arial" w:eastAsia="Arial"/>
                <w:b w:val="0"/>
                <w:i w:val="0"/>
                <w:color w:val="666666"/>
                <w:sz w:val="15"/>
              </w:rPr>
              <w:t>-</w:t>
            </w:r>
          </w:p>
        </w:tc>
        <w:tc>
          <w:tcPr>
            <w:tcW w:type="dxa" w:w="2088"/>
            <w:tcBorders>
              <w:top w:sz="4" w:val="single" w:color="FFFFFF"/>
              <w:left w:sz="4" w:val="single" w:color="FFFFFF"/>
              <w:bottom w:sz="4" w:val="single" w:color="FFFFFF"/>
              <w:right w:sz="4" w:val="single" w:color="FFFFFF"/>
            </w:tcBorders>
            <w:tcMar>
              <w:top w:w="60" w:type="dxa"/>
              <w:start w:w="35" w:type="dxa"/>
              <w:bottom w:w="60" w:type="dxa"/>
              <w:end w:w="35" w:type="dxa"/>
            </w:tcMar>
            <w:vAlign w:val="center"/>
            <w:shd w:fill="E8F2DF"/>
          </w:tcPr>
          <w:p>
            <w:pPr>
              <w:spacing w:after="0" w:before="0"/>
              <w:jc w:val="center"/>
            </w:pPr>
            <w:r/>
            <w:r>
              <w:rPr>
                <w:rFonts w:ascii="Arial" w:hAnsi="Arial" w:eastAsia="Arial"/>
                <w:b/>
                <w:i w:val="0"/>
                <w:color w:val="1F5E20"/>
                <w:sz w:val="15"/>
              </w:rPr>
              <w:t>Allowed</w:t>
            </w:r>
            <w:r>
              <w:br/>
            </w:r>
            <w:r>
              <w:rPr>
                <w:rFonts w:ascii="Arial" w:hAnsi="Arial" w:eastAsia="Arial"/>
                <w:b/>
                <w:i w:val="0"/>
                <w:color w:val="1F5E20"/>
                <w:sz w:val="15"/>
              </w:rPr>
              <w:t>Site</w:t>
            </w:r>
          </w:p>
        </w:tc>
        <w:tc>
          <w:tcPr>
            <w:tcW w:type="dxa" w:w="2088"/>
            <w:tcBorders>
              <w:top w:sz="4" w:val="single" w:color="FFFFFF"/>
              <w:left w:sz="4" w:val="single" w:color="FFFFFF"/>
              <w:bottom w:sz="4" w:val="single" w:color="FFFFFF"/>
              <w:right w:sz="4" w:val="single" w:color="FFFFFF"/>
            </w:tcBorders>
            <w:tcMar>
              <w:top w:w="60" w:type="dxa"/>
              <w:start w:w="35" w:type="dxa"/>
              <w:bottom w:w="60" w:type="dxa"/>
              <w:end w:w="35" w:type="dxa"/>
            </w:tcMar>
            <w:vAlign w:val="center"/>
            <w:shd w:fill="E8F2DF"/>
          </w:tcPr>
          <w:p>
            <w:pPr>
              <w:spacing w:after="0" w:before="0"/>
              <w:jc w:val="center"/>
            </w:pPr>
            <w:r/>
            <w:r>
              <w:rPr>
                <w:rFonts w:ascii="Arial" w:hAnsi="Arial" w:eastAsia="Arial"/>
                <w:b/>
                <w:i w:val="0"/>
                <w:color w:val="1F5E20"/>
                <w:sz w:val="15"/>
              </w:rPr>
              <w:t>Allowed</w:t>
            </w:r>
            <w:r>
              <w:br/>
            </w:r>
            <w:r>
              <w:rPr>
                <w:rFonts w:ascii="Arial" w:hAnsi="Arial" w:eastAsia="Arial"/>
                <w:b/>
                <w:i w:val="0"/>
                <w:color w:val="1F5E20"/>
                <w:sz w:val="15"/>
              </w:rPr>
              <w:t>Site</w:t>
            </w:r>
          </w:p>
        </w:tc>
        <w:tc>
          <w:tcPr>
            <w:tcW w:type="dxa" w:w="2088"/>
            <w:tcBorders>
              <w:top w:sz="4" w:val="single" w:color="FFFFFF"/>
              <w:left w:sz="4" w:val="single" w:color="FFFFFF"/>
              <w:bottom w:sz="4" w:val="single" w:color="FFFFFF"/>
              <w:right w:sz="4" w:val="single" w:color="FFFFFF"/>
            </w:tcBorders>
            <w:tcMar>
              <w:top w:w="60" w:type="dxa"/>
              <w:start w:w="35" w:type="dxa"/>
              <w:bottom w:w="60" w:type="dxa"/>
              <w:end w:w="35" w:type="dxa"/>
            </w:tcMar>
            <w:vAlign w:val="center"/>
            <w:shd w:fill="E8F2DF"/>
          </w:tcPr>
          <w:p>
            <w:pPr>
              <w:spacing w:after="0" w:before="0"/>
              <w:jc w:val="center"/>
            </w:pPr>
            <w:r/>
            <w:r>
              <w:rPr>
                <w:rFonts w:ascii="Arial" w:hAnsi="Arial" w:eastAsia="Arial"/>
                <w:b/>
                <w:i w:val="0"/>
                <w:color w:val="1F5E20"/>
                <w:sz w:val="15"/>
              </w:rPr>
              <w:t>Allowed</w:t>
            </w:r>
            <w:r>
              <w:br/>
            </w:r>
            <w:r>
              <w:rPr>
                <w:rFonts w:ascii="Arial" w:hAnsi="Arial" w:eastAsia="Arial"/>
                <w:b/>
                <w:i w:val="0"/>
                <w:color w:val="1F5E20"/>
                <w:sz w:val="15"/>
              </w:rPr>
              <w:t>Hub</w:t>
            </w:r>
          </w:p>
        </w:tc>
        <w:tc>
          <w:tcPr>
            <w:tcW w:type="dxa" w:w="2088"/>
            <w:tcBorders>
              <w:top w:sz="4" w:val="single" w:color="FFFFFF"/>
              <w:left w:sz="4" w:val="single" w:color="FFFFFF"/>
              <w:bottom w:sz="4" w:val="single" w:color="FFFFFF"/>
              <w:right w:sz="4" w:val="single" w:color="FFFFFF"/>
            </w:tcBorders>
            <w:tcMar>
              <w:top w:w="60" w:type="dxa"/>
              <w:start w:w="35" w:type="dxa"/>
              <w:bottom w:w="60" w:type="dxa"/>
              <w:end w:w="35" w:type="dxa"/>
            </w:tcMar>
            <w:vAlign w:val="center"/>
            <w:shd w:fill="E8F2DF"/>
          </w:tcPr>
          <w:p>
            <w:pPr>
              <w:spacing w:after="0" w:before="0"/>
              <w:jc w:val="center"/>
            </w:pPr>
            <w:r/>
            <w:r>
              <w:rPr>
                <w:rFonts w:ascii="Arial" w:hAnsi="Arial" w:eastAsia="Arial"/>
                <w:b/>
                <w:i w:val="0"/>
                <w:color w:val="1F5E20"/>
                <w:sz w:val="15"/>
              </w:rPr>
              <w:t>Allowed</w:t>
            </w:r>
            <w:r>
              <w:br/>
            </w:r>
            <w:r>
              <w:rPr>
                <w:rFonts w:ascii="Arial" w:hAnsi="Arial" w:eastAsia="Arial"/>
                <w:b/>
                <w:i w:val="0"/>
                <w:color w:val="1F5E20"/>
                <w:sz w:val="15"/>
              </w:rPr>
              <w:t>Hub</w:t>
            </w:r>
          </w:p>
        </w:tc>
        <w:tc>
          <w:tcPr>
            <w:tcW w:type="dxa" w:w="2131"/>
            <w:tcBorders>
              <w:top w:sz="4" w:val="single" w:color="FFFFFF"/>
              <w:left w:sz="4" w:val="single" w:color="FFFFFF"/>
              <w:bottom w:sz="4" w:val="single" w:color="FFFFFF"/>
              <w:right w:sz="4" w:val="single" w:color="FFFFFF"/>
            </w:tcBorders>
            <w:tcMar>
              <w:top w:w="60" w:type="dxa"/>
              <w:start w:w="35" w:type="dxa"/>
              <w:bottom w:w="60" w:type="dxa"/>
              <w:end w:w="35" w:type="dxa"/>
            </w:tcMar>
            <w:vAlign w:val="center"/>
            <w:shd w:fill="E8F2DF"/>
          </w:tcPr>
          <w:p>
            <w:pPr>
              <w:spacing w:after="0" w:before="0"/>
              <w:jc w:val="center"/>
            </w:pPr>
            <w:r/>
            <w:r>
              <w:rPr>
                <w:rFonts w:ascii="Arial" w:hAnsi="Arial" w:eastAsia="Arial"/>
                <w:b/>
                <w:i w:val="0"/>
                <w:color w:val="1F5E20"/>
                <w:sz w:val="15"/>
              </w:rPr>
              <w:t>Allowed</w:t>
            </w:r>
            <w:r>
              <w:br/>
            </w:r>
            <w:r>
              <w:rPr>
                <w:rFonts w:ascii="Arial" w:hAnsi="Arial" w:eastAsia="Arial"/>
                <w:b/>
                <w:i w:val="0"/>
                <w:color w:val="1F5E20"/>
                <w:sz w:val="15"/>
              </w:rPr>
              <w:t>SSE</w:t>
            </w:r>
          </w:p>
        </w:tc>
      </w:tr>
      <w:tr>
        <w:trPr>
          <w:trHeight w:val="780" w:hRule="atLeast"/>
          <w:cantSplit/>
        </w:trPr>
        <w:tc>
          <w:tcPr>
            <w:tcW w:type="dxa" w:w="1900"/>
            <w:tcBorders>
              <w:top w:sz="4" w:val="single" w:color="FFFFFF"/>
              <w:left w:sz="4" w:val="single" w:color="FFFFFF"/>
              <w:bottom w:sz="4" w:val="single" w:color="FFFFFF"/>
              <w:right w:sz="4" w:val="single" w:color="FFFFFF"/>
            </w:tcBorders>
            <w:tcMar>
              <w:top w:w="70" w:type="dxa"/>
              <w:start w:w="50" w:type="dxa"/>
              <w:bottom w:w="70" w:type="dxa"/>
              <w:end w:w="50" w:type="dxa"/>
            </w:tcMar>
            <w:vAlign w:val="center"/>
            <w:shd w:fill="EDF2F7"/>
          </w:tcPr>
          <w:p>
            <w:pPr>
              <w:spacing w:after="0" w:before="0"/>
              <w:jc w:val="left"/>
            </w:pPr>
            <w:r/>
            <w:r>
              <w:rPr>
                <w:rFonts w:ascii="Arial" w:hAnsi="Arial" w:eastAsia="Arial"/>
                <w:b/>
                <w:i w:val="0"/>
                <w:color w:val="404040"/>
                <w:sz w:val="15"/>
              </w:rPr>
              <w:t>Automation</w:t>
            </w:r>
          </w:p>
        </w:tc>
        <w:tc>
          <w:tcPr>
            <w:tcW w:type="dxa" w:w="2088"/>
            <w:tcBorders>
              <w:top w:sz="4" w:val="single" w:color="FFFFFF"/>
              <w:left w:sz="4" w:val="single" w:color="FFFFFF"/>
              <w:bottom w:sz="4" w:val="single" w:color="FFFFFF"/>
              <w:right w:sz="4" w:val="single" w:color="FFFFFF"/>
            </w:tcBorders>
            <w:tcMar>
              <w:top w:w="60" w:type="dxa"/>
              <w:start w:w="35" w:type="dxa"/>
              <w:bottom w:w="60" w:type="dxa"/>
              <w:end w:w="35" w:type="dxa"/>
            </w:tcMar>
            <w:vAlign w:val="center"/>
            <w:shd w:fill="F7EEDF"/>
          </w:tcPr>
          <w:p>
            <w:pPr>
              <w:spacing w:after="0" w:before="0"/>
              <w:jc w:val="center"/>
            </w:pPr>
            <w:r/>
            <w:r>
              <w:rPr>
                <w:rFonts w:ascii="Arial" w:hAnsi="Arial" w:eastAsia="Arial"/>
                <w:b/>
                <w:i w:val="0"/>
                <w:color w:val="6B4B00"/>
                <w:sz w:val="15"/>
              </w:rPr>
              <w:t>Exception only</w:t>
            </w:r>
            <w:r>
              <w:br/>
            </w:r>
            <w:r>
              <w:rPr>
                <w:rFonts w:ascii="Arial" w:hAnsi="Arial" w:eastAsia="Arial"/>
                <w:b/>
                <w:i w:val="0"/>
                <w:color w:val="6B4B00"/>
                <w:sz w:val="15"/>
              </w:rPr>
              <w:t>Site</w:t>
            </w:r>
          </w:p>
        </w:tc>
        <w:tc>
          <w:tcPr>
            <w:tcW w:type="dxa" w:w="2088"/>
            <w:tcBorders>
              <w:top w:sz="4" w:val="single" w:color="FFFFFF"/>
              <w:left w:sz="4" w:val="single" w:color="FFFFFF"/>
              <w:bottom w:sz="4" w:val="single" w:color="FFFFFF"/>
              <w:right w:sz="4" w:val="single" w:color="FFFFFF"/>
            </w:tcBorders>
            <w:tcMar>
              <w:top w:w="60" w:type="dxa"/>
              <w:start w:w="35" w:type="dxa"/>
              <w:bottom w:w="60" w:type="dxa"/>
              <w:end w:w="35" w:type="dxa"/>
            </w:tcMar>
            <w:vAlign w:val="center"/>
            <w:shd w:fill="E6E6E6"/>
          </w:tcPr>
          <w:p>
            <w:pPr>
              <w:spacing w:after="0" w:before="0"/>
              <w:jc w:val="center"/>
            </w:pPr>
            <w:r/>
            <w:r>
              <w:rPr>
                <w:rFonts w:ascii="Arial" w:hAnsi="Arial" w:eastAsia="Arial"/>
                <w:b w:val="0"/>
                <w:i w:val="0"/>
                <w:color w:val="666666"/>
                <w:sz w:val="15"/>
              </w:rPr>
              <w:t>-</w:t>
            </w:r>
          </w:p>
        </w:tc>
        <w:tc>
          <w:tcPr>
            <w:tcW w:type="dxa" w:w="2088"/>
            <w:tcBorders>
              <w:top w:sz="4" w:val="single" w:color="FFFFFF"/>
              <w:left w:sz="4" w:val="single" w:color="FFFFFF"/>
              <w:bottom w:sz="4" w:val="single" w:color="FFFFFF"/>
              <w:right w:sz="4" w:val="single" w:color="FFFFFF"/>
            </w:tcBorders>
            <w:tcMar>
              <w:top w:w="60" w:type="dxa"/>
              <w:start w:w="35" w:type="dxa"/>
              <w:bottom w:w="60" w:type="dxa"/>
              <w:end w:w="35" w:type="dxa"/>
            </w:tcMar>
            <w:vAlign w:val="center"/>
            <w:shd w:fill="E8F2DF"/>
          </w:tcPr>
          <w:p>
            <w:pPr>
              <w:spacing w:after="0" w:before="0"/>
              <w:jc w:val="center"/>
            </w:pPr>
            <w:r/>
            <w:r>
              <w:rPr>
                <w:rFonts w:ascii="Arial" w:hAnsi="Arial" w:eastAsia="Arial"/>
                <w:b/>
                <w:i w:val="0"/>
                <w:color w:val="1F5E20"/>
                <w:sz w:val="15"/>
              </w:rPr>
              <w:t>Allowed</w:t>
            </w:r>
            <w:r>
              <w:br/>
            </w:r>
            <w:r>
              <w:rPr>
                <w:rFonts w:ascii="Arial" w:hAnsi="Arial" w:eastAsia="Arial"/>
                <w:b/>
                <w:i w:val="0"/>
                <w:color w:val="1F5E20"/>
                <w:sz w:val="15"/>
              </w:rPr>
              <w:t>Site</w:t>
            </w:r>
          </w:p>
        </w:tc>
        <w:tc>
          <w:tcPr>
            <w:tcW w:type="dxa" w:w="2088"/>
            <w:tcBorders>
              <w:top w:sz="4" w:val="single" w:color="FFFFFF"/>
              <w:left w:sz="4" w:val="single" w:color="FFFFFF"/>
              <w:bottom w:sz="4" w:val="single" w:color="FFFFFF"/>
              <w:right w:sz="4" w:val="single" w:color="FFFFFF"/>
            </w:tcBorders>
            <w:tcMar>
              <w:top w:w="60" w:type="dxa"/>
              <w:start w:w="35" w:type="dxa"/>
              <w:bottom w:w="60" w:type="dxa"/>
              <w:end w:w="35" w:type="dxa"/>
            </w:tcMar>
            <w:vAlign w:val="center"/>
            <w:shd w:fill="E8F2DF"/>
          </w:tcPr>
          <w:p>
            <w:pPr>
              <w:spacing w:after="0" w:before="0"/>
              <w:jc w:val="center"/>
            </w:pPr>
            <w:r/>
            <w:r>
              <w:rPr>
                <w:rFonts w:ascii="Arial" w:hAnsi="Arial" w:eastAsia="Arial"/>
                <w:b/>
                <w:i w:val="0"/>
                <w:color w:val="1F5E20"/>
                <w:sz w:val="15"/>
              </w:rPr>
              <w:t>Allowed</w:t>
            </w:r>
            <w:r>
              <w:br/>
            </w:r>
            <w:r>
              <w:rPr>
                <w:rFonts w:ascii="Arial" w:hAnsi="Arial" w:eastAsia="Arial"/>
                <w:b/>
                <w:i w:val="0"/>
                <w:color w:val="1F5E20"/>
                <w:sz w:val="15"/>
              </w:rPr>
              <w:t>Hub</w:t>
            </w:r>
          </w:p>
        </w:tc>
        <w:tc>
          <w:tcPr>
            <w:tcW w:type="dxa" w:w="2088"/>
            <w:tcBorders>
              <w:top w:sz="4" w:val="single" w:color="FFFFFF"/>
              <w:left w:sz="4" w:val="single" w:color="FFFFFF"/>
              <w:bottom w:sz="4" w:val="single" w:color="FFFFFF"/>
              <w:right w:sz="4" w:val="single" w:color="FFFFFF"/>
            </w:tcBorders>
            <w:tcMar>
              <w:top w:w="60" w:type="dxa"/>
              <w:start w:w="35" w:type="dxa"/>
              <w:bottom w:w="60" w:type="dxa"/>
              <w:end w:w="35" w:type="dxa"/>
            </w:tcMar>
            <w:vAlign w:val="center"/>
            <w:shd w:fill="E8F2DF"/>
          </w:tcPr>
          <w:p>
            <w:pPr>
              <w:spacing w:after="0" w:before="0"/>
              <w:jc w:val="center"/>
            </w:pPr>
            <w:r/>
            <w:r>
              <w:rPr>
                <w:rFonts w:ascii="Arial" w:hAnsi="Arial" w:eastAsia="Arial"/>
                <w:b/>
                <w:i w:val="0"/>
                <w:color w:val="1F5E20"/>
                <w:sz w:val="15"/>
              </w:rPr>
              <w:t>Allowed</w:t>
            </w:r>
            <w:r>
              <w:br/>
            </w:r>
            <w:r>
              <w:rPr>
                <w:rFonts w:ascii="Arial" w:hAnsi="Arial" w:eastAsia="Arial"/>
                <w:b/>
                <w:i w:val="0"/>
                <w:color w:val="1F5E20"/>
                <w:sz w:val="15"/>
              </w:rPr>
              <w:t>Hub</w:t>
            </w:r>
          </w:p>
        </w:tc>
        <w:tc>
          <w:tcPr>
            <w:tcW w:type="dxa" w:w="2131"/>
            <w:tcBorders>
              <w:top w:sz="4" w:val="single" w:color="FFFFFF"/>
              <w:left w:sz="4" w:val="single" w:color="FFFFFF"/>
              <w:bottom w:sz="4" w:val="single" w:color="FFFFFF"/>
              <w:right w:sz="4" w:val="single" w:color="FFFFFF"/>
            </w:tcBorders>
            <w:tcMar>
              <w:top w:w="60" w:type="dxa"/>
              <w:start w:w="35" w:type="dxa"/>
              <w:bottom w:w="60" w:type="dxa"/>
              <w:end w:w="35" w:type="dxa"/>
            </w:tcMar>
            <w:vAlign w:val="center"/>
            <w:shd w:fill="F3F3F0"/>
          </w:tcPr>
          <w:p>
            <w:pPr>
              <w:spacing w:after="0" w:before="0"/>
              <w:jc w:val="center"/>
            </w:pPr>
            <w:r/>
            <w:r>
              <w:rPr>
                <w:rFonts w:ascii="Arial" w:hAnsi="Arial" w:eastAsia="Arial"/>
                <w:b/>
                <w:i w:val="0"/>
                <w:color w:val="666666"/>
                <w:sz w:val="15"/>
              </w:rPr>
              <w:t>Denied</w:t>
            </w:r>
            <w:r>
              <w:br/>
            </w:r>
            <w:r>
              <w:rPr>
                <w:rFonts w:ascii="Arial" w:hAnsi="Arial" w:eastAsia="Arial"/>
                <w:b/>
                <w:i w:val="0"/>
                <w:color w:val="666666"/>
                <w:sz w:val="15"/>
              </w:rPr>
              <w:t>(default)</w:t>
            </w:r>
          </w:p>
        </w:tc>
      </w:tr>
      <w:tr>
        <w:trPr>
          <w:trHeight w:val="780" w:hRule="atLeast"/>
          <w:cantSplit/>
        </w:trPr>
        <w:tc>
          <w:tcPr>
            <w:tcW w:type="dxa" w:w="1900"/>
            <w:tcBorders>
              <w:top w:sz="4" w:val="single" w:color="FFFFFF"/>
              <w:left w:sz="4" w:val="single" w:color="FFFFFF"/>
              <w:bottom w:sz="4" w:val="single" w:color="FFFFFF"/>
              <w:right w:sz="4" w:val="single" w:color="FFFFFF"/>
            </w:tcBorders>
            <w:tcMar>
              <w:top w:w="70" w:type="dxa"/>
              <w:start w:w="50" w:type="dxa"/>
              <w:bottom w:w="70" w:type="dxa"/>
              <w:end w:w="50" w:type="dxa"/>
            </w:tcMar>
            <w:vAlign w:val="center"/>
            <w:shd w:fill="EDF2F7"/>
          </w:tcPr>
          <w:p>
            <w:pPr>
              <w:spacing w:after="0" w:before="0"/>
              <w:jc w:val="left"/>
            </w:pPr>
            <w:r/>
            <w:r>
              <w:rPr>
                <w:rFonts w:ascii="Arial" w:hAnsi="Arial" w:eastAsia="Arial"/>
                <w:b/>
                <w:i w:val="0"/>
                <w:color w:val="404040"/>
                <w:sz w:val="15"/>
              </w:rPr>
              <w:t>Site Systems</w:t>
            </w:r>
          </w:p>
        </w:tc>
        <w:tc>
          <w:tcPr>
            <w:tcW w:type="dxa" w:w="2088"/>
            <w:tcBorders>
              <w:top w:sz="4" w:val="single" w:color="FFFFFF"/>
              <w:left w:sz="4" w:val="single" w:color="FFFFFF"/>
              <w:bottom w:sz="4" w:val="single" w:color="FFFFFF"/>
              <w:right w:sz="4" w:val="single" w:color="FFFFFF"/>
            </w:tcBorders>
            <w:tcMar>
              <w:top w:w="60" w:type="dxa"/>
              <w:start w:w="35" w:type="dxa"/>
              <w:bottom w:w="60" w:type="dxa"/>
              <w:end w:w="35" w:type="dxa"/>
            </w:tcMar>
            <w:vAlign w:val="center"/>
            <w:shd w:fill="E8F2DF"/>
          </w:tcPr>
          <w:p>
            <w:pPr>
              <w:spacing w:after="0" w:before="0"/>
              <w:jc w:val="center"/>
            </w:pPr>
            <w:r/>
            <w:r>
              <w:rPr>
                <w:rFonts w:ascii="Arial" w:hAnsi="Arial" w:eastAsia="Arial"/>
                <w:b/>
                <w:i w:val="0"/>
                <w:color w:val="1F5E20"/>
                <w:sz w:val="15"/>
              </w:rPr>
              <w:t>Allowed</w:t>
            </w:r>
            <w:r>
              <w:br/>
            </w:r>
            <w:r>
              <w:rPr>
                <w:rFonts w:ascii="Arial" w:hAnsi="Arial" w:eastAsia="Arial"/>
                <w:b/>
                <w:i w:val="0"/>
                <w:color w:val="1F5E20"/>
                <w:sz w:val="15"/>
              </w:rPr>
              <w:t>Site</w:t>
            </w:r>
          </w:p>
        </w:tc>
        <w:tc>
          <w:tcPr>
            <w:tcW w:type="dxa" w:w="2088"/>
            <w:tcBorders>
              <w:top w:sz="4" w:val="single" w:color="FFFFFF"/>
              <w:left w:sz="4" w:val="single" w:color="FFFFFF"/>
              <w:bottom w:sz="4" w:val="single" w:color="FFFFFF"/>
              <w:right w:sz="4" w:val="single" w:color="FFFFFF"/>
            </w:tcBorders>
            <w:tcMar>
              <w:top w:w="60" w:type="dxa"/>
              <w:start w:w="35" w:type="dxa"/>
              <w:bottom w:w="60" w:type="dxa"/>
              <w:end w:w="35" w:type="dxa"/>
            </w:tcMar>
            <w:vAlign w:val="center"/>
            <w:shd w:fill="E8F2DF"/>
          </w:tcPr>
          <w:p>
            <w:pPr>
              <w:spacing w:after="0" w:before="0"/>
              <w:jc w:val="center"/>
            </w:pPr>
            <w:r/>
            <w:r>
              <w:rPr>
                <w:rFonts w:ascii="Arial" w:hAnsi="Arial" w:eastAsia="Arial"/>
                <w:b/>
                <w:i w:val="0"/>
                <w:color w:val="1F5E20"/>
                <w:sz w:val="15"/>
              </w:rPr>
              <w:t>Allowed</w:t>
            </w:r>
            <w:r>
              <w:br/>
            </w:r>
            <w:r>
              <w:rPr>
                <w:rFonts w:ascii="Arial" w:hAnsi="Arial" w:eastAsia="Arial"/>
                <w:b/>
                <w:i w:val="0"/>
                <w:color w:val="1F5E20"/>
                <w:sz w:val="15"/>
              </w:rPr>
              <w:t>Site</w:t>
            </w:r>
          </w:p>
        </w:tc>
        <w:tc>
          <w:tcPr>
            <w:tcW w:type="dxa" w:w="2088"/>
            <w:tcBorders>
              <w:top w:sz="4" w:val="single" w:color="FFFFFF"/>
              <w:left w:sz="4" w:val="single" w:color="FFFFFF"/>
              <w:bottom w:sz="4" w:val="single" w:color="FFFFFF"/>
              <w:right w:sz="4" w:val="single" w:color="FFFFFF"/>
            </w:tcBorders>
            <w:tcMar>
              <w:top w:w="60" w:type="dxa"/>
              <w:start w:w="35" w:type="dxa"/>
              <w:bottom w:w="60" w:type="dxa"/>
              <w:end w:w="35" w:type="dxa"/>
            </w:tcMar>
            <w:vAlign w:val="center"/>
            <w:shd w:fill="E6E6E6"/>
          </w:tcPr>
          <w:p>
            <w:pPr>
              <w:spacing w:after="0" w:before="0"/>
              <w:jc w:val="center"/>
            </w:pPr>
            <w:r/>
            <w:r>
              <w:rPr>
                <w:rFonts w:ascii="Arial" w:hAnsi="Arial" w:eastAsia="Arial"/>
                <w:b w:val="0"/>
                <w:i w:val="0"/>
                <w:color w:val="666666"/>
                <w:sz w:val="15"/>
              </w:rPr>
              <w:t>-</w:t>
            </w:r>
          </w:p>
        </w:tc>
        <w:tc>
          <w:tcPr>
            <w:tcW w:type="dxa" w:w="2088"/>
            <w:tcBorders>
              <w:top w:sz="4" w:val="single" w:color="FFFFFF"/>
              <w:left w:sz="4" w:val="single" w:color="FFFFFF"/>
              <w:bottom w:sz="4" w:val="single" w:color="FFFFFF"/>
              <w:right w:sz="4" w:val="single" w:color="FFFFFF"/>
            </w:tcBorders>
            <w:tcMar>
              <w:top w:w="60" w:type="dxa"/>
              <w:start w:w="35" w:type="dxa"/>
              <w:bottom w:w="60" w:type="dxa"/>
              <w:end w:w="35" w:type="dxa"/>
            </w:tcMar>
            <w:vAlign w:val="center"/>
            <w:shd w:fill="E8F2DF"/>
          </w:tcPr>
          <w:p>
            <w:pPr>
              <w:spacing w:after="0" w:before="0"/>
              <w:jc w:val="center"/>
            </w:pPr>
            <w:r/>
            <w:r>
              <w:rPr>
                <w:rFonts w:ascii="Arial" w:hAnsi="Arial" w:eastAsia="Arial"/>
                <w:b/>
                <w:i w:val="0"/>
                <w:color w:val="1F5E20"/>
                <w:sz w:val="15"/>
              </w:rPr>
              <w:t>Allowed</w:t>
            </w:r>
            <w:r>
              <w:br/>
            </w:r>
            <w:r>
              <w:rPr>
                <w:rFonts w:ascii="Arial" w:hAnsi="Arial" w:eastAsia="Arial"/>
                <w:b/>
                <w:i w:val="0"/>
                <w:color w:val="1F5E20"/>
                <w:sz w:val="15"/>
              </w:rPr>
              <w:t>Hub</w:t>
            </w:r>
          </w:p>
        </w:tc>
        <w:tc>
          <w:tcPr>
            <w:tcW w:type="dxa" w:w="2088"/>
            <w:tcBorders>
              <w:top w:sz="4" w:val="single" w:color="FFFFFF"/>
              <w:left w:sz="4" w:val="single" w:color="FFFFFF"/>
              <w:bottom w:sz="4" w:val="single" w:color="FFFFFF"/>
              <w:right w:sz="4" w:val="single" w:color="FFFFFF"/>
            </w:tcBorders>
            <w:tcMar>
              <w:top w:w="60" w:type="dxa"/>
              <w:start w:w="35" w:type="dxa"/>
              <w:bottom w:w="60" w:type="dxa"/>
              <w:end w:w="35" w:type="dxa"/>
            </w:tcMar>
            <w:vAlign w:val="center"/>
            <w:shd w:fill="E8F2DF"/>
          </w:tcPr>
          <w:p>
            <w:pPr>
              <w:spacing w:after="0" w:before="0"/>
              <w:jc w:val="center"/>
            </w:pPr>
            <w:r/>
            <w:r>
              <w:rPr>
                <w:rFonts w:ascii="Arial" w:hAnsi="Arial" w:eastAsia="Arial"/>
                <w:b/>
                <w:i w:val="0"/>
                <w:color w:val="1F5E20"/>
                <w:sz w:val="15"/>
              </w:rPr>
              <w:t>Allowed</w:t>
            </w:r>
            <w:r>
              <w:br/>
            </w:r>
            <w:r>
              <w:rPr>
                <w:rFonts w:ascii="Arial" w:hAnsi="Arial" w:eastAsia="Arial"/>
                <w:b/>
                <w:i w:val="0"/>
                <w:color w:val="1F5E20"/>
                <w:sz w:val="15"/>
              </w:rPr>
              <w:t>Hub</w:t>
            </w:r>
          </w:p>
        </w:tc>
        <w:tc>
          <w:tcPr>
            <w:tcW w:type="dxa" w:w="2131"/>
            <w:tcBorders>
              <w:top w:sz="4" w:val="single" w:color="FFFFFF"/>
              <w:left w:sz="4" w:val="single" w:color="FFFFFF"/>
              <w:bottom w:sz="4" w:val="single" w:color="FFFFFF"/>
              <w:right w:sz="4" w:val="single" w:color="FFFFFF"/>
            </w:tcBorders>
            <w:tcMar>
              <w:top w:w="60" w:type="dxa"/>
              <w:start w:w="35" w:type="dxa"/>
              <w:bottom w:w="60" w:type="dxa"/>
              <w:end w:w="35" w:type="dxa"/>
            </w:tcMar>
            <w:vAlign w:val="center"/>
            <w:shd w:fill="F7EEDF"/>
          </w:tcPr>
          <w:p>
            <w:pPr>
              <w:spacing w:after="0" w:before="0"/>
              <w:jc w:val="center"/>
            </w:pPr>
            <w:r/>
            <w:r>
              <w:rPr>
                <w:rFonts w:ascii="Arial" w:hAnsi="Arial" w:eastAsia="Arial"/>
                <w:b/>
                <w:i w:val="0"/>
                <w:color w:val="6B4B00"/>
                <w:sz w:val="15"/>
              </w:rPr>
              <w:t>Exception only</w:t>
            </w:r>
            <w:r>
              <w:br/>
            </w:r>
            <w:r>
              <w:rPr>
                <w:rFonts w:ascii="Arial" w:hAnsi="Arial" w:eastAsia="Arial"/>
                <w:b/>
                <w:i w:val="0"/>
                <w:color w:val="6B4B00"/>
                <w:sz w:val="15"/>
              </w:rPr>
              <w:t>SSE</w:t>
            </w:r>
          </w:p>
        </w:tc>
      </w:tr>
      <w:tr>
        <w:trPr>
          <w:trHeight w:val="780" w:hRule="atLeast"/>
          <w:cantSplit/>
        </w:trPr>
        <w:tc>
          <w:tcPr>
            <w:tcW w:type="dxa" w:w="1900"/>
            <w:tcBorders>
              <w:top w:sz="4" w:val="single" w:color="FFFFFF"/>
              <w:left w:sz="4" w:val="single" w:color="FFFFFF"/>
              <w:bottom w:sz="4" w:val="single" w:color="FFFFFF"/>
              <w:right w:sz="4" w:val="single" w:color="FFFFFF"/>
            </w:tcBorders>
            <w:tcMar>
              <w:top w:w="70" w:type="dxa"/>
              <w:start w:w="50" w:type="dxa"/>
              <w:bottom w:w="70" w:type="dxa"/>
              <w:end w:w="50" w:type="dxa"/>
            </w:tcMar>
            <w:vAlign w:val="center"/>
            <w:shd w:fill="EDF2F7"/>
          </w:tcPr>
          <w:p>
            <w:pPr>
              <w:spacing w:after="0" w:before="0"/>
              <w:jc w:val="left"/>
            </w:pPr>
            <w:r/>
            <w:r>
              <w:rPr>
                <w:rFonts w:ascii="Arial" w:hAnsi="Arial" w:eastAsia="Arial"/>
                <w:b/>
                <w:i w:val="0"/>
                <w:color w:val="404040"/>
                <w:sz w:val="15"/>
              </w:rPr>
              <w:t>WMS - Cloud</w:t>
            </w:r>
          </w:p>
        </w:tc>
        <w:tc>
          <w:tcPr>
            <w:tcW w:type="dxa" w:w="2088"/>
            <w:tcBorders>
              <w:top w:sz="4" w:val="single" w:color="FFFFFF"/>
              <w:left w:sz="4" w:val="single" w:color="FFFFFF"/>
              <w:bottom w:sz="4" w:val="single" w:color="FFFFFF"/>
              <w:right w:sz="4" w:val="single" w:color="FFFFFF"/>
            </w:tcBorders>
            <w:tcMar>
              <w:top w:w="60" w:type="dxa"/>
              <w:start w:w="35" w:type="dxa"/>
              <w:bottom w:w="60" w:type="dxa"/>
              <w:end w:w="35" w:type="dxa"/>
            </w:tcMar>
            <w:vAlign w:val="center"/>
            <w:shd w:fill="E8F2DF"/>
          </w:tcPr>
          <w:p>
            <w:pPr>
              <w:spacing w:after="0" w:before="0"/>
              <w:jc w:val="center"/>
            </w:pPr>
            <w:r/>
            <w:r>
              <w:rPr>
                <w:rFonts w:ascii="Arial" w:hAnsi="Arial" w:eastAsia="Arial"/>
                <w:b/>
                <w:i w:val="0"/>
                <w:color w:val="1F5E20"/>
                <w:sz w:val="15"/>
              </w:rPr>
              <w:t>Allowed</w:t>
            </w:r>
            <w:r>
              <w:br/>
            </w:r>
            <w:r>
              <w:rPr>
                <w:rFonts w:ascii="Arial" w:hAnsi="Arial" w:eastAsia="Arial"/>
                <w:b/>
                <w:i w:val="0"/>
                <w:color w:val="1F5E20"/>
                <w:sz w:val="15"/>
              </w:rPr>
              <w:t>Hub</w:t>
            </w:r>
          </w:p>
        </w:tc>
        <w:tc>
          <w:tcPr>
            <w:tcW w:type="dxa" w:w="2088"/>
            <w:tcBorders>
              <w:top w:sz="4" w:val="single" w:color="FFFFFF"/>
              <w:left w:sz="4" w:val="single" w:color="FFFFFF"/>
              <w:bottom w:sz="4" w:val="single" w:color="FFFFFF"/>
              <w:right w:sz="4" w:val="single" w:color="FFFFFF"/>
            </w:tcBorders>
            <w:tcMar>
              <w:top w:w="60" w:type="dxa"/>
              <w:start w:w="35" w:type="dxa"/>
              <w:bottom w:w="60" w:type="dxa"/>
              <w:end w:w="35" w:type="dxa"/>
            </w:tcMar>
            <w:vAlign w:val="center"/>
            <w:shd w:fill="E8F2DF"/>
          </w:tcPr>
          <w:p>
            <w:pPr>
              <w:spacing w:after="0" w:before="0"/>
              <w:jc w:val="center"/>
            </w:pPr>
            <w:r/>
            <w:r>
              <w:rPr>
                <w:rFonts w:ascii="Arial" w:hAnsi="Arial" w:eastAsia="Arial"/>
                <w:b/>
                <w:i w:val="0"/>
                <w:color w:val="1F5E20"/>
                <w:sz w:val="15"/>
              </w:rPr>
              <w:t>Allowed</w:t>
            </w:r>
            <w:r>
              <w:br/>
            </w:r>
            <w:r>
              <w:rPr>
                <w:rFonts w:ascii="Arial" w:hAnsi="Arial" w:eastAsia="Arial"/>
                <w:b/>
                <w:i w:val="0"/>
                <w:color w:val="1F5E20"/>
                <w:sz w:val="15"/>
              </w:rPr>
              <w:t>Hub</w:t>
            </w:r>
          </w:p>
        </w:tc>
        <w:tc>
          <w:tcPr>
            <w:tcW w:type="dxa" w:w="2088"/>
            <w:tcBorders>
              <w:top w:sz="4" w:val="single" w:color="FFFFFF"/>
              <w:left w:sz="4" w:val="single" w:color="FFFFFF"/>
              <w:bottom w:sz="4" w:val="single" w:color="FFFFFF"/>
              <w:right w:sz="4" w:val="single" w:color="FFFFFF"/>
            </w:tcBorders>
            <w:tcMar>
              <w:top w:w="60" w:type="dxa"/>
              <w:start w:w="35" w:type="dxa"/>
              <w:bottom w:w="60" w:type="dxa"/>
              <w:end w:w="35" w:type="dxa"/>
            </w:tcMar>
            <w:vAlign w:val="center"/>
            <w:shd w:fill="E8F2DF"/>
          </w:tcPr>
          <w:p>
            <w:pPr>
              <w:spacing w:after="0" w:before="0"/>
              <w:jc w:val="center"/>
            </w:pPr>
            <w:r/>
            <w:r>
              <w:rPr>
                <w:rFonts w:ascii="Arial" w:hAnsi="Arial" w:eastAsia="Arial"/>
                <w:b/>
                <w:i w:val="0"/>
                <w:color w:val="1F5E20"/>
                <w:sz w:val="15"/>
              </w:rPr>
              <w:t>Allowed</w:t>
            </w:r>
            <w:r>
              <w:br/>
            </w:r>
            <w:r>
              <w:rPr>
                <w:rFonts w:ascii="Arial" w:hAnsi="Arial" w:eastAsia="Arial"/>
                <w:b/>
                <w:i w:val="0"/>
                <w:color w:val="1F5E20"/>
                <w:sz w:val="15"/>
              </w:rPr>
              <w:t>Hub</w:t>
            </w:r>
          </w:p>
        </w:tc>
        <w:tc>
          <w:tcPr>
            <w:tcW w:type="dxa" w:w="2088"/>
            <w:tcBorders>
              <w:top w:sz="4" w:val="single" w:color="FFFFFF"/>
              <w:left w:sz="4" w:val="single" w:color="FFFFFF"/>
              <w:bottom w:sz="4" w:val="single" w:color="FFFFFF"/>
              <w:right w:sz="4" w:val="single" w:color="FFFFFF"/>
            </w:tcBorders>
            <w:tcMar>
              <w:top w:w="60" w:type="dxa"/>
              <w:start w:w="35" w:type="dxa"/>
              <w:bottom w:w="60" w:type="dxa"/>
              <w:end w:w="35" w:type="dxa"/>
            </w:tcMar>
            <w:vAlign w:val="center"/>
            <w:shd w:fill="E6E6E6"/>
          </w:tcPr>
          <w:p>
            <w:pPr>
              <w:spacing w:after="0" w:before="0"/>
              <w:jc w:val="center"/>
            </w:pPr>
            <w:r/>
            <w:r>
              <w:rPr>
                <w:rFonts w:ascii="Arial" w:hAnsi="Arial" w:eastAsia="Arial"/>
                <w:b w:val="0"/>
                <w:i w:val="0"/>
                <w:color w:val="666666"/>
                <w:sz w:val="15"/>
              </w:rPr>
              <w:t>-</w:t>
            </w:r>
          </w:p>
        </w:tc>
        <w:tc>
          <w:tcPr>
            <w:tcW w:type="dxa" w:w="2088"/>
            <w:tcBorders>
              <w:top w:sz="4" w:val="single" w:color="FFFFFF"/>
              <w:left w:sz="4" w:val="single" w:color="FFFFFF"/>
              <w:bottom w:sz="4" w:val="single" w:color="FFFFFF"/>
              <w:right w:sz="4" w:val="single" w:color="FFFFFF"/>
            </w:tcBorders>
            <w:tcMar>
              <w:top w:w="60" w:type="dxa"/>
              <w:start w:w="35" w:type="dxa"/>
              <w:bottom w:w="60" w:type="dxa"/>
              <w:end w:w="35" w:type="dxa"/>
            </w:tcMar>
            <w:vAlign w:val="center"/>
            <w:shd w:fill="F7EEDF"/>
          </w:tcPr>
          <w:p>
            <w:pPr>
              <w:spacing w:after="0" w:before="0"/>
              <w:jc w:val="center"/>
            </w:pPr>
            <w:r/>
            <w:r>
              <w:rPr>
                <w:rFonts w:ascii="Arial" w:hAnsi="Arial" w:eastAsia="Arial"/>
                <w:b/>
                <w:i w:val="0"/>
                <w:color w:val="6B4B00"/>
                <w:sz w:val="15"/>
              </w:rPr>
              <w:t>Exception only</w:t>
            </w:r>
            <w:r>
              <w:br/>
            </w:r>
            <w:r>
              <w:rPr>
                <w:rFonts w:ascii="Arial" w:hAnsi="Arial" w:eastAsia="Arial"/>
                <w:b/>
                <w:i w:val="0"/>
                <w:color w:val="6B4B00"/>
                <w:sz w:val="15"/>
              </w:rPr>
              <w:t>Hub</w:t>
            </w:r>
          </w:p>
        </w:tc>
        <w:tc>
          <w:tcPr>
            <w:tcW w:type="dxa" w:w="2131"/>
            <w:tcBorders>
              <w:top w:sz="4" w:val="single" w:color="FFFFFF"/>
              <w:left w:sz="4" w:val="single" w:color="FFFFFF"/>
              <w:bottom w:sz="4" w:val="single" w:color="FFFFFF"/>
              <w:right w:sz="4" w:val="single" w:color="FFFFFF"/>
            </w:tcBorders>
            <w:tcMar>
              <w:top w:w="60" w:type="dxa"/>
              <w:start w:w="35" w:type="dxa"/>
              <w:bottom w:w="60" w:type="dxa"/>
              <w:end w:w="35" w:type="dxa"/>
            </w:tcMar>
            <w:vAlign w:val="center"/>
            <w:shd w:fill="E8F2DF"/>
          </w:tcPr>
          <w:p>
            <w:pPr>
              <w:spacing w:after="0" w:before="0"/>
              <w:jc w:val="center"/>
            </w:pPr>
            <w:r/>
            <w:r>
              <w:rPr>
                <w:rFonts w:ascii="Arial" w:hAnsi="Arial" w:eastAsia="Arial"/>
                <w:b/>
                <w:i w:val="0"/>
                <w:color w:val="1F5E20"/>
                <w:sz w:val="15"/>
              </w:rPr>
              <w:t>Allowed</w:t>
            </w:r>
            <w:r>
              <w:br/>
            </w:r>
            <w:r>
              <w:rPr>
                <w:rFonts w:ascii="Arial" w:hAnsi="Arial" w:eastAsia="Arial"/>
                <w:b/>
                <w:i w:val="0"/>
                <w:color w:val="1F5E20"/>
                <w:sz w:val="15"/>
              </w:rPr>
              <w:t>Cloud</w:t>
            </w:r>
          </w:p>
        </w:tc>
      </w:tr>
      <w:tr>
        <w:trPr>
          <w:trHeight w:val="780" w:hRule="atLeast"/>
          <w:cantSplit/>
        </w:trPr>
        <w:tc>
          <w:tcPr>
            <w:tcW w:type="dxa" w:w="1900"/>
            <w:tcBorders>
              <w:top w:sz="4" w:val="single" w:color="FFFFFF"/>
              <w:left w:sz="4" w:val="single" w:color="FFFFFF"/>
              <w:bottom w:sz="4" w:val="single" w:color="FFFFFF"/>
              <w:right w:sz="4" w:val="single" w:color="FFFFFF"/>
            </w:tcBorders>
            <w:tcMar>
              <w:top w:w="70" w:type="dxa"/>
              <w:start w:w="50" w:type="dxa"/>
              <w:bottom w:w="70" w:type="dxa"/>
              <w:end w:w="50" w:type="dxa"/>
            </w:tcMar>
            <w:vAlign w:val="center"/>
            <w:shd w:fill="EDF2F7"/>
          </w:tcPr>
          <w:p>
            <w:pPr>
              <w:spacing w:after="0" w:before="0"/>
              <w:jc w:val="left"/>
            </w:pPr>
            <w:r/>
            <w:r>
              <w:rPr>
                <w:rFonts w:ascii="Arial" w:hAnsi="Arial" w:eastAsia="Arial"/>
                <w:b/>
                <w:i w:val="0"/>
                <w:color w:val="404040"/>
                <w:sz w:val="15"/>
              </w:rPr>
              <w:t>WMS - DC</w:t>
            </w:r>
          </w:p>
        </w:tc>
        <w:tc>
          <w:tcPr>
            <w:tcW w:type="dxa" w:w="2088"/>
            <w:tcBorders>
              <w:top w:sz="4" w:val="single" w:color="FFFFFF"/>
              <w:left w:sz="4" w:val="single" w:color="FFFFFF"/>
              <w:bottom w:sz="4" w:val="single" w:color="FFFFFF"/>
              <w:right w:sz="4" w:val="single" w:color="FFFFFF"/>
            </w:tcBorders>
            <w:tcMar>
              <w:top w:w="60" w:type="dxa"/>
              <w:start w:w="35" w:type="dxa"/>
              <w:bottom w:w="60" w:type="dxa"/>
              <w:end w:w="35" w:type="dxa"/>
            </w:tcMar>
            <w:vAlign w:val="center"/>
            <w:shd w:fill="E8F2DF"/>
          </w:tcPr>
          <w:p>
            <w:pPr>
              <w:spacing w:after="0" w:before="0"/>
              <w:jc w:val="center"/>
            </w:pPr>
            <w:r/>
            <w:r>
              <w:rPr>
                <w:rFonts w:ascii="Arial" w:hAnsi="Arial" w:eastAsia="Arial"/>
                <w:b/>
                <w:i w:val="0"/>
                <w:color w:val="1F5E20"/>
                <w:sz w:val="15"/>
              </w:rPr>
              <w:t>Allowed</w:t>
            </w:r>
            <w:r>
              <w:br/>
            </w:r>
            <w:r>
              <w:rPr>
                <w:rFonts w:ascii="Arial" w:hAnsi="Arial" w:eastAsia="Arial"/>
                <w:b/>
                <w:i w:val="0"/>
                <w:color w:val="1F5E20"/>
                <w:sz w:val="15"/>
              </w:rPr>
              <w:t>Hub</w:t>
            </w:r>
          </w:p>
        </w:tc>
        <w:tc>
          <w:tcPr>
            <w:tcW w:type="dxa" w:w="2088"/>
            <w:tcBorders>
              <w:top w:sz="4" w:val="single" w:color="FFFFFF"/>
              <w:left w:sz="4" w:val="single" w:color="FFFFFF"/>
              <w:bottom w:sz="4" w:val="single" w:color="FFFFFF"/>
              <w:right w:sz="4" w:val="single" w:color="FFFFFF"/>
            </w:tcBorders>
            <w:tcMar>
              <w:top w:w="60" w:type="dxa"/>
              <w:start w:w="35" w:type="dxa"/>
              <w:bottom w:w="60" w:type="dxa"/>
              <w:end w:w="35" w:type="dxa"/>
            </w:tcMar>
            <w:vAlign w:val="center"/>
            <w:shd w:fill="E8F2DF"/>
          </w:tcPr>
          <w:p>
            <w:pPr>
              <w:spacing w:after="0" w:before="0"/>
              <w:jc w:val="center"/>
            </w:pPr>
            <w:r/>
            <w:r>
              <w:rPr>
                <w:rFonts w:ascii="Arial" w:hAnsi="Arial" w:eastAsia="Arial"/>
                <w:b/>
                <w:i w:val="0"/>
                <w:color w:val="1F5E20"/>
                <w:sz w:val="15"/>
              </w:rPr>
              <w:t>Allowed</w:t>
            </w:r>
            <w:r>
              <w:br/>
            </w:r>
            <w:r>
              <w:rPr>
                <w:rFonts w:ascii="Arial" w:hAnsi="Arial" w:eastAsia="Arial"/>
                <w:b/>
                <w:i w:val="0"/>
                <w:color w:val="1F5E20"/>
                <w:sz w:val="15"/>
              </w:rPr>
              <w:t>Hub</w:t>
            </w:r>
          </w:p>
        </w:tc>
        <w:tc>
          <w:tcPr>
            <w:tcW w:type="dxa" w:w="2088"/>
            <w:tcBorders>
              <w:top w:sz="4" w:val="single" w:color="FFFFFF"/>
              <w:left w:sz="4" w:val="single" w:color="FFFFFF"/>
              <w:bottom w:sz="4" w:val="single" w:color="FFFFFF"/>
              <w:right w:sz="4" w:val="single" w:color="FFFFFF"/>
            </w:tcBorders>
            <w:tcMar>
              <w:top w:w="60" w:type="dxa"/>
              <w:start w:w="35" w:type="dxa"/>
              <w:bottom w:w="60" w:type="dxa"/>
              <w:end w:w="35" w:type="dxa"/>
            </w:tcMar>
            <w:vAlign w:val="center"/>
            <w:shd w:fill="E8F2DF"/>
          </w:tcPr>
          <w:p>
            <w:pPr>
              <w:spacing w:after="0" w:before="0"/>
              <w:jc w:val="center"/>
            </w:pPr>
            <w:r/>
            <w:r>
              <w:rPr>
                <w:rFonts w:ascii="Arial" w:hAnsi="Arial" w:eastAsia="Arial"/>
                <w:b/>
                <w:i w:val="0"/>
                <w:color w:val="1F5E20"/>
                <w:sz w:val="15"/>
              </w:rPr>
              <w:t>Allowed</w:t>
            </w:r>
            <w:r>
              <w:br/>
            </w:r>
            <w:r>
              <w:rPr>
                <w:rFonts w:ascii="Arial" w:hAnsi="Arial" w:eastAsia="Arial"/>
                <w:b/>
                <w:i w:val="0"/>
                <w:color w:val="1F5E20"/>
                <w:sz w:val="15"/>
              </w:rPr>
              <w:t>Hub</w:t>
            </w:r>
          </w:p>
        </w:tc>
        <w:tc>
          <w:tcPr>
            <w:tcW w:type="dxa" w:w="2088"/>
            <w:tcBorders>
              <w:top w:sz="4" w:val="single" w:color="FFFFFF"/>
              <w:left w:sz="4" w:val="single" w:color="FFFFFF"/>
              <w:bottom w:sz="4" w:val="single" w:color="FFFFFF"/>
              <w:right w:sz="4" w:val="single" w:color="FFFFFF"/>
            </w:tcBorders>
            <w:tcMar>
              <w:top w:w="60" w:type="dxa"/>
              <w:start w:w="35" w:type="dxa"/>
              <w:bottom w:w="60" w:type="dxa"/>
              <w:end w:w="35" w:type="dxa"/>
            </w:tcMar>
            <w:vAlign w:val="center"/>
            <w:shd w:fill="F7EEDF"/>
          </w:tcPr>
          <w:p>
            <w:pPr>
              <w:spacing w:after="0" w:before="0"/>
              <w:jc w:val="center"/>
            </w:pPr>
            <w:r/>
            <w:r>
              <w:rPr>
                <w:rFonts w:ascii="Arial" w:hAnsi="Arial" w:eastAsia="Arial"/>
                <w:b/>
                <w:i w:val="0"/>
                <w:color w:val="6B4B00"/>
                <w:sz w:val="15"/>
              </w:rPr>
              <w:t>Exception only</w:t>
            </w:r>
            <w:r>
              <w:br/>
            </w:r>
            <w:r>
              <w:rPr>
                <w:rFonts w:ascii="Arial" w:hAnsi="Arial" w:eastAsia="Arial"/>
                <w:b/>
                <w:i w:val="0"/>
                <w:color w:val="6B4B00"/>
                <w:sz w:val="15"/>
              </w:rPr>
              <w:t>Hub</w:t>
            </w:r>
          </w:p>
        </w:tc>
        <w:tc>
          <w:tcPr>
            <w:tcW w:type="dxa" w:w="2088"/>
            <w:tcBorders>
              <w:top w:sz="4" w:val="single" w:color="FFFFFF"/>
              <w:left w:sz="4" w:val="single" w:color="FFFFFF"/>
              <w:bottom w:sz="4" w:val="single" w:color="FFFFFF"/>
              <w:right w:sz="4" w:val="single" w:color="FFFFFF"/>
            </w:tcBorders>
            <w:tcMar>
              <w:top w:w="60" w:type="dxa"/>
              <w:start w:w="35" w:type="dxa"/>
              <w:bottom w:w="60" w:type="dxa"/>
              <w:end w:w="35" w:type="dxa"/>
            </w:tcMar>
            <w:vAlign w:val="center"/>
            <w:shd w:fill="E6E6E6"/>
          </w:tcPr>
          <w:p>
            <w:pPr>
              <w:spacing w:after="0" w:before="0"/>
              <w:jc w:val="center"/>
            </w:pPr>
            <w:r/>
            <w:r>
              <w:rPr>
                <w:rFonts w:ascii="Arial" w:hAnsi="Arial" w:eastAsia="Arial"/>
                <w:b w:val="0"/>
                <w:i w:val="0"/>
                <w:color w:val="666666"/>
                <w:sz w:val="15"/>
              </w:rPr>
              <w:t>-</w:t>
            </w:r>
          </w:p>
        </w:tc>
        <w:tc>
          <w:tcPr>
            <w:tcW w:type="dxa" w:w="2131"/>
            <w:tcBorders>
              <w:top w:sz="4" w:val="single" w:color="FFFFFF"/>
              <w:left w:sz="4" w:val="single" w:color="FFFFFF"/>
              <w:bottom w:sz="4" w:val="single" w:color="FFFFFF"/>
              <w:right w:sz="4" w:val="single" w:color="FFFFFF"/>
            </w:tcBorders>
            <w:tcMar>
              <w:top w:w="60" w:type="dxa"/>
              <w:start w:w="35" w:type="dxa"/>
              <w:bottom w:w="60" w:type="dxa"/>
              <w:end w:w="35" w:type="dxa"/>
            </w:tcMar>
            <w:vAlign w:val="center"/>
            <w:shd w:fill="E8F2DF"/>
          </w:tcPr>
          <w:p>
            <w:pPr>
              <w:spacing w:after="0" w:before="0"/>
              <w:jc w:val="center"/>
            </w:pPr>
            <w:r/>
            <w:r>
              <w:rPr>
                <w:rFonts w:ascii="Arial" w:hAnsi="Arial" w:eastAsia="Arial"/>
                <w:b/>
                <w:i w:val="0"/>
                <w:color w:val="1F5E20"/>
                <w:sz w:val="15"/>
              </w:rPr>
              <w:t>Allowed</w:t>
            </w:r>
            <w:r>
              <w:br/>
            </w:r>
            <w:r>
              <w:rPr>
                <w:rFonts w:ascii="Arial" w:hAnsi="Arial" w:eastAsia="Arial"/>
                <w:b/>
                <w:i w:val="0"/>
                <w:color w:val="1F5E20"/>
                <w:sz w:val="15"/>
              </w:rPr>
              <w:t>DC</w:t>
            </w:r>
          </w:p>
        </w:tc>
      </w:tr>
      <w:tr>
        <w:trPr>
          <w:trHeight w:val="780" w:hRule="atLeast"/>
          <w:cantSplit/>
        </w:trPr>
        <w:tc>
          <w:tcPr>
            <w:tcW w:type="dxa" w:w="1900"/>
            <w:tcBorders>
              <w:top w:sz="4" w:val="single" w:color="FFFFFF"/>
              <w:left w:sz="4" w:val="single" w:color="FFFFFF"/>
              <w:bottom w:sz="4" w:val="single" w:color="FFFFFF"/>
              <w:right w:sz="4" w:val="single" w:color="FFFFFF"/>
            </w:tcBorders>
            <w:tcMar>
              <w:top w:w="70" w:type="dxa"/>
              <w:start w:w="50" w:type="dxa"/>
              <w:bottom w:w="70" w:type="dxa"/>
              <w:end w:w="50" w:type="dxa"/>
            </w:tcMar>
            <w:vAlign w:val="center"/>
            <w:shd w:fill="EDF2F7"/>
          </w:tcPr>
          <w:p>
            <w:pPr>
              <w:spacing w:after="0" w:before="0"/>
              <w:jc w:val="left"/>
            </w:pPr>
            <w:r/>
            <w:r>
              <w:rPr>
                <w:rFonts w:ascii="Arial" w:hAnsi="Arial" w:eastAsia="Arial"/>
                <w:b/>
                <w:i w:val="0"/>
                <w:color w:val="404040"/>
                <w:sz w:val="15"/>
              </w:rPr>
              <w:t>Internet / SaaS</w:t>
            </w:r>
          </w:p>
        </w:tc>
        <w:tc>
          <w:tcPr>
            <w:tcW w:type="dxa" w:w="2088"/>
            <w:tcBorders>
              <w:top w:sz="4" w:val="single" w:color="FFFFFF"/>
              <w:left w:sz="4" w:val="single" w:color="FFFFFF"/>
              <w:bottom w:sz="4" w:val="single" w:color="FFFFFF"/>
              <w:right w:sz="4" w:val="single" w:color="FFFFFF"/>
            </w:tcBorders>
            <w:tcMar>
              <w:top w:w="60" w:type="dxa"/>
              <w:start w:w="35" w:type="dxa"/>
              <w:bottom w:w="60" w:type="dxa"/>
              <w:end w:w="35" w:type="dxa"/>
            </w:tcMar>
            <w:vAlign w:val="center"/>
            <w:shd w:fill="F3F3F0"/>
          </w:tcPr>
          <w:p>
            <w:pPr>
              <w:spacing w:after="0" w:before="0"/>
              <w:jc w:val="center"/>
            </w:pPr>
            <w:r/>
            <w:r>
              <w:rPr>
                <w:rFonts w:ascii="Arial" w:hAnsi="Arial" w:eastAsia="Arial"/>
                <w:b/>
                <w:i w:val="0"/>
                <w:color w:val="666666"/>
                <w:sz w:val="15"/>
              </w:rPr>
              <w:t>Denied</w:t>
            </w:r>
            <w:r>
              <w:br/>
            </w:r>
            <w:r>
              <w:rPr>
                <w:rFonts w:ascii="Arial" w:hAnsi="Arial" w:eastAsia="Arial"/>
                <w:b/>
                <w:i w:val="0"/>
                <w:color w:val="666666"/>
                <w:sz w:val="15"/>
              </w:rPr>
              <w:t>(default)</w:t>
            </w:r>
          </w:p>
        </w:tc>
        <w:tc>
          <w:tcPr>
            <w:tcW w:type="dxa" w:w="2088"/>
            <w:tcBorders>
              <w:top w:sz="4" w:val="single" w:color="FFFFFF"/>
              <w:left w:sz="4" w:val="single" w:color="FFFFFF"/>
              <w:bottom w:sz="4" w:val="single" w:color="FFFFFF"/>
              <w:right w:sz="4" w:val="single" w:color="FFFFFF"/>
            </w:tcBorders>
            <w:tcMar>
              <w:top w:w="60" w:type="dxa"/>
              <w:start w:w="35" w:type="dxa"/>
              <w:bottom w:w="60" w:type="dxa"/>
              <w:end w:w="35" w:type="dxa"/>
            </w:tcMar>
            <w:vAlign w:val="center"/>
            <w:shd w:fill="F3F3F0"/>
          </w:tcPr>
          <w:p>
            <w:pPr>
              <w:spacing w:after="0" w:before="0"/>
              <w:jc w:val="center"/>
            </w:pPr>
            <w:r/>
            <w:r>
              <w:rPr>
                <w:rFonts w:ascii="Arial" w:hAnsi="Arial" w:eastAsia="Arial"/>
                <w:b/>
                <w:i w:val="0"/>
                <w:color w:val="666666"/>
                <w:sz w:val="15"/>
              </w:rPr>
              <w:t>Denied</w:t>
            </w:r>
            <w:r>
              <w:br/>
            </w:r>
            <w:r>
              <w:rPr>
                <w:rFonts w:ascii="Arial" w:hAnsi="Arial" w:eastAsia="Arial"/>
                <w:b/>
                <w:i w:val="0"/>
                <w:color w:val="666666"/>
                <w:sz w:val="15"/>
              </w:rPr>
              <w:t>(default)</w:t>
            </w:r>
          </w:p>
        </w:tc>
        <w:tc>
          <w:tcPr>
            <w:tcW w:type="dxa" w:w="2088"/>
            <w:tcBorders>
              <w:top w:sz="4" w:val="single" w:color="FFFFFF"/>
              <w:left w:sz="4" w:val="single" w:color="FFFFFF"/>
              <w:bottom w:sz="4" w:val="single" w:color="FFFFFF"/>
              <w:right w:sz="4" w:val="single" w:color="FFFFFF"/>
            </w:tcBorders>
            <w:tcMar>
              <w:top w:w="60" w:type="dxa"/>
              <w:start w:w="35" w:type="dxa"/>
              <w:bottom w:w="60" w:type="dxa"/>
              <w:end w:w="35" w:type="dxa"/>
            </w:tcMar>
            <w:vAlign w:val="center"/>
            <w:shd w:fill="F3F3F0"/>
          </w:tcPr>
          <w:p>
            <w:pPr>
              <w:spacing w:after="0" w:before="0"/>
              <w:jc w:val="center"/>
            </w:pPr>
            <w:r/>
            <w:r>
              <w:rPr>
                <w:rFonts w:ascii="Arial" w:hAnsi="Arial" w:eastAsia="Arial"/>
                <w:b/>
                <w:i w:val="0"/>
                <w:color w:val="666666"/>
                <w:sz w:val="15"/>
              </w:rPr>
              <w:t>Denied</w:t>
            </w:r>
            <w:r>
              <w:br/>
            </w:r>
            <w:r>
              <w:rPr>
                <w:rFonts w:ascii="Arial" w:hAnsi="Arial" w:eastAsia="Arial"/>
                <w:b/>
                <w:i w:val="0"/>
                <w:color w:val="666666"/>
                <w:sz w:val="15"/>
              </w:rPr>
              <w:t>(default)</w:t>
            </w:r>
          </w:p>
        </w:tc>
        <w:tc>
          <w:tcPr>
            <w:tcW w:type="dxa" w:w="2088"/>
            <w:tcBorders>
              <w:top w:sz="4" w:val="single" w:color="FFFFFF"/>
              <w:left w:sz="4" w:val="single" w:color="FFFFFF"/>
              <w:bottom w:sz="4" w:val="single" w:color="FFFFFF"/>
              <w:right w:sz="4" w:val="single" w:color="FFFFFF"/>
            </w:tcBorders>
            <w:tcMar>
              <w:top w:w="60" w:type="dxa"/>
              <w:start w:w="35" w:type="dxa"/>
              <w:bottom w:w="60" w:type="dxa"/>
              <w:end w:w="35" w:type="dxa"/>
            </w:tcMar>
            <w:vAlign w:val="center"/>
            <w:shd w:fill="F7EEDF"/>
          </w:tcPr>
          <w:p>
            <w:pPr>
              <w:spacing w:after="0" w:before="0"/>
              <w:jc w:val="center"/>
            </w:pPr>
            <w:r/>
            <w:r>
              <w:rPr>
                <w:rFonts w:ascii="Arial" w:hAnsi="Arial" w:eastAsia="Arial"/>
                <w:b/>
                <w:i w:val="0"/>
                <w:color w:val="6B4B00"/>
                <w:sz w:val="15"/>
              </w:rPr>
              <w:t>Exception only</w:t>
            </w:r>
            <w:r>
              <w:br/>
            </w:r>
            <w:r>
              <w:rPr>
                <w:rFonts w:ascii="Arial" w:hAnsi="Arial" w:eastAsia="Arial"/>
                <w:b/>
                <w:i w:val="0"/>
                <w:color w:val="6B4B00"/>
                <w:sz w:val="15"/>
              </w:rPr>
              <w:t>Cloud</w:t>
            </w:r>
          </w:p>
        </w:tc>
        <w:tc>
          <w:tcPr>
            <w:tcW w:type="dxa" w:w="2088"/>
            <w:tcBorders>
              <w:top w:sz="4" w:val="single" w:color="FFFFFF"/>
              <w:left w:sz="4" w:val="single" w:color="FFFFFF"/>
              <w:bottom w:sz="4" w:val="single" w:color="FFFFFF"/>
              <w:right w:sz="4" w:val="single" w:color="FFFFFF"/>
            </w:tcBorders>
            <w:tcMar>
              <w:top w:w="60" w:type="dxa"/>
              <w:start w:w="35" w:type="dxa"/>
              <w:bottom w:w="60" w:type="dxa"/>
              <w:end w:w="35" w:type="dxa"/>
            </w:tcMar>
            <w:vAlign w:val="center"/>
            <w:shd w:fill="F7EEDF"/>
          </w:tcPr>
          <w:p>
            <w:pPr>
              <w:spacing w:after="0" w:before="0"/>
              <w:jc w:val="center"/>
            </w:pPr>
            <w:r/>
            <w:r>
              <w:rPr>
                <w:rFonts w:ascii="Arial" w:hAnsi="Arial" w:eastAsia="Arial"/>
                <w:b/>
                <w:i w:val="0"/>
                <w:color w:val="6B4B00"/>
                <w:sz w:val="15"/>
              </w:rPr>
              <w:t>Exception only</w:t>
            </w:r>
            <w:r>
              <w:br/>
            </w:r>
            <w:r>
              <w:rPr>
                <w:rFonts w:ascii="Arial" w:hAnsi="Arial" w:eastAsia="Arial"/>
                <w:b/>
                <w:i w:val="0"/>
                <w:color w:val="6B4B00"/>
                <w:sz w:val="15"/>
              </w:rPr>
              <w:t>DC</w:t>
            </w:r>
          </w:p>
        </w:tc>
        <w:tc>
          <w:tcPr>
            <w:tcW w:type="dxa" w:w="2131"/>
            <w:tcBorders>
              <w:top w:sz="4" w:val="single" w:color="FFFFFF"/>
              <w:left w:sz="4" w:val="single" w:color="FFFFFF"/>
              <w:bottom w:sz="4" w:val="single" w:color="FFFFFF"/>
              <w:right w:sz="4" w:val="single" w:color="FFFFFF"/>
            </w:tcBorders>
            <w:tcMar>
              <w:top w:w="60" w:type="dxa"/>
              <w:start w:w="35" w:type="dxa"/>
              <w:bottom w:w="60" w:type="dxa"/>
              <w:end w:w="35" w:type="dxa"/>
            </w:tcMar>
            <w:vAlign w:val="center"/>
            <w:shd w:fill="E6E6E6"/>
          </w:tcPr>
          <w:p>
            <w:pPr>
              <w:spacing w:after="0" w:before="0"/>
              <w:jc w:val="center"/>
            </w:pPr>
            <w:r/>
            <w:r>
              <w:rPr>
                <w:rFonts w:ascii="Arial" w:hAnsi="Arial" w:eastAsia="Arial"/>
                <w:b w:val="0"/>
                <w:i w:val="0"/>
                <w:color w:val="666666"/>
                <w:sz w:val="15"/>
              </w:rPr>
              <w:t>-</w:t>
            </w:r>
          </w:p>
        </w:tc>
      </w:tr>
    </w:tbl>
    <w:p>
      <w:pPr>
        <w:pStyle w:val="BodyText"/>
        <w:spacing w:after="120"/>
        <w:ind w:left="72"/>
      </w:pPr>
      <w:r>
        <w:rPr>
          <w:i/>
          <w:color w:val="666666"/>
          <w:sz w:val="16"/>
        </w:rPr>
        <w:t>Interpretation notes: Site-to-site and internet-originated inbound access remain denied unless a business-approved exception exists. Exception-only entries require explicit approval, scope, expiration or review cadence, and logging.</w:t>
      </w:r>
    </w:p>
    <w:p>
      <w:r>
        <w:br w:type="page"/>
      </w:r>
    </w:p>
    <w:p>
      <w:pPr>
        <w:pStyle w:val="Heading1"/>
      </w:pPr>
      <w:r>
        <w:t>Matrix 2 - Flow-Specific Controls Matrix</w:t>
      </w:r>
    </w:p>
    <w:p>
      <w:pPr>
        <w:pStyle w:val="BodyText"/>
        <w:spacing w:after="120"/>
        <w:ind w:left="72"/>
      </w:pPr>
      <w:r>
        <w:rPr>
          <w:i/>
          <w:color w:val="666666"/>
          <w:sz w:val="16"/>
        </w:rPr>
        <w:t>This view expands the priority flows called out for Automation and GXO Warehouse Operations. It is designed to be inserted into the strategy as a compact control summary.</w:t>
      </w:r>
    </w:p>
    <w:tbl>
      <w:tblPr>
        <w:tblStyle w:val="TableGrid"/>
        <w:tblW w:type="dxa" w:w="14472"/>
        <w:jc w:val="center"/>
        <w:tblLayout w:type="fixed"/>
        <w:tblLook w:firstColumn="1" w:firstRow="1" w:lastColumn="0" w:lastRow="0" w:noHBand="0" w:noVBand="1" w:val="04A0"/>
      </w:tblPr>
      <w:tblGrid>
        <w:gridCol w:w="2909"/>
        <w:gridCol w:w="2909"/>
        <w:gridCol w:w="2909"/>
        <w:gridCol w:w="2909"/>
        <w:gridCol w:w="2909"/>
      </w:tblGrid>
      <w:tr>
        <w:trPr>
          <w:tblHeader w:val="true"/>
        </w:trPr>
        <w:tc>
          <w:tcPr>
            <w:tcW w:type="dxa" w:w="1800"/>
            <w:tcBorders>
              <w:top w:sz="4" w:val="single" w:color="D0D0D0"/>
              <w:left w:sz="4" w:val="single" w:color="D0D0D0"/>
              <w:bottom w:sz="4" w:val="single" w:color="D0D0D0"/>
              <w:right w:sz="4" w:val="single" w:color="D0D0D0"/>
            </w:tcBorders>
            <w:tcMar>
              <w:top w:w="70" w:type="dxa"/>
              <w:start w:w="70" w:type="dxa"/>
              <w:bottom w:w="70" w:type="dxa"/>
              <w:end w:w="70" w:type="dxa"/>
            </w:tcMar>
            <w:vAlign w:val="center"/>
            <w:shd w:fill="1F4E79"/>
          </w:tcPr>
          <w:p>
            <w:pPr>
              <w:spacing w:after="0" w:before="0"/>
              <w:jc w:val="center"/>
            </w:pPr>
            <w:r/>
            <w:r>
              <w:rPr>
                <w:rFonts w:ascii="Arial" w:hAnsi="Arial" w:eastAsia="Arial"/>
                <w:b/>
                <w:i w:val="0"/>
                <w:color w:val="FFFFFF"/>
                <w:sz w:val="16"/>
              </w:rPr>
              <w:t>Source</w:t>
            </w:r>
          </w:p>
        </w:tc>
        <w:tc>
          <w:tcPr>
            <w:tcW w:type="dxa" w:w="1800"/>
            <w:tcBorders>
              <w:top w:sz="4" w:val="single" w:color="D0D0D0"/>
              <w:left w:sz="4" w:val="single" w:color="D0D0D0"/>
              <w:bottom w:sz="4" w:val="single" w:color="D0D0D0"/>
              <w:right w:sz="4" w:val="single" w:color="D0D0D0"/>
            </w:tcBorders>
            <w:tcMar>
              <w:top w:w="70" w:type="dxa"/>
              <w:start w:w="70" w:type="dxa"/>
              <w:bottom w:w="70" w:type="dxa"/>
              <w:end w:w="70" w:type="dxa"/>
            </w:tcMar>
            <w:vAlign w:val="center"/>
            <w:shd w:fill="1F4E79"/>
          </w:tcPr>
          <w:p>
            <w:pPr>
              <w:spacing w:after="0" w:before="0"/>
              <w:jc w:val="center"/>
            </w:pPr>
            <w:r/>
            <w:r>
              <w:rPr>
                <w:rFonts w:ascii="Arial" w:hAnsi="Arial" w:eastAsia="Arial"/>
                <w:b/>
                <w:i w:val="0"/>
                <w:color w:val="FFFFFF"/>
                <w:sz w:val="16"/>
              </w:rPr>
              <w:t>Destination</w:t>
            </w:r>
          </w:p>
        </w:tc>
        <w:tc>
          <w:tcPr>
            <w:tcW w:type="dxa" w:w="2232"/>
            <w:tcBorders>
              <w:top w:sz="4" w:val="single" w:color="D0D0D0"/>
              <w:left w:sz="4" w:val="single" w:color="D0D0D0"/>
              <w:bottom w:sz="4" w:val="single" w:color="D0D0D0"/>
              <w:right w:sz="4" w:val="single" w:color="D0D0D0"/>
            </w:tcBorders>
            <w:tcMar>
              <w:top w:w="70" w:type="dxa"/>
              <w:start w:w="70" w:type="dxa"/>
              <w:bottom w:w="70" w:type="dxa"/>
              <w:end w:w="70" w:type="dxa"/>
            </w:tcMar>
            <w:vAlign w:val="center"/>
            <w:shd w:fill="1F4E79"/>
          </w:tcPr>
          <w:p>
            <w:pPr>
              <w:spacing w:after="0" w:before="0"/>
              <w:jc w:val="center"/>
            </w:pPr>
            <w:r/>
            <w:r>
              <w:rPr>
                <w:rFonts w:ascii="Arial" w:hAnsi="Arial" w:eastAsia="Arial"/>
                <w:b/>
                <w:i w:val="0"/>
                <w:color w:val="FFFFFF"/>
                <w:sz w:val="16"/>
              </w:rPr>
              <w:t>Communicate?</w:t>
            </w:r>
          </w:p>
        </w:tc>
        <w:tc>
          <w:tcPr>
            <w:tcW w:type="dxa" w:w="3888"/>
            <w:tcBorders>
              <w:top w:sz="4" w:val="single" w:color="D0D0D0"/>
              <w:left w:sz="4" w:val="single" w:color="D0D0D0"/>
              <w:bottom w:sz="4" w:val="single" w:color="D0D0D0"/>
              <w:right w:sz="4" w:val="single" w:color="D0D0D0"/>
            </w:tcBorders>
            <w:tcMar>
              <w:top w:w="70" w:type="dxa"/>
              <w:start w:w="70" w:type="dxa"/>
              <w:bottom w:w="70" w:type="dxa"/>
              <w:end w:w="70" w:type="dxa"/>
            </w:tcMar>
            <w:vAlign w:val="center"/>
            <w:shd w:fill="1F4E79"/>
          </w:tcPr>
          <w:p>
            <w:pPr>
              <w:spacing w:after="0" w:before="0"/>
              <w:jc w:val="center"/>
            </w:pPr>
            <w:r/>
            <w:r>
              <w:rPr>
                <w:rFonts w:ascii="Arial" w:hAnsi="Arial" w:eastAsia="Arial"/>
                <w:b/>
                <w:i w:val="0"/>
                <w:color w:val="FFFFFF"/>
                <w:sz w:val="16"/>
              </w:rPr>
              <w:t>Enforcement path</w:t>
            </w:r>
          </w:p>
        </w:tc>
        <w:tc>
          <w:tcPr>
            <w:tcW w:type="dxa" w:w="4752"/>
            <w:tcBorders>
              <w:top w:sz="4" w:val="single" w:color="D0D0D0"/>
              <w:left w:sz="4" w:val="single" w:color="D0D0D0"/>
              <w:bottom w:sz="4" w:val="single" w:color="D0D0D0"/>
              <w:right w:sz="4" w:val="single" w:color="D0D0D0"/>
            </w:tcBorders>
            <w:tcMar>
              <w:top w:w="70" w:type="dxa"/>
              <w:start w:w="70" w:type="dxa"/>
              <w:bottom w:w="70" w:type="dxa"/>
              <w:end w:w="70" w:type="dxa"/>
            </w:tcMar>
            <w:vAlign w:val="center"/>
            <w:shd w:fill="1F4E79"/>
          </w:tcPr>
          <w:p>
            <w:pPr>
              <w:spacing w:after="0" w:before="0"/>
              <w:jc w:val="center"/>
            </w:pPr>
            <w:r/>
            <w:r>
              <w:rPr>
                <w:rFonts w:ascii="Arial" w:hAnsi="Arial" w:eastAsia="Arial"/>
                <w:b/>
                <w:i w:val="0"/>
                <w:color w:val="FFFFFF"/>
                <w:sz w:val="16"/>
              </w:rPr>
              <w:t>Controls applied</w:t>
            </w:r>
          </w:p>
        </w:tc>
      </w:tr>
      <w:tr>
        <w:trPr>
          <w:cantSplit/>
        </w:trPr>
        <w:tc>
          <w:tcPr>
            <w:tcW w:type="dxa" w:w="2909"/>
            <w:shd w:fill="F8FAFC"/>
            <w:tcMar>
              <w:top w:w="55" w:type="dxa"/>
              <w:start w:w="55" w:type="dxa"/>
              <w:bottom w:w="55" w:type="dxa"/>
              <w:end w:w="55" w:type="dxa"/>
            </w:tcMar>
          </w:tcPr>
          <w:p>
            <w:pPr>
              <w:spacing w:after="0" w:before="0"/>
              <w:jc w:val="left"/>
            </w:pPr>
            <w:r/>
            <w:r>
              <w:rPr>
                <w:rFonts w:ascii="Arial" w:hAnsi="Arial" w:eastAsia="Arial"/>
                <w:b/>
                <w:i w:val="0"/>
                <w:color w:val="222222"/>
                <w:sz w:val="15"/>
              </w:rPr>
              <w:t>Automation</w:t>
            </w:r>
          </w:p>
        </w:tc>
        <w:tc>
          <w:tcPr>
            <w:tcW w:type="dxa" w:w="2909"/>
            <w:shd w:fill="F8FAFC"/>
            <w:tcMar>
              <w:top w:w="55" w:type="dxa"/>
              <w:start w:w="55" w:type="dxa"/>
              <w:bottom w:w="55" w:type="dxa"/>
              <w:end w:w="55" w:type="dxa"/>
            </w:tcMar>
          </w:tcPr>
          <w:p>
            <w:pPr>
              <w:spacing w:after="0" w:before="0"/>
              <w:jc w:val="left"/>
            </w:pPr>
            <w:r/>
            <w:r>
              <w:rPr>
                <w:rFonts w:ascii="Arial" w:hAnsi="Arial" w:eastAsia="Arial"/>
                <w:b/>
                <w:i w:val="0"/>
                <w:color w:val="222222"/>
                <w:sz w:val="15"/>
              </w:rPr>
              <w:t>GXO Site Systems</w:t>
            </w:r>
          </w:p>
        </w:tc>
        <w:tc>
          <w:tcPr>
            <w:tcW w:type="dxa" w:w="2909"/>
            <w:shd w:fill="E8F2DF"/>
            <w:tcMar>
              <w:top w:w="55" w:type="dxa"/>
              <w:start w:w="55" w:type="dxa"/>
              <w:bottom w:w="55" w:type="dxa"/>
              <w:end w:w="55" w:type="dxa"/>
            </w:tcMar>
          </w:tcPr>
          <w:p>
            <w:pPr>
              <w:spacing w:after="0" w:before="0"/>
              <w:jc w:val="left"/>
            </w:pPr>
            <w:r/>
            <w:r>
              <w:rPr>
                <w:rFonts w:ascii="Arial" w:hAnsi="Arial" w:eastAsia="Arial"/>
                <w:b/>
                <w:i w:val="0"/>
                <w:color w:val="1F5E20"/>
                <w:sz w:val="15"/>
              </w:rPr>
              <w:t>Yes - approved local service flows only</w:t>
            </w:r>
          </w:p>
        </w:tc>
        <w:tc>
          <w:tcPr>
            <w:tcW w:type="dxa" w:w="2909"/>
            <w:shd w:fill="FFFFFF"/>
            <w:tcMar>
              <w:top w:w="55" w:type="dxa"/>
              <w:start w:w="55" w:type="dxa"/>
              <w:bottom w:w="55" w:type="dxa"/>
              <w:end w:w="55" w:type="dxa"/>
            </w:tcMar>
          </w:tcPr>
          <w:p>
            <w:pPr>
              <w:spacing w:after="0" w:before="0"/>
              <w:jc w:val="left"/>
            </w:pPr>
            <w:r/>
            <w:r>
              <w:rPr>
                <w:rFonts w:ascii="Arial" w:hAnsi="Arial" w:eastAsia="Arial"/>
                <w:b w:val="0"/>
                <w:i w:val="0"/>
                <w:color w:val="222222"/>
                <w:sz w:val="15"/>
              </w:rPr>
              <w:t>Automation zone -&gt; Tier 1 site enforcement -&gt; GXO site systems</w:t>
            </w:r>
          </w:p>
        </w:tc>
        <w:tc>
          <w:tcPr>
            <w:tcW w:type="dxa" w:w="2909"/>
            <w:shd w:fill="FFFFFF"/>
            <w:tcMar>
              <w:top w:w="55" w:type="dxa"/>
              <w:start w:w="55" w:type="dxa"/>
              <w:bottom w:w="55" w:type="dxa"/>
              <w:end w:w="55" w:type="dxa"/>
            </w:tcMar>
          </w:tcPr>
          <w:p>
            <w:pPr>
              <w:spacing w:after="0" w:before="0"/>
              <w:jc w:val="left"/>
            </w:pPr>
            <w:r/>
            <w:r>
              <w:rPr>
                <w:rFonts w:ascii="Arial" w:hAnsi="Arial" w:eastAsia="Arial"/>
                <w:b w:val="0"/>
                <w:i w:val="0"/>
                <w:color w:val="222222"/>
                <w:sz w:val="15"/>
              </w:rPr>
              <w:t>Tier 1 zone separation; source/destination/port allow-listing; stateful inspection; permit/deny logging. No default site DPI/IPS.</w:t>
            </w:r>
          </w:p>
        </w:tc>
      </w:tr>
      <w:tr>
        <w:trPr>
          <w:cantSplit/>
        </w:trPr>
        <w:tc>
          <w:tcPr>
            <w:tcW w:type="dxa" w:w="2909"/>
            <w:shd w:fill="F8FAFC"/>
            <w:tcMar>
              <w:top w:w="55" w:type="dxa"/>
              <w:start w:w="55" w:type="dxa"/>
              <w:bottom w:w="55" w:type="dxa"/>
              <w:end w:w="55" w:type="dxa"/>
            </w:tcMar>
          </w:tcPr>
          <w:p>
            <w:pPr>
              <w:spacing w:after="0" w:before="0"/>
              <w:jc w:val="left"/>
            </w:pPr>
            <w:r/>
            <w:r>
              <w:rPr>
                <w:rFonts w:ascii="Arial" w:hAnsi="Arial" w:eastAsia="Arial"/>
                <w:b/>
                <w:i w:val="0"/>
                <w:color w:val="222222"/>
                <w:sz w:val="15"/>
              </w:rPr>
              <w:t>Automation</w:t>
            </w:r>
          </w:p>
        </w:tc>
        <w:tc>
          <w:tcPr>
            <w:tcW w:type="dxa" w:w="2909"/>
            <w:shd w:fill="F8FAFC"/>
            <w:tcMar>
              <w:top w:w="55" w:type="dxa"/>
              <w:start w:w="55" w:type="dxa"/>
              <w:bottom w:w="55" w:type="dxa"/>
              <w:end w:w="55" w:type="dxa"/>
            </w:tcMar>
          </w:tcPr>
          <w:p>
            <w:pPr>
              <w:spacing w:after="0" w:before="0"/>
              <w:jc w:val="left"/>
            </w:pPr>
            <w:r/>
            <w:r>
              <w:rPr>
                <w:rFonts w:ascii="Arial" w:hAnsi="Arial" w:eastAsia="Arial"/>
                <w:b/>
                <w:i w:val="0"/>
                <w:color w:val="222222"/>
                <w:sz w:val="15"/>
              </w:rPr>
              <w:t>WMS Cloud</w:t>
            </w:r>
          </w:p>
        </w:tc>
        <w:tc>
          <w:tcPr>
            <w:tcW w:type="dxa" w:w="2909"/>
            <w:shd w:fill="E8F2DF"/>
            <w:tcMar>
              <w:top w:w="55" w:type="dxa"/>
              <w:start w:w="55" w:type="dxa"/>
              <w:bottom w:w="55" w:type="dxa"/>
              <w:end w:w="55" w:type="dxa"/>
            </w:tcMar>
          </w:tcPr>
          <w:p>
            <w:pPr>
              <w:spacing w:after="0" w:before="0"/>
              <w:jc w:val="left"/>
            </w:pPr>
            <w:r/>
            <w:r>
              <w:rPr>
                <w:rFonts w:ascii="Arial" w:hAnsi="Arial" w:eastAsia="Arial"/>
                <w:b/>
                <w:i w:val="0"/>
                <w:color w:val="1F5E20"/>
                <w:sz w:val="15"/>
              </w:rPr>
              <w:t>Yes - approved application flows only</w:t>
            </w:r>
          </w:p>
        </w:tc>
        <w:tc>
          <w:tcPr>
            <w:tcW w:type="dxa" w:w="2909"/>
            <w:shd w:fill="FFFFFF"/>
            <w:tcMar>
              <w:top w:w="55" w:type="dxa"/>
              <w:start w:w="55" w:type="dxa"/>
              <w:bottom w:w="55" w:type="dxa"/>
              <w:end w:w="55" w:type="dxa"/>
            </w:tcMar>
          </w:tcPr>
          <w:p>
            <w:pPr>
              <w:spacing w:after="0" w:before="0"/>
              <w:jc w:val="left"/>
            </w:pPr>
            <w:r/>
            <w:r>
              <w:rPr>
                <w:rFonts w:ascii="Arial" w:hAnsi="Arial" w:eastAsia="Arial"/>
                <w:b w:val="0"/>
                <w:i w:val="0"/>
                <w:color w:val="222222"/>
                <w:sz w:val="15"/>
              </w:rPr>
              <w:t>Automation zone -&gt; Tier 1 -&gt; Tier 2 hub -&gt; Tier 3 cloud workload</w:t>
            </w:r>
          </w:p>
        </w:tc>
        <w:tc>
          <w:tcPr>
            <w:tcW w:type="dxa" w:w="2909"/>
            <w:shd w:fill="FFFFFF"/>
            <w:tcMar>
              <w:top w:w="55" w:type="dxa"/>
              <w:start w:w="55" w:type="dxa"/>
              <w:bottom w:w="55" w:type="dxa"/>
              <w:end w:w="55" w:type="dxa"/>
            </w:tcMar>
          </w:tcPr>
          <w:p>
            <w:pPr>
              <w:spacing w:after="0" w:before="0"/>
              <w:jc w:val="left"/>
            </w:pPr>
            <w:r/>
            <w:r>
              <w:rPr>
                <w:rFonts w:ascii="Arial" w:hAnsi="Arial" w:eastAsia="Arial"/>
                <w:b w:val="0"/>
                <w:i w:val="0"/>
                <w:color w:val="222222"/>
                <w:sz w:val="15"/>
              </w:rPr>
              <w:t>Tier 1 ACL/SPI; Tier 2 DPI/IPS/anti-malware; Tier 3 micro-segmentation; centralized logging.</w:t>
            </w:r>
          </w:p>
        </w:tc>
      </w:tr>
      <w:tr>
        <w:trPr>
          <w:cantSplit/>
        </w:trPr>
        <w:tc>
          <w:tcPr>
            <w:tcW w:type="dxa" w:w="2909"/>
            <w:shd w:fill="F8FAFC"/>
            <w:tcMar>
              <w:top w:w="55" w:type="dxa"/>
              <w:start w:w="55" w:type="dxa"/>
              <w:bottom w:w="55" w:type="dxa"/>
              <w:end w:w="55" w:type="dxa"/>
            </w:tcMar>
          </w:tcPr>
          <w:p>
            <w:pPr>
              <w:spacing w:after="0" w:before="0"/>
              <w:jc w:val="left"/>
            </w:pPr>
            <w:r/>
            <w:r>
              <w:rPr>
                <w:rFonts w:ascii="Arial" w:hAnsi="Arial" w:eastAsia="Arial"/>
                <w:b/>
                <w:i w:val="0"/>
                <w:color w:val="222222"/>
                <w:sz w:val="15"/>
              </w:rPr>
              <w:t>Automation</w:t>
            </w:r>
          </w:p>
        </w:tc>
        <w:tc>
          <w:tcPr>
            <w:tcW w:type="dxa" w:w="2909"/>
            <w:shd w:fill="F8FAFC"/>
            <w:tcMar>
              <w:top w:w="55" w:type="dxa"/>
              <w:start w:w="55" w:type="dxa"/>
              <w:bottom w:w="55" w:type="dxa"/>
              <w:end w:w="55" w:type="dxa"/>
            </w:tcMar>
          </w:tcPr>
          <w:p>
            <w:pPr>
              <w:spacing w:after="0" w:before="0"/>
              <w:jc w:val="left"/>
            </w:pPr>
            <w:r/>
            <w:r>
              <w:rPr>
                <w:rFonts w:ascii="Arial" w:hAnsi="Arial" w:eastAsia="Arial"/>
                <w:b/>
                <w:i w:val="0"/>
                <w:color w:val="222222"/>
                <w:sz w:val="15"/>
              </w:rPr>
              <w:t>WMS DC</w:t>
            </w:r>
          </w:p>
        </w:tc>
        <w:tc>
          <w:tcPr>
            <w:tcW w:type="dxa" w:w="2909"/>
            <w:shd w:fill="F7EEDF"/>
            <w:tcMar>
              <w:top w:w="55" w:type="dxa"/>
              <w:start w:w="55" w:type="dxa"/>
              <w:bottom w:w="55" w:type="dxa"/>
              <w:end w:w="55" w:type="dxa"/>
            </w:tcMar>
          </w:tcPr>
          <w:p>
            <w:pPr>
              <w:spacing w:after="0" w:before="0"/>
              <w:jc w:val="left"/>
            </w:pPr>
            <w:r/>
            <w:r>
              <w:rPr>
                <w:rFonts w:ascii="Arial" w:hAnsi="Arial" w:eastAsia="Arial"/>
                <w:b/>
                <w:i w:val="0"/>
                <w:color w:val="6B4B00"/>
                <w:sz w:val="15"/>
              </w:rPr>
              <w:t>Yes - transitional approved flows only</w:t>
            </w:r>
          </w:p>
        </w:tc>
        <w:tc>
          <w:tcPr>
            <w:tcW w:type="dxa" w:w="2909"/>
            <w:shd w:fill="FFFFFF"/>
            <w:tcMar>
              <w:top w:w="55" w:type="dxa"/>
              <w:start w:w="55" w:type="dxa"/>
              <w:bottom w:w="55" w:type="dxa"/>
              <w:end w:w="55" w:type="dxa"/>
            </w:tcMar>
          </w:tcPr>
          <w:p>
            <w:pPr>
              <w:spacing w:after="0" w:before="0"/>
              <w:jc w:val="left"/>
            </w:pPr>
            <w:r/>
            <w:r>
              <w:rPr>
                <w:rFonts w:ascii="Arial" w:hAnsi="Arial" w:eastAsia="Arial"/>
                <w:b w:val="0"/>
                <w:i w:val="0"/>
                <w:color w:val="222222"/>
                <w:sz w:val="15"/>
              </w:rPr>
              <w:t>Automation zone -&gt; Tier 1 -&gt; Tier 2 hub / GXO DC</w:t>
            </w:r>
          </w:p>
        </w:tc>
        <w:tc>
          <w:tcPr>
            <w:tcW w:type="dxa" w:w="2909"/>
            <w:shd w:fill="FFFFFF"/>
            <w:tcMar>
              <w:top w:w="55" w:type="dxa"/>
              <w:start w:w="55" w:type="dxa"/>
              <w:bottom w:w="55" w:type="dxa"/>
              <w:end w:w="55" w:type="dxa"/>
            </w:tcMar>
          </w:tcPr>
          <w:p>
            <w:pPr>
              <w:spacing w:after="0" w:before="0"/>
              <w:jc w:val="left"/>
            </w:pPr>
            <w:r/>
            <w:r>
              <w:rPr>
                <w:rFonts w:ascii="Arial" w:hAnsi="Arial" w:eastAsia="Arial"/>
                <w:b w:val="0"/>
                <w:i w:val="0"/>
                <w:color w:val="222222"/>
                <w:sz w:val="15"/>
              </w:rPr>
              <w:t>Tier 1 ACL/SPI; Tier 2 or GXO DC deep inspection; IPS/IDS; anti-malware; centralized logging. Retire as WMS DC dependency is removed.</w:t>
            </w:r>
          </w:p>
        </w:tc>
      </w:tr>
      <w:tr>
        <w:trPr>
          <w:cantSplit/>
        </w:trPr>
        <w:tc>
          <w:tcPr>
            <w:tcW w:type="dxa" w:w="2909"/>
            <w:shd w:fill="F8FAFC"/>
            <w:tcMar>
              <w:top w:w="55" w:type="dxa"/>
              <w:start w:w="55" w:type="dxa"/>
              <w:bottom w:w="55" w:type="dxa"/>
              <w:end w:w="55" w:type="dxa"/>
            </w:tcMar>
          </w:tcPr>
          <w:p>
            <w:pPr>
              <w:spacing w:after="0" w:before="0"/>
              <w:jc w:val="left"/>
            </w:pPr>
            <w:r/>
            <w:r>
              <w:rPr>
                <w:rFonts w:ascii="Arial" w:hAnsi="Arial" w:eastAsia="Arial"/>
                <w:b/>
                <w:i w:val="0"/>
                <w:color w:val="222222"/>
                <w:sz w:val="15"/>
              </w:rPr>
              <w:t>GXO Warehouse Ops</w:t>
            </w:r>
          </w:p>
        </w:tc>
        <w:tc>
          <w:tcPr>
            <w:tcW w:type="dxa" w:w="2909"/>
            <w:shd w:fill="F8FAFC"/>
            <w:tcMar>
              <w:top w:w="55" w:type="dxa"/>
              <w:start w:w="55" w:type="dxa"/>
              <w:bottom w:w="55" w:type="dxa"/>
              <w:end w:w="55" w:type="dxa"/>
            </w:tcMar>
          </w:tcPr>
          <w:p>
            <w:pPr>
              <w:spacing w:after="0" w:before="0"/>
              <w:jc w:val="left"/>
            </w:pPr>
            <w:r/>
            <w:r>
              <w:rPr>
                <w:rFonts w:ascii="Arial" w:hAnsi="Arial" w:eastAsia="Arial"/>
                <w:b/>
                <w:i w:val="0"/>
                <w:color w:val="222222"/>
                <w:sz w:val="15"/>
              </w:rPr>
              <w:t>Automation</w:t>
            </w:r>
          </w:p>
        </w:tc>
        <w:tc>
          <w:tcPr>
            <w:tcW w:type="dxa" w:w="2909"/>
            <w:shd w:fill="E8F2DF"/>
            <w:tcMar>
              <w:top w:w="55" w:type="dxa"/>
              <w:start w:w="55" w:type="dxa"/>
              <w:bottom w:w="55" w:type="dxa"/>
              <w:end w:w="55" w:type="dxa"/>
            </w:tcMar>
          </w:tcPr>
          <w:p>
            <w:pPr>
              <w:spacing w:after="0" w:before="0"/>
              <w:jc w:val="left"/>
            </w:pPr>
            <w:r/>
            <w:r>
              <w:rPr>
                <w:rFonts w:ascii="Arial" w:hAnsi="Arial" w:eastAsia="Arial"/>
                <w:b/>
                <w:i w:val="0"/>
                <w:color w:val="1F5E20"/>
                <w:sz w:val="15"/>
              </w:rPr>
              <w:t>Yes - approved operational workflows only</w:t>
            </w:r>
          </w:p>
        </w:tc>
        <w:tc>
          <w:tcPr>
            <w:tcW w:type="dxa" w:w="2909"/>
            <w:shd w:fill="FFFFFF"/>
            <w:tcMar>
              <w:top w:w="55" w:type="dxa"/>
              <w:start w:w="55" w:type="dxa"/>
              <w:bottom w:w="55" w:type="dxa"/>
              <w:end w:w="55" w:type="dxa"/>
            </w:tcMar>
          </w:tcPr>
          <w:p>
            <w:pPr>
              <w:spacing w:after="0" w:before="0"/>
              <w:jc w:val="left"/>
            </w:pPr>
            <w:r/>
            <w:r>
              <w:rPr>
                <w:rFonts w:ascii="Arial" w:hAnsi="Arial" w:eastAsia="Arial"/>
                <w:b w:val="0"/>
                <w:i w:val="0"/>
                <w:color w:val="222222"/>
                <w:sz w:val="15"/>
              </w:rPr>
              <w:t>Warehouse Ops zone -&gt; Tier 1 site enforcement -&gt; Automation zone</w:t>
            </w:r>
          </w:p>
        </w:tc>
        <w:tc>
          <w:tcPr>
            <w:tcW w:type="dxa" w:w="2909"/>
            <w:shd w:fill="FFFFFF"/>
            <w:tcMar>
              <w:top w:w="55" w:type="dxa"/>
              <w:start w:w="55" w:type="dxa"/>
              <w:bottom w:w="55" w:type="dxa"/>
              <w:end w:w="55" w:type="dxa"/>
            </w:tcMar>
          </w:tcPr>
          <w:p>
            <w:pPr>
              <w:spacing w:after="0" w:before="0"/>
              <w:jc w:val="left"/>
            </w:pPr>
            <w:r/>
            <w:r>
              <w:rPr>
                <w:rFonts w:ascii="Arial" w:hAnsi="Arial" w:eastAsia="Arial"/>
                <w:b w:val="0"/>
                <w:i w:val="0"/>
                <w:color w:val="222222"/>
                <w:sz w:val="15"/>
              </w:rPr>
              <w:t>Tier 1 zone separation; source/destination/port allow-listing; stateful inspection; permit/deny logging. No broad lateral access.</w:t>
            </w:r>
          </w:p>
        </w:tc>
      </w:tr>
      <w:tr>
        <w:trPr>
          <w:cantSplit/>
        </w:trPr>
        <w:tc>
          <w:tcPr>
            <w:tcW w:type="dxa" w:w="2909"/>
            <w:shd w:fill="F8FAFC"/>
            <w:tcMar>
              <w:top w:w="55" w:type="dxa"/>
              <w:start w:w="55" w:type="dxa"/>
              <w:bottom w:w="55" w:type="dxa"/>
              <w:end w:w="55" w:type="dxa"/>
            </w:tcMar>
          </w:tcPr>
          <w:p>
            <w:pPr>
              <w:spacing w:after="0" w:before="0"/>
              <w:jc w:val="left"/>
            </w:pPr>
            <w:r/>
            <w:r>
              <w:rPr>
                <w:rFonts w:ascii="Arial" w:hAnsi="Arial" w:eastAsia="Arial"/>
                <w:b/>
                <w:i w:val="0"/>
                <w:color w:val="222222"/>
                <w:sz w:val="15"/>
              </w:rPr>
              <w:t>GXO Warehouse Ops</w:t>
            </w:r>
          </w:p>
        </w:tc>
        <w:tc>
          <w:tcPr>
            <w:tcW w:type="dxa" w:w="2909"/>
            <w:shd w:fill="F8FAFC"/>
            <w:tcMar>
              <w:top w:w="55" w:type="dxa"/>
              <w:start w:w="55" w:type="dxa"/>
              <w:bottom w:w="55" w:type="dxa"/>
              <w:end w:w="55" w:type="dxa"/>
            </w:tcMar>
          </w:tcPr>
          <w:p>
            <w:pPr>
              <w:spacing w:after="0" w:before="0"/>
              <w:jc w:val="left"/>
            </w:pPr>
            <w:r/>
            <w:r>
              <w:rPr>
                <w:rFonts w:ascii="Arial" w:hAnsi="Arial" w:eastAsia="Arial"/>
                <w:b/>
                <w:i w:val="0"/>
                <w:color w:val="222222"/>
                <w:sz w:val="15"/>
              </w:rPr>
              <w:t>WMS Cloud</w:t>
            </w:r>
          </w:p>
        </w:tc>
        <w:tc>
          <w:tcPr>
            <w:tcW w:type="dxa" w:w="2909"/>
            <w:shd w:fill="E8F2DF"/>
            <w:tcMar>
              <w:top w:w="55" w:type="dxa"/>
              <w:start w:w="55" w:type="dxa"/>
              <w:bottom w:w="55" w:type="dxa"/>
              <w:end w:w="55" w:type="dxa"/>
            </w:tcMar>
          </w:tcPr>
          <w:p>
            <w:pPr>
              <w:spacing w:after="0" w:before="0"/>
              <w:jc w:val="left"/>
            </w:pPr>
            <w:r/>
            <w:r>
              <w:rPr>
                <w:rFonts w:ascii="Arial" w:hAnsi="Arial" w:eastAsia="Arial"/>
                <w:b/>
                <w:i w:val="0"/>
                <w:color w:val="1F5E20"/>
                <w:sz w:val="15"/>
              </w:rPr>
              <w:t>Yes - approved WMS access only</w:t>
            </w:r>
          </w:p>
        </w:tc>
        <w:tc>
          <w:tcPr>
            <w:tcW w:type="dxa" w:w="2909"/>
            <w:shd w:fill="FFFFFF"/>
            <w:tcMar>
              <w:top w:w="55" w:type="dxa"/>
              <w:start w:w="55" w:type="dxa"/>
              <w:bottom w:w="55" w:type="dxa"/>
              <w:end w:w="55" w:type="dxa"/>
            </w:tcMar>
          </w:tcPr>
          <w:p>
            <w:pPr>
              <w:spacing w:after="0" w:before="0"/>
              <w:jc w:val="left"/>
            </w:pPr>
            <w:r/>
            <w:r>
              <w:rPr>
                <w:rFonts w:ascii="Arial" w:hAnsi="Arial" w:eastAsia="Arial"/>
                <w:b w:val="0"/>
                <w:i w:val="0"/>
                <w:color w:val="222222"/>
                <w:sz w:val="15"/>
              </w:rPr>
              <w:t>Warehouse Ops zone -&gt; Tier 1 -&gt; Tier 2 hub -&gt; Tier 3 cloud workload</w:t>
            </w:r>
          </w:p>
        </w:tc>
        <w:tc>
          <w:tcPr>
            <w:tcW w:type="dxa" w:w="2909"/>
            <w:shd w:fill="FFFFFF"/>
            <w:tcMar>
              <w:top w:w="55" w:type="dxa"/>
              <w:start w:w="55" w:type="dxa"/>
              <w:bottom w:w="55" w:type="dxa"/>
              <w:end w:w="55" w:type="dxa"/>
            </w:tcMar>
          </w:tcPr>
          <w:p>
            <w:pPr>
              <w:spacing w:after="0" w:before="0"/>
              <w:jc w:val="left"/>
            </w:pPr>
            <w:r/>
            <w:r>
              <w:rPr>
                <w:rFonts w:ascii="Arial" w:hAnsi="Arial" w:eastAsia="Arial"/>
                <w:b w:val="0"/>
                <w:i w:val="0"/>
                <w:color w:val="222222"/>
                <w:sz w:val="15"/>
              </w:rPr>
              <w:t>Tier 1 ACL/SPI; Tier 2 DPI/IPS/anti-malware; Tier 3 workload micro-segmentation; centralized logging.</w:t>
            </w:r>
          </w:p>
        </w:tc>
      </w:tr>
      <w:tr>
        <w:trPr>
          <w:cantSplit/>
        </w:trPr>
        <w:tc>
          <w:tcPr>
            <w:tcW w:type="dxa" w:w="2909"/>
            <w:shd w:fill="F8FAFC"/>
            <w:tcMar>
              <w:top w:w="55" w:type="dxa"/>
              <w:start w:w="55" w:type="dxa"/>
              <w:bottom w:w="55" w:type="dxa"/>
              <w:end w:w="55" w:type="dxa"/>
            </w:tcMar>
          </w:tcPr>
          <w:p>
            <w:pPr>
              <w:spacing w:after="0" w:before="0"/>
              <w:jc w:val="left"/>
            </w:pPr>
            <w:r/>
            <w:r>
              <w:rPr>
                <w:rFonts w:ascii="Arial" w:hAnsi="Arial" w:eastAsia="Arial"/>
                <w:b/>
                <w:i w:val="0"/>
                <w:color w:val="222222"/>
                <w:sz w:val="15"/>
              </w:rPr>
              <w:t>GXO Warehouse Ops</w:t>
            </w:r>
          </w:p>
        </w:tc>
        <w:tc>
          <w:tcPr>
            <w:tcW w:type="dxa" w:w="2909"/>
            <w:shd w:fill="F8FAFC"/>
            <w:tcMar>
              <w:top w:w="55" w:type="dxa"/>
              <w:start w:w="55" w:type="dxa"/>
              <w:bottom w:w="55" w:type="dxa"/>
              <w:end w:w="55" w:type="dxa"/>
            </w:tcMar>
          </w:tcPr>
          <w:p>
            <w:pPr>
              <w:spacing w:after="0" w:before="0"/>
              <w:jc w:val="left"/>
            </w:pPr>
            <w:r/>
            <w:r>
              <w:rPr>
                <w:rFonts w:ascii="Arial" w:hAnsi="Arial" w:eastAsia="Arial"/>
                <w:b/>
                <w:i w:val="0"/>
                <w:color w:val="222222"/>
                <w:sz w:val="15"/>
              </w:rPr>
              <w:t>WMS DC</w:t>
            </w:r>
          </w:p>
        </w:tc>
        <w:tc>
          <w:tcPr>
            <w:tcW w:type="dxa" w:w="2909"/>
            <w:shd w:fill="F7EEDF"/>
            <w:tcMar>
              <w:top w:w="55" w:type="dxa"/>
              <w:start w:w="55" w:type="dxa"/>
              <w:bottom w:w="55" w:type="dxa"/>
              <w:end w:w="55" w:type="dxa"/>
            </w:tcMar>
          </w:tcPr>
          <w:p>
            <w:pPr>
              <w:spacing w:after="0" w:before="0"/>
              <w:jc w:val="left"/>
            </w:pPr>
            <w:r/>
            <w:r>
              <w:rPr>
                <w:rFonts w:ascii="Arial" w:hAnsi="Arial" w:eastAsia="Arial"/>
                <w:b/>
                <w:i w:val="0"/>
                <w:color w:val="6B4B00"/>
                <w:sz w:val="15"/>
              </w:rPr>
              <w:t>Yes - transitional approved WMS access only</w:t>
            </w:r>
          </w:p>
        </w:tc>
        <w:tc>
          <w:tcPr>
            <w:tcW w:type="dxa" w:w="2909"/>
            <w:shd w:fill="FFFFFF"/>
            <w:tcMar>
              <w:top w:w="55" w:type="dxa"/>
              <w:start w:w="55" w:type="dxa"/>
              <w:bottom w:w="55" w:type="dxa"/>
              <w:end w:w="55" w:type="dxa"/>
            </w:tcMar>
          </w:tcPr>
          <w:p>
            <w:pPr>
              <w:spacing w:after="0" w:before="0"/>
              <w:jc w:val="left"/>
            </w:pPr>
            <w:r/>
            <w:r>
              <w:rPr>
                <w:rFonts w:ascii="Arial" w:hAnsi="Arial" w:eastAsia="Arial"/>
                <w:b w:val="0"/>
                <w:i w:val="0"/>
                <w:color w:val="222222"/>
                <w:sz w:val="15"/>
              </w:rPr>
              <w:t>Warehouse Ops zone -&gt; Tier 1 -&gt; Tier 2 hub / GXO DC</w:t>
            </w:r>
          </w:p>
        </w:tc>
        <w:tc>
          <w:tcPr>
            <w:tcW w:type="dxa" w:w="2909"/>
            <w:shd w:fill="FFFFFF"/>
            <w:tcMar>
              <w:top w:w="55" w:type="dxa"/>
              <w:start w:w="55" w:type="dxa"/>
              <w:bottom w:w="55" w:type="dxa"/>
              <w:end w:w="55" w:type="dxa"/>
            </w:tcMar>
          </w:tcPr>
          <w:p>
            <w:pPr>
              <w:spacing w:after="0" w:before="0"/>
              <w:jc w:val="left"/>
            </w:pPr>
            <w:r/>
            <w:r>
              <w:rPr>
                <w:rFonts w:ascii="Arial" w:hAnsi="Arial" w:eastAsia="Arial"/>
                <w:b w:val="0"/>
                <w:i w:val="0"/>
                <w:color w:val="222222"/>
                <w:sz w:val="15"/>
              </w:rPr>
              <w:t>Tier 1 ACL/SPI; Tier 2 or GXO DC inspection; IPS/IDS; anti-malware; centralized logging. Retire as workloads migrate to cloud.</w:t>
            </w:r>
          </w:p>
        </w:tc>
      </w:tr>
      <w:tr>
        <w:trPr>
          <w:cantSplit/>
        </w:trPr>
        <w:tc>
          <w:tcPr>
            <w:tcW w:type="dxa" w:w="2909"/>
            <w:shd w:fill="F8FAFC"/>
            <w:tcMar>
              <w:top w:w="55" w:type="dxa"/>
              <w:start w:w="55" w:type="dxa"/>
              <w:bottom w:w="55" w:type="dxa"/>
              <w:end w:w="55" w:type="dxa"/>
            </w:tcMar>
          </w:tcPr>
          <w:p>
            <w:pPr>
              <w:spacing w:after="0" w:before="0"/>
              <w:jc w:val="left"/>
            </w:pPr>
            <w:r/>
            <w:r>
              <w:rPr>
                <w:rFonts w:ascii="Arial" w:hAnsi="Arial" w:eastAsia="Arial"/>
                <w:b/>
                <w:i w:val="0"/>
                <w:color w:val="222222"/>
                <w:sz w:val="15"/>
              </w:rPr>
              <w:t>Any site source</w:t>
            </w:r>
          </w:p>
        </w:tc>
        <w:tc>
          <w:tcPr>
            <w:tcW w:type="dxa" w:w="2909"/>
            <w:shd w:fill="F8FAFC"/>
            <w:tcMar>
              <w:top w:w="55" w:type="dxa"/>
              <w:start w:w="55" w:type="dxa"/>
              <w:bottom w:w="55" w:type="dxa"/>
              <w:end w:w="55" w:type="dxa"/>
            </w:tcMar>
          </w:tcPr>
          <w:p>
            <w:pPr>
              <w:spacing w:after="0" w:before="0"/>
              <w:jc w:val="left"/>
            </w:pPr>
            <w:r/>
            <w:r>
              <w:rPr>
                <w:rFonts w:ascii="Arial" w:hAnsi="Arial" w:eastAsia="Arial"/>
                <w:b/>
                <w:i w:val="0"/>
                <w:color w:val="222222"/>
                <w:sz w:val="15"/>
              </w:rPr>
              <w:t>Other GXO site networks</w:t>
            </w:r>
          </w:p>
        </w:tc>
        <w:tc>
          <w:tcPr>
            <w:tcW w:type="dxa" w:w="2909"/>
            <w:shd w:fill="F3F3F0"/>
            <w:tcMar>
              <w:top w:w="55" w:type="dxa"/>
              <w:start w:w="55" w:type="dxa"/>
              <w:bottom w:w="55" w:type="dxa"/>
              <w:end w:w="55" w:type="dxa"/>
            </w:tcMar>
          </w:tcPr>
          <w:p>
            <w:pPr>
              <w:spacing w:after="0" w:before="0"/>
              <w:jc w:val="left"/>
            </w:pPr>
            <w:r/>
            <w:r>
              <w:rPr>
                <w:rFonts w:ascii="Arial" w:hAnsi="Arial" w:eastAsia="Arial"/>
                <w:b/>
                <w:i w:val="0"/>
                <w:color w:val="666666"/>
                <w:sz w:val="15"/>
              </w:rPr>
              <w:t>Denied by default; exception only</w:t>
            </w:r>
          </w:p>
        </w:tc>
        <w:tc>
          <w:tcPr>
            <w:tcW w:type="dxa" w:w="2909"/>
            <w:shd w:fill="FFFFFF"/>
            <w:tcMar>
              <w:top w:w="55" w:type="dxa"/>
              <w:start w:w="55" w:type="dxa"/>
              <w:bottom w:w="55" w:type="dxa"/>
              <w:end w:w="55" w:type="dxa"/>
            </w:tcMar>
          </w:tcPr>
          <w:p>
            <w:pPr>
              <w:spacing w:after="0" w:before="0"/>
              <w:jc w:val="left"/>
            </w:pPr>
            <w:r/>
            <w:r>
              <w:rPr>
                <w:rFonts w:ascii="Arial" w:hAnsi="Arial" w:eastAsia="Arial"/>
                <w:b w:val="0"/>
                <w:i w:val="0"/>
                <w:color w:val="222222"/>
                <w:sz w:val="15"/>
              </w:rPr>
              <w:t>Source site Tier 1 -&gt; Tier 2 hub -&gt; destination site Tier 1 for approved exceptions only</w:t>
            </w:r>
          </w:p>
        </w:tc>
        <w:tc>
          <w:tcPr>
            <w:tcW w:type="dxa" w:w="2909"/>
            <w:shd w:fill="FFFFFF"/>
            <w:tcMar>
              <w:top w:w="55" w:type="dxa"/>
              <w:start w:w="55" w:type="dxa"/>
              <w:bottom w:w="55" w:type="dxa"/>
              <w:end w:w="55" w:type="dxa"/>
            </w:tcMar>
          </w:tcPr>
          <w:p>
            <w:pPr>
              <w:spacing w:after="0" w:before="0"/>
              <w:jc w:val="left"/>
            </w:pPr>
            <w:r/>
            <w:r>
              <w:rPr>
                <w:rFonts w:ascii="Arial" w:hAnsi="Arial" w:eastAsia="Arial"/>
                <w:b w:val="0"/>
                <w:i w:val="0"/>
                <w:color w:val="222222"/>
                <w:sz w:val="15"/>
              </w:rPr>
              <w:t>RFC1918 deny posture; exception-based ACLs; hub inspection for approved exceptions; time-bound approval; audit logging.</w:t>
            </w:r>
          </w:p>
        </w:tc>
      </w:tr>
      <w:tr>
        <w:trPr>
          <w:cantSplit/>
        </w:trPr>
        <w:tc>
          <w:tcPr>
            <w:tcW w:type="dxa" w:w="2909"/>
            <w:shd w:fill="F8FAFC"/>
            <w:tcMar>
              <w:top w:w="55" w:type="dxa"/>
              <w:start w:w="55" w:type="dxa"/>
              <w:bottom w:w="55" w:type="dxa"/>
              <w:end w:w="55" w:type="dxa"/>
            </w:tcMar>
          </w:tcPr>
          <w:p>
            <w:pPr>
              <w:spacing w:after="0" w:before="0"/>
              <w:jc w:val="left"/>
            </w:pPr>
            <w:r/>
            <w:r>
              <w:rPr>
                <w:rFonts w:ascii="Arial" w:hAnsi="Arial" w:eastAsia="Arial"/>
                <w:b/>
                <w:i w:val="0"/>
                <w:color w:val="222222"/>
                <w:sz w:val="15"/>
              </w:rPr>
              <w:t>Warehouse Ops user traffic</w:t>
            </w:r>
          </w:p>
        </w:tc>
        <w:tc>
          <w:tcPr>
            <w:tcW w:type="dxa" w:w="2909"/>
            <w:shd w:fill="F8FAFC"/>
            <w:tcMar>
              <w:top w:w="55" w:type="dxa"/>
              <w:start w:w="55" w:type="dxa"/>
              <w:bottom w:w="55" w:type="dxa"/>
              <w:end w:w="55" w:type="dxa"/>
            </w:tcMar>
          </w:tcPr>
          <w:p>
            <w:pPr>
              <w:spacing w:after="0" w:before="0"/>
              <w:jc w:val="left"/>
            </w:pPr>
            <w:r/>
            <w:r>
              <w:rPr>
                <w:rFonts w:ascii="Arial" w:hAnsi="Arial" w:eastAsia="Arial"/>
                <w:b/>
                <w:i w:val="0"/>
                <w:color w:val="222222"/>
                <w:sz w:val="15"/>
              </w:rPr>
              <w:t>Internet / SaaS</w:t>
            </w:r>
          </w:p>
        </w:tc>
        <w:tc>
          <w:tcPr>
            <w:tcW w:type="dxa" w:w="2909"/>
            <w:shd w:fill="E8F2DF"/>
            <w:tcMar>
              <w:top w:w="55" w:type="dxa"/>
              <w:start w:w="55" w:type="dxa"/>
              <w:bottom w:w="55" w:type="dxa"/>
              <w:end w:w="55" w:type="dxa"/>
            </w:tcMar>
          </w:tcPr>
          <w:p>
            <w:pPr>
              <w:spacing w:after="0" w:before="0"/>
              <w:jc w:val="left"/>
            </w:pPr>
            <w:r/>
            <w:r>
              <w:rPr>
                <w:rFonts w:ascii="Arial" w:hAnsi="Arial" w:eastAsia="Arial"/>
                <w:b/>
                <w:i w:val="0"/>
                <w:color w:val="1F5E20"/>
                <w:sz w:val="15"/>
              </w:rPr>
              <w:t>Yes - via approved SSE path</w:t>
            </w:r>
          </w:p>
        </w:tc>
        <w:tc>
          <w:tcPr>
            <w:tcW w:type="dxa" w:w="2909"/>
            <w:shd w:fill="FFFFFF"/>
            <w:tcMar>
              <w:top w:w="55" w:type="dxa"/>
              <w:start w:w="55" w:type="dxa"/>
              <w:bottom w:w="55" w:type="dxa"/>
              <w:end w:w="55" w:type="dxa"/>
            </w:tcMar>
          </w:tcPr>
          <w:p>
            <w:pPr>
              <w:spacing w:after="0" w:before="0"/>
              <w:jc w:val="left"/>
            </w:pPr>
            <w:r/>
            <w:r>
              <w:rPr>
                <w:rFonts w:ascii="Arial" w:hAnsi="Arial" w:eastAsia="Arial"/>
                <w:b w:val="0"/>
                <w:i w:val="0"/>
                <w:color w:val="222222"/>
                <w:sz w:val="15"/>
              </w:rPr>
              <w:t>Tier 1 permits tunnel/direct path to Tier 0 cloud proxy/SSE; hub bypassed</w:t>
            </w:r>
          </w:p>
        </w:tc>
        <w:tc>
          <w:tcPr>
            <w:tcW w:type="dxa" w:w="2909"/>
            <w:shd w:fill="FFFFFF"/>
            <w:tcMar>
              <w:top w:w="55" w:type="dxa"/>
              <w:start w:w="55" w:type="dxa"/>
              <w:bottom w:w="55" w:type="dxa"/>
              <w:end w:w="55" w:type="dxa"/>
            </w:tcMar>
          </w:tcPr>
          <w:p>
            <w:pPr>
              <w:spacing w:after="0" w:before="0"/>
              <w:jc w:val="left"/>
            </w:pPr>
            <w:r/>
            <w:r>
              <w:rPr>
                <w:rFonts w:ascii="Arial" w:hAnsi="Arial" w:eastAsia="Arial"/>
                <w:b w:val="0"/>
                <w:i w:val="0"/>
                <w:color w:val="222222"/>
                <w:sz w:val="15"/>
              </w:rPr>
              <w:t>Tier 0 SWG; URL filtering; SSL/TLS inspection where enabled; malware scanning; DLP; DNS security; user/SaaS logging.</w:t>
            </w:r>
          </w:p>
        </w:tc>
      </w:tr>
    </w:tbl>
    <w:p>
      <w:pPr>
        <w:pStyle w:val="BodyText"/>
        <w:spacing w:after="120"/>
        <w:ind w:left="72"/>
      </w:pPr>
      <w:r>
        <w:rPr>
          <w:i/>
          <w:color w:val="666666"/>
          <w:sz w:val="16"/>
        </w:rPr>
        <w:t>This matrix represents approved application-initiated flows. Return traffic is permitted only as part of an established stateful session. Any communication path not explicitly listed or approved is denied by default.</w:t>
      </w:r>
    </w:p>
    <w:p>
      <w:r>
        <w:br w:type="page"/>
      </w:r>
    </w:p>
    <w:p>
      <w:pPr>
        <w:pStyle w:val="Heading1"/>
      </w:pPr>
      <w:r>
        <w:t>Logging and Monitoring Requirements</w:t>
      </w:r>
    </w:p>
    <w:p>
      <w:pPr>
        <w:pStyle w:val="BodyText"/>
        <w:spacing w:after="120"/>
      </w:pPr>
      <w:r>
        <w:t>All enforcement points must generate logs for the traffic decisions and security controls they own. Logging does not change the inspection model and does not require the same traffic to be deeply inspected in multiple locations. Each tier logs the control decision it owns, and all logs are forwarded to the centralized security monitoring platform or SIEM for correlation, alerting, retention, audit, and incident response.</w:t>
      </w:r>
    </w:p>
    <w:tbl>
      <w:tblPr>
        <w:tblStyle w:val="TableGrid"/>
        <w:tblW w:type="dxa" w:w="14472"/>
        <w:jc w:val="center"/>
        <w:tblLayout w:type="fixed"/>
        <w:tblLook w:firstColumn="1" w:firstRow="1" w:lastColumn="0" w:lastRow="0" w:noHBand="0" w:noVBand="1" w:val="04A0"/>
      </w:tblPr>
      <w:tblGrid>
        <w:gridCol w:w="4848"/>
        <w:gridCol w:w="4848"/>
        <w:gridCol w:w="4848"/>
      </w:tblGrid>
      <w:tr>
        <w:trPr>
          <w:tblHeader w:val="true"/>
        </w:trPr>
        <w:tc>
          <w:tcPr>
            <w:tcW w:type="dxa" w:w="3024"/>
            <w:tcBorders>
              <w:top w:sz="4" w:val="single" w:color="D0D0D0"/>
              <w:left w:sz="4" w:val="single" w:color="D0D0D0"/>
              <w:bottom w:sz="4" w:val="single" w:color="D0D0D0"/>
              <w:right w:sz="4" w:val="single" w:color="D0D0D0"/>
            </w:tcBorders>
            <w:tcMar>
              <w:top w:w="70" w:type="dxa"/>
              <w:start w:w="70" w:type="dxa"/>
              <w:bottom w:w="70" w:type="dxa"/>
              <w:end w:w="70" w:type="dxa"/>
            </w:tcMar>
            <w:vAlign w:val="center"/>
            <w:shd w:fill="1F4E79"/>
          </w:tcPr>
          <w:p>
            <w:pPr>
              <w:spacing w:after="0" w:before="0"/>
              <w:jc w:val="center"/>
            </w:pPr>
            <w:r/>
            <w:r>
              <w:rPr>
                <w:rFonts w:ascii="Arial" w:hAnsi="Arial" w:eastAsia="Arial"/>
                <w:b/>
                <w:i w:val="0"/>
                <w:color w:val="FFFFFF"/>
                <w:sz w:val="17"/>
              </w:rPr>
              <w:t>Enforcement point</w:t>
            </w:r>
          </w:p>
        </w:tc>
        <w:tc>
          <w:tcPr>
            <w:tcW w:type="dxa" w:w="5976"/>
            <w:tcBorders>
              <w:top w:sz="4" w:val="single" w:color="D0D0D0"/>
              <w:left w:sz="4" w:val="single" w:color="D0D0D0"/>
              <w:bottom w:sz="4" w:val="single" w:color="D0D0D0"/>
              <w:right w:sz="4" w:val="single" w:color="D0D0D0"/>
            </w:tcBorders>
            <w:tcMar>
              <w:top w:w="70" w:type="dxa"/>
              <w:start w:w="70" w:type="dxa"/>
              <w:bottom w:w="70" w:type="dxa"/>
              <w:end w:w="70" w:type="dxa"/>
            </w:tcMar>
            <w:vAlign w:val="center"/>
            <w:shd w:fill="1F4E79"/>
          </w:tcPr>
          <w:p>
            <w:pPr>
              <w:spacing w:after="0" w:before="0"/>
              <w:jc w:val="center"/>
            </w:pPr>
            <w:r/>
            <w:r>
              <w:rPr>
                <w:rFonts w:ascii="Arial" w:hAnsi="Arial" w:eastAsia="Arial"/>
                <w:b/>
                <w:i w:val="0"/>
                <w:color w:val="FFFFFF"/>
                <w:sz w:val="17"/>
              </w:rPr>
              <w:t>Required logging</w:t>
            </w:r>
          </w:p>
        </w:tc>
        <w:tc>
          <w:tcPr>
            <w:tcW w:type="dxa" w:w="5472"/>
            <w:tcBorders>
              <w:top w:sz="4" w:val="single" w:color="D0D0D0"/>
              <w:left w:sz="4" w:val="single" w:color="D0D0D0"/>
              <w:bottom w:sz="4" w:val="single" w:color="D0D0D0"/>
              <w:right w:sz="4" w:val="single" w:color="D0D0D0"/>
            </w:tcBorders>
            <w:tcMar>
              <w:top w:w="70" w:type="dxa"/>
              <w:start w:w="70" w:type="dxa"/>
              <w:bottom w:w="70" w:type="dxa"/>
              <w:end w:w="70" w:type="dxa"/>
            </w:tcMar>
            <w:vAlign w:val="center"/>
            <w:shd w:fill="1F4E79"/>
          </w:tcPr>
          <w:p>
            <w:pPr>
              <w:spacing w:after="0" w:before="0"/>
              <w:jc w:val="center"/>
            </w:pPr>
            <w:r/>
            <w:r>
              <w:rPr>
                <w:rFonts w:ascii="Arial" w:hAnsi="Arial" w:eastAsia="Arial"/>
                <w:b/>
                <w:i w:val="0"/>
                <w:color w:val="FFFFFF"/>
                <w:sz w:val="17"/>
              </w:rPr>
              <w:t>Monitoring focus</w:t>
            </w:r>
          </w:p>
        </w:tc>
      </w:tr>
      <w:tr>
        <w:trPr>
          <w:cantSplit/>
        </w:trPr>
        <w:tc>
          <w:tcPr>
            <w:tcW w:type="dxa" w:w="4848"/>
            <w:shd w:fill="F8FAFC"/>
            <w:tcMar>
              <w:top w:w="60" w:type="dxa"/>
              <w:start w:w="60" w:type="dxa"/>
              <w:bottom w:w="60" w:type="dxa"/>
              <w:end w:w="60" w:type="dxa"/>
            </w:tcMar>
          </w:tcPr>
          <w:p>
            <w:pPr>
              <w:spacing w:after="0" w:before="0"/>
              <w:jc w:val="left"/>
            </w:pPr>
            <w:r/>
            <w:r>
              <w:rPr>
                <w:rFonts w:ascii="Arial" w:hAnsi="Arial" w:eastAsia="Arial"/>
                <w:b/>
                <w:i w:val="0"/>
                <w:color w:val="222222"/>
                <w:sz w:val="15"/>
              </w:rPr>
              <w:t>Tier 1 - Site / Office Firewall</w:t>
            </w:r>
          </w:p>
        </w:tc>
        <w:tc>
          <w:tcPr>
            <w:tcW w:type="dxa" w:w="4848"/>
            <w:shd w:fill="FFFFFF"/>
            <w:tcMar>
              <w:top w:w="60" w:type="dxa"/>
              <w:start w:w="60" w:type="dxa"/>
              <w:bottom w:w="60" w:type="dxa"/>
              <w:end w:w="60" w:type="dxa"/>
            </w:tcMar>
          </w:tcPr>
          <w:p>
            <w:pPr>
              <w:spacing w:after="0" w:before="0"/>
              <w:jc w:val="left"/>
            </w:pPr>
            <w:r/>
            <w:r>
              <w:rPr>
                <w:rFonts w:ascii="Arial" w:hAnsi="Arial" w:eastAsia="Arial"/>
                <w:b w:val="0"/>
                <w:i w:val="0"/>
                <w:color w:val="222222"/>
                <w:sz w:val="15"/>
              </w:rPr>
              <w:t>Zone-to-zone decisions; source and destination details; ports and protocols; rule hits; permit/deny actions; NAT/VPN events where applicable; administrative policy changes.</w:t>
            </w:r>
          </w:p>
        </w:tc>
        <w:tc>
          <w:tcPr>
            <w:tcW w:type="dxa" w:w="4848"/>
            <w:shd w:fill="FFFFFF"/>
            <w:tcMar>
              <w:top w:w="60" w:type="dxa"/>
              <w:start w:w="60" w:type="dxa"/>
              <w:bottom w:w="60" w:type="dxa"/>
              <w:end w:w="60" w:type="dxa"/>
            </w:tcMar>
          </w:tcPr>
          <w:p>
            <w:pPr>
              <w:spacing w:after="0" w:before="0"/>
              <w:jc w:val="left"/>
            </w:pPr>
            <w:r/>
            <w:r>
              <w:rPr>
                <w:rFonts w:ascii="Arial" w:hAnsi="Arial" w:eastAsia="Arial"/>
                <w:b w:val="0"/>
                <w:i w:val="0"/>
                <w:color w:val="222222"/>
                <w:sz w:val="15"/>
              </w:rPr>
              <w:t>Denied cross-zone attempts; Warehouse Ops to Automation exceptions; Automation to site-system flows; unauthorized lateral movement; unexpected destination or protocol usage.</w:t>
            </w:r>
          </w:p>
        </w:tc>
      </w:tr>
      <w:tr>
        <w:trPr>
          <w:cantSplit/>
        </w:trPr>
        <w:tc>
          <w:tcPr>
            <w:tcW w:type="dxa" w:w="4848"/>
            <w:shd w:fill="F8FAFC"/>
            <w:tcMar>
              <w:top w:w="60" w:type="dxa"/>
              <w:start w:w="60" w:type="dxa"/>
              <w:bottom w:w="60" w:type="dxa"/>
              <w:end w:w="60" w:type="dxa"/>
            </w:tcMar>
          </w:tcPr>
          <w:p>
            <w:pPr>
              <w:spacing w:after="0" w:before="0"/>
              <w:jc w:val="left"/>
            </w:pPr>
            <w:r/>
            <w:r>
              <w:rPr>
                <w:rFonts w:ascii="Arial" w:hAnsi="Arial" w:eastAsia="Arial"/>
                <w:b/>
                <w:i w:val="0"/>
                <w:color w:val="222222"/>
                <w:sz w:val="15"/>
              </w:rPr>
              <w:t>Tier 2 - Hub / Colocation / Data Center Firewall</w:t>
            </w:r>
          </w:p>
        </w:tc>
        <w:tc>
          <w:tcPr>
            <w:tcW w:type="dxa" w:w="4848"/>
            <w:shd w:fill="FFFFFF"/>
            <w:tcMar>
              <w:top w:w="60" w:type="dxa"/>
              <w:start w:w="60" w:type="dxa"/>
              <w:bottom w:w="60" w:type="dxa"/>
              <w:end w:w="60" w:type="dxa"/>
            </w:tcMar>
          </w:tcPr>
          <w:p>
            <w:pPr>
              <w:spacing w:after="0" w:before="0"/>
              <w:jc w:val="left"/>
            </w:pPr>
            <w:r/>
            <w:r>
              <w:rPr>
                <w:rFonts w:ascii="Arial" w:hAnsi="Arial" w:eastAsia="Arial"/>
                <w:b w:val="0"/>
                <w:i w:val="0"/>
                <w:color w:val="222222"/>
                <w:sz w:val="15"/>
              </w:rPr>
              <w:t>DPI results; IPS/IDS events; anti-malware verdicts; threat-intelligence matches; application/service rule hits; allowed and denied WAN/private application flows; exception-based site-to-site traffic.</w:t>
            </w:r>
          </w:p>
        </w:tc>
        <w:tc>
          <w:tcPr>
            <w:tcW w:type="dxa" w:w="4848"/>
            <w:shd w:fill="FFFFFF"/>
            <w:tcMar>
              <w:top w:w="60" w:type="dxa"/>
              <w:start w:w="60" w:type="dxa"/>
              <w:bottom w:w="60" w:type="dxa"/>
              <w:end w:w="60" w:type="dxa"/>
            </w:tcMar>
          </w:tcPr>
          <w:p>
            <w:pPr>
              <w:spacing w:after="0" w:before="0"/>
              <w:jc w:val="left"/>
            </w:pPr>
            <w:r/>
            <w:r>
              <w:rPr>
                <w:rFonts w:ascii="Arial" w:hAnsi="Arial" w:eastAsia="Arial"/>
                <w:b w:val="0"/>
                <w:i w:val="0"/>
                <w:color w:val="222222"/>
                <w:sz w:val="15"/>
              </w:rPr>
              <w:t>Primary security visibility for private WAN and cloud-bound application traffic; repeated denies; high-severity IPS events; malware detections; exception usage and drift.</w:t>
            </w:r>
          </w:p>
        </w:tc>
      </w:tr>
      <w:tr>
        <w:trPr>
          <w:cantSplit/>
        </w:trPr>
        <w:tc>
          <w:tcPr>
            <w:tcW w:type="dxa" w:w="4848"/>
            <w:shd w:fill="F8FAFC"/>
            <w:tcMar>
              <w:top w:w="60" w:type="dxa"/>
              <w:start w:w="60" w:type="dxa"/>
              <w:bottom w:w="60" w:type="dxa"/>
              <w:end w:w="60" w:type="dxa"/>
            </w:tcMar>
          </w:tcPr>
          <w:p>
            <w:pPr>
              <w:spacing w:after="0" w:before="0"/>
              <w:jc w:val="left"/>
            </w:pPr>
            <w:r/>
            <w:r>
              <w:rPr>
                <w:rFonts w:ascii="Arial" w:hAnsi="Arial" w:eastAsia="Arial"/>
                <w:b/>
                <w:i w:val="0"/>
                <w:color w:val="222222"/>
                <w:sz w:val="15"/>
              </w:rPr>
              <w:t>Tier 0 - Cloud Proxy / SSE</w:t>
            </w:r>
          </w:p>
        </w:tc>
        <w:tc>
          <w:tcPr>
            <w:tcW w:type="dxa" w:w="4848"/>
            <w:shd w:fill="FFFFFF"/>
            <w:tcMar>
              <w:top w:w="60" w:type="dxa"/>
              <w:start w:w="60" w:type="dxa"/>
              <w:bottom w:w="60" w:type="dxa"/>
              <w:end w:w="60" w:type="dxa"/>
            </w:tcMar>
          </w:tcPr>
          <w:p>
            <w:pPr>
              <w:spacing w:after="0" w:before="0"/>
              <w:jc w:val="left"/>
            </w:pPr>
            <w:r/>
            <w:r>
              <w:rPr>
                <w:rFonts w:ascii="Arial" w:hAnsi="Arial" w:eastAsia="Arial"/>
                <w:b w:val="0"/>
                <w:i w:val="0"/>
                <w:color w:val="222222"/>
                <w:sz w:val="15"/>
              </w:rPr>
              <w:t>User internet and SaaS activity; URL categories; DNS decisions; SSL/TLS inspection status; malware results; DLP events; user identity; device/source details; policy actions.</w:t>
            </w:r>
          </w:p>
        </w:tc>
        <w:tc>
          <w:tcPr>
            <w:tcW w:type="dxa" w:w="4848"/>
            <w:shd w:fill="FFFFFF"/>
            <w:tcMar>
              <w:top w:w="60" w:type="dxa"/>
              <w:start w:w="60" w:type="dxa"/>
              <w:bottom w:w="60" w:type="dxa"/>
              <w:end w:w="60" w:type="dxa"/>
            </w:tcMar>
          </w:tcPr>
          <w:p>
            <w:pPr>
              <w:spacing w:after="0" w:before="0"/>
              <w:jc w:val="left"/>
            </w:pPr>
            <w:r/>
            <w:r>
              <w:rPr>
                <w:rFonts w:ascii="Arial" w:hAnsi="Arial" w:eastAsia="Arial"/>
                <w:b w:val="0"/>
                <w:i w:val="0"/>
                <w:color w:val="222222"/>
                <w:sz w:val="15"/>
              </w:rPr>
              <w:t>Internet/SaaS risk; blocked categories; DLP events; malware; suspicious DNS; users bypassing approved paths; SSL inspection gaps.</w:t>
            </w:r>
          </w:p>
        </w:tc>
      </w:tr>
      <w:tr>
        <w:trPr>
          <w:cantSplit/>
        </w:trPr>
        <w:tc>
          <w:tcPr>
            <w:tcW w:type="dxa" w:w="4848"/>
            <w:shd w:fill="F8FAFC"/>
            <w:tcMar>
              <w:top w:w="60" w:type="dxa"/>
              <w:start w:w="60" w:type="dxa"/>
              <w:bottom w:w="60" w:type="dxa"/>
              <w:end w:w="60" w:type="dxa"/>
            </w:tcMar>
          </w:tcPr>
          <w:p>
            <w:pPr>
              <w:spacing w:after="0" w:before="0"/>
              <w:jc w:val="left"/>
            </w:pPr>
            <w:r/>
            <w:r>
              <w:rPr>
                <w:rFonts w:ascii="Arial" w:hAnsi="Arial" w:eastAsia="Arial"/>
                <w:b/>
                <w:i w:val="0"/>
                <w:color w:val="222222"/>
                <w:sz w:val="15"/>
              </w:rPr>
              <w:t>Tier 3 - Cloud Workload / GCVE / GCE</w:t>
            </w:r>
          </w:p>
        </w:tc>
        <w:tc>
          <w:tcPr>
            <w:tcW w:type="dxa" w:w="4848"/>
            <w:shd w:fill="FFFFFF"/>
            <w:tcMar>
              <w:top w:w="60" w:type="dxa"/>
              <w:start w:w="60" w:type="dxa"/>
              <w:bottom w:w="60" w:type="dxa"/>
              <w:end w:w="60" w:type="dxa"/>
            </w:tcMar>
          </w:tcPr>
          <w:p>
            <w:pPr>
              <w:spacing w:after="0" w:before="0"/>
              <w:jc w:val="left"/>
            </w:pPr>
            <w:r/>
            <w:r>
              <w:rPr>
                <w:rFonts w:ascii="Arial" w:hAnsi="Arial" w:eastAsia="Arial"/>
                <w:b w:val="0"/>
                <w:i w:val="0"/>
                <w:color w:val="222222"/>
                <w:sz w:val="15"/>
              </w:rPr>
              <w:t>Micro-segmentation policy decisions; cloud firewall allow/deny events; workload-to-workload flows; workload identity, labels, tags, or service accounts where available; security policy changes.</w:t>
            </w:r>
          </w:p>
        </w:tc>
        <w:tc>
          <w:tcPr>
            <w:tcW w:type="dxa" w:w="4848"/>
            <w:shd w:fill="FFFFFF"/>
            <w:tcMar>
              <w:top w:w="60" w:type="dxa"/>
              <w:start w:w="60" w:type="dxa"/>
              <w:bottom w:w="60" w:type="dxa"/>
              <w:end w:w="60" w:type="dxa"/>
            </w:tcMar>
          </w:tcPr>
          <w:p>
            <w:pPr>
              <w:spacing w:after="0" w:before="0"/>
              <w:jc w:val="left"/>
            </w:pPr>
            <w:r/>
            <w:r>
              <w:rPr>
                <w:rFonts w:ascii="Arial" w:hAnsi="Arial" w:eastAsia="Arial"/>
                <w:b w:val="0"/>
                <w:i w:val="0"/>
                <w:color w:val="222222"/>
                <w:sz w:val="15"/>
              </w:rPr>
              <w:t>Least-privilege enforcement; workload-to-workload denies; missing tags or labels; policy drift after migration; unexpected east-west access.</w:t>
            </w:r>
          </w:p>
        </w:tc>
      </w:tr>
      <w:tr>
        <w:trPr>
          <w:cantSplit/>
        </w:trPr>
        <w:tc>
          <w:tcPr>
            <w:tcW w:type="dxa" w:w="4848"/>
            <w:shd w:fill="F8FAFC"/>
            <w:tcMar>
              <w:top w:w="60" w:type="dxa"/>
              <w:start w:w="60" w:type="dxa"/>
              <w:bottom w:w="60" w:type="dxa"/>
              <w:end w:w="60" w:type="dxa"/>
            </w:tcMar>
          </w:tcPr>
          <w:p>
            <w:pPr>
              <w:spacing w:after="0" w:before="0"/>
              <w:jc w:val="left"/>
            </w:pPr>
            <w:r/>
            <w:r>
              <w:rPr>
                <w:rFonts w:ascii="Arial" w:hAnsi="Arial" w:eastAsia="Arial"/>
                <w:b/>
                <w:i w:val="0"/>
                <w:color w:val="222222"/>
                <w:sz w:val="15"/>
              </w:rPr>
              <w:t>Legacy GXO DC - Transitional</w:t>
            </w:r>
          </w:p>
        </w:tc>
        <w:tc>
          <w:tcPr>
            <w:tcW w:type="dxa" w:w="4848"/>
            <w:shd w:fill="FFFFFF"/>
            <w:tcMar>
              <w:top w:w="60" w:type="dxa"/>
              <w:start w:w="60" w:type="dxa"/>
              <w:bottom w:w="60" w:type="dxa"/>
              <w:end w:w="60" w:type="dxa"/>
            </w:tcMar>
          </w:tcPr>
          <w:p>
            <w:pPr>
              <w:spacing w:after="0" w:before="0"/>
              <w:jc w:val="left"/>
            </w:pPr>
            <w:r/>
            <w:r>
              <w:rPr>
                <w:rFonts w:ascii="Arial" w:hAnsi="Arial" w:eastAsia="Arial"/>
                <w:b w:val="0"/>
                <w:i w:val="0"/>
                <w:color w:val="222222"/>
                <w:sz w:val="15"/>
              </w:rPr>
              <w:t>Hub-like inspection and enforcement logs for DC-hosted services; service-based rule hits; IPS/IDS; anti-malware; DNS security where in path; policy changes.</w:t>
            </w:r>
          </w:p>
        </w:tc>
        <w:tc>
          <w:tcPr>
            <w:tcW w:type="dxa" w:w="4848"/>
            <w:shd w:fill="FFFFFF"/>
            <w:tcMar>
              <w:top w:w="60" w:type="dxa"/>
              <w:start w:w="60" w:type="dxa"/>
              <w:bottom w:w="60" w:type="dxa"/>
              <w:end w:w="60" w:type="dxa"/>
            </w:tcMar>
          </w:tcPr>
          <w:p>
            <w:pPr>
              <w:spacing w:after="0" w:before="0"/>
              <w:jc w:val="left"/>
            </w:pPr>
            <w:r/>
            <w:r>
              <w:rPr>
                <w:rFonts w:ascii="Arial" w:hAnsi="Arial" w:eastAsia="Arial"/>
                <w:b w:val="0"/>
                <w:i w:val="0"/>
                <w:color w:val="222222"/>
                <w:sz w:val="15"/>
              </w:rPr>
              <w:t>Dependency retirement; transitional rule usage; migration readiness; exception review; validation that controls move to Tier 3 as workloads migrate.</w:t>
            </w:r>
          </w:p>
        </w:tc>
      </w:tr>
    </w:tbl>
    <w:p>
      <w:pPr>
        <w:pStyle w:val="Heading2"/>
      </w:pPr>
      <w:r>
        <w:t>Minimum Monitoring Use Cases</w:t>
      </w:r>
    </w:p>
    <w:p>
      <w:pPr>
        <w:pStyle w:val="ListBullet"/>
        <w:spacing w:after="40"/>
      </w:pPr>
      <w:r>
        <w:t>Denied traffic between Warehouse Ops, Automation, site systems, WMS Cloud, and WMS DC that does not match an approved flow.</w:t>
      </w:r>
    </w:p>
    <w:p>
      <w:pPr>
        <w:pStyle w:val="ListBullet"/>
        <w:spacing w:after="40"/>
      </w:pPr>
      <w:r>
        <w:t>Denied or allowed site-to-site exception traffic, including source, destination, rule owner, approval reference, and review date.</w:t>
      </w:r>
    </w:p>
    <w:p>
      <w:pPr>
        <w:pStyle w:val="ListBullet"/>
        <w:spacing w:after="40"/>
      </w:pPr>
      <w:r>
        <w:t>Any high-severity IPS/IDS, anti-malware, threat-intelligence, DNS, or DLP event at the point of record for that traffic path.</w:t>
      </w:r>
    </w:p>
    <w:p>
      <w:pPr>
        <w:pStyle w:val="ListBullet"/>
        <w:spacing w:after="40"/>
      </w:pPr>
      <w:r>
        <w:t>Rule changes, policy changes, disabled controls, inspection bypasses, and expired exceptions.</w:t>
      </w:r>
    </w:p>
    <w:p>
      <w:pPr>
        <w:pStyle w:val="ListBullet"/>
        <w:spacing w:after="40"/>
      </w:pPr>
      <w:r>
        <w:t>Migration-related transitional rules that continue to allow WMS DC or GXO DC access after equivalent cloud workload controls are available.</w:t>
      </w:r>
    </w:p>
    <w:p>
      <w:pPr>
        <w:pStyle w:val="Heading2"/>
      </w:pPr>
      <w:r>
        <w:t>Suggested Closing Language for the Strategy</w:t>
      </w:r>
    </w:p>
    <w:p>
      <w:pPr>
        <w:pStyle w:val="BodyText"/>
        <w:spacing w:after="0"/>
      </w:pPr>
      <w:r>
        <w:rPr>
          <w:rFonts w:ascii="Arial" w:hAnsi="Arial" w:eastAsia="Arial"/>
          <w:i/>
          <w:sz w:val="18"/>
        </w:rPr>
        <w:t>Site segmentation is enforced through a deny-by-default model. Warehouse Operations and Automation are treated as separate source types, with only approved application flows permitted between them and to GXO site systems, WMS Cloud, or transitional WMS DC services. The site firewall provides local zone separation, ACLs, stateful inspection, and logging. Deep inspection remains at the hub or GXO DC for private application traffic, while cloud workload controls provide final micro-segmentation. All enforcement decisions are centrally logged and monitored.</w:t>
      </w:r>
    </w:p>
    <w:sectPr w:rsidR="00FC693F" w:rsidRPr="0006063C" w:rsidSect="00034616">
      <w:headerReference w:type="default" r:id="rId9"/>
      <w:footerReference w:type="default" r:id="rId10"/>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6666"/>
        <w:sz w:val="16"/>
      </w:rPr>
      <w:t>Site Segmentation and Logging Addendum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666666"/>
        <w:sz w:val="16"/>
      </w:rPr>
      <w:t>GXO Network Security &amp; Segmentation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222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0404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18"/>
    </w:rPr>
  </w:style>
  <w:style w:type="paragraph" w:styleId="ListBullet2">
    <w:name w:val="List Bullet 2"/>
    <w:basedOn w:val="Normal"/>
    <w:uiPriority w:val="99"/>
    <w:unhideWhenUsed/>
    <w:rsid w:val="00326F90"/>
    <w:pPr>
      <w:numPr>
        <w:numId w:val="2"/>
      </w:numPr>
      <w:contextualSpacing/>
    </w:pPr>
    <w:rPr>
      <w:rFonts w:ascii="Arial" w:hAnsi="Arial" w:eastAsia="Arial"/>
      <w:sz w:val="16"/>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