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595959"/>
          <w:sz w:val="28"/>
          <w:szCs w:val="28"/>
        </w:rPr>
        <w:t xml:space="preserve">SMD Information Security</w:t>
      </w:r>
    </w:p>
    <w:p>
      <w:pPr>
        <w:spacing w:after="200"/>
        <w:jc w:val="center"/>
      </w:pPr>
      <w:r>
        <w:rPr>
          <w:rFonts w:ascii="Calibri" w:cs="Calibri" w:eastAsia="Calibri" w:hAnsi="Calibri"/>
          <w:b/>
          <w:bCs/>
          <w:color w:val="8A0F1B"/>
          <w:sz w:val="56"/>
          <w:szCs w:val="56"/>
        </w:rPr>
        <w:t xml:space="preserve">AI-Assisted IDEs and Coding Agents</w:t>
      </w:r>
    </w:p>
    <w:p>
      <w:pPr>
        <w:spacing w:after="400"/>
        <w:jc w:val="center"/>
      </w:pPr>
      <w:r>
        <w:rPr>
          <w:rFonts w:ascii="Calibri" w:cs="Calibri" w:eastAsia="Calibri" w:hAnsi="Calibri"/>
          <w:sz w:val="32"/>
          <w:szCs w:val="32"/>
        </w:rPr>
        <w:t xml:space="preserve">Compensating Controls Package — Interim Enablement and Target State</w:t>
      </w:r>
    </w:p>
    <w:p>
      <w:pPr>
        <w:spacing w:after="160" w:before="0"/>
        <w:jc w:val="center"/>
      </w:pPr>
      <w:r>
        <w:rPr>
          <w:rFonts w:ascii="Calibri" w:cs="Calibri" w:eastAsia="Calibri" w:hAnsi="Calibri"/>
          <w:color w:val="595959"/>
          <w:sz w:val="22"/>
          <w:szCs w:val="22"/>
        </w:rPr>
        <w:t xml:space="preserve">Scope: Cursor, Claude Code, Claude Cowork, VS Code on SMD IQ Platform team workstations</w:t>
      </w:r>
    </w:p>
    <w:p>
      <w:pPr>
        <w:spacing w:after="160" w:before="0"/>
        <w:jc w:val="center"/>
      </w:pPr>
      <w:r>
        <w:rPr>
          <w:rFonts w:ascii="Calibri" w:cs="Calibri" w:eastAsia="Calibri" w:hAnsi="Calibri"/>
          <w:color w:val="595959"/>
          <w:sz w:val="22"/>
          <w:szCs w:val="22"/>
        </w:rPr>
        <w:t xml:space="preserve">Reference: email thread "SMD IQ – Installation of Cursor, Claude Code/Cowork, and VS Code" (Jul 8–9, 2026)</w:t>
      </w:r>
    </w:p>
    <w:p>
      <w:pPr>
        <w:spacing w:after="160" w:before="0"/>
        <w:jc w:val="center"/>
      </w:pPr>
      <w:r>
        <w:rPr>
          <w:rFonts w:ascii="Calibri" w:cs="Calibri" w:eastAsia="Calibri" w:hAnsi="Calibri"/>
          <w:color w:val="595959"/>
          <w:sz w:val="22"/>
          <w:szCs w:val="22"/>
        </w:rPr>
        <w:t xml:space="preserve">Version 0.9 (draft for review)  ·  13 July 2026  ·  Classification: SMD – Confidential</w:t>
      </w:r>
    </w:p>
    <w:p>
      <w:r>
        <w:br w:type="page"/>
      </w:r>
    </w:p>
    <w:p>
      <w:pPr>
        <w:pStyle w:val="Heading1"/>
        <w:spacing w:after="160" w:before="320"/>
      </w:pPr>
      <w:r>
        <w:rPr>
          <w:rFonts w:ascii="Calibri" w:cs="Calibri" w:eastAsia="Calibri" w:hAnsi="Calibri"/>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Executive summary and decision ask</w:t>
      </w:r>
    </w:p>
    <w:p>
      <w:pPr>
        <w:spacing w:after="160" w:before="0"/>
      </w:pPr>
      <w:r>
        <w:rPr>
          <w:rFonts w:ascii="Calibri" w:cs="Calibri" w:eastAsia="Calibri" w:hAnsi="Calibri"/>
          <w:sz w:val="22"/>
          <w:szCs w:val="22"/>
        </w:rPr>
        <w:t xml:space="preserve">SMD IQ has requested Cursor, Claude Code, Claude Cowork, and VS Code on developer workstations. Security’s stated position in the referenced thread is to require SMD-hosted LLMs on our managed Vertex environment and to prioritize the Enterprise AI Gateway over interim third-party use. This package (a) defines the compensating controls that make an interim rollout safe, (b) corrects two factual assumptions in the thread that materially change the tool-by-tool decision, and (c) specifies the requirements the Gateway must meet so the interim controls converge on the target state rather than diverging from it.</w:t>
      </w:r>
    </w:p>
    <w:p>
      <w:pPr>
        <w:spacing w:after="160" w:before="0"/>
      </w:pPr>
      <w:r>
        <w:rPr>
          <w:rFonts w:ascii="Calibri" w:cs="Calibri" w:eastAsia="Calibri" w:hAnsi="Calibri"/>
          <w:b/>
          <w:bCs/>
          <w:sz w:val="22"/>
          <w:szCs w:val="22"/>
        </w:rPr>
        <w:t xml:space="preserve">Three findings drive the recommendations:</w:t>
      </w:r>
    </w:p>
    <w:p>
      <w:pPr>
        <w:pStyle w:val="ListParagraph"/>
        <w:numPr>
          <w:ilvl w:val="0"/>
          <w:numId w:val="2"/>
        </w:numPr>
        <w:spacing w:after="80"/>
      </w:pPr>
      <w:r>
        <w:rPr>
          <w:rFonts w:ascii="Calibri" w:cs="Calibri" w:eastAsia="Calibri" w:hAnsi="Calibri"/>
          <w:sz w:val="22"/>
          <w:szCs w:val="22"/>
        </w:rPr>
        <w:t xml:space="preserve">"Route everything to SMD Vertex" is necessary but not sufficient. It resolves third-party model retention/training and the contractual position of the model call. It does not address prompt injection, autonomous local execution, developer input-side leakage, the tools’ own vendor backends and telemetry, MCP/extension supply chain, or the loss of a forensic trail. Those risks require the endpoint, network, and monitoring controls in Section 4 regardless of where the model is hosted.</w:t>
      </w:r>
    </w:p>
    <w:p>
      <w:pPr>
        <w:pStyle w:val="ListParagraph"/>
        <w:numPr>
          <w:ilvl w:val="0"/>
          <w:numId w:val="2"/>
        </w:numPr>
        <w:spacing w:after="80"/>
      </w:pPr>
      <w:r>
        <w:rPr>
          <w:rFonts w:ascii="Calibri" w:cs="Calibri" w:eastAsia="Calibri" w:hAnsi="Calibri"/>
          <w:sz w:val="22"/>
          <w:szCs w:val="22"/>
        </w:rPr>
        <w:t xml:space="preserve">The four tools have fundamentally different data boundaries and must not be approved as one bucket. Claude Code connects directly from the workstation to our Vertex endpoint and is enforceable via managed settings (meets the boundary requirement). Claude Cowork now supports the same pattern: since April 2026 Anthropic supports deploying Cowork against Google Vertex AI under MDM policy — the thread’s statement that "Cowork does not work with Vertex hosted models" is out of date. Cursor is the opposite of what the thread assumed: by Cursor’s own documentation, all requests transit Cursor’s backend for final prompt construction even with customer-supplied keys, key-based routing covers chat only, and Vertex is not a supported provider — Cursor cannot currently satisfy the "SMD-hosted LLMs only" constraint at all. VS Code itself makes no model calls; its risk is telemetry and extension supply chain, both centrally controllable by policy.</w:t>
      </w:r>
    </w:p>
    <w:p>
      <w:pPr>
        <w:pStyle w:val="ListParagraph"/>
        <w:numPr>
          <w:ilvl w:val="0"/>
          <w:numId w:val="2"/>
        </w:numPr>
        <w:spacing w:after="80"/>
      </w:pPr>
      <w:r>
        <w:rPr>
          <w:rFonts w:ascii="Calibri" w:cs="Calibri" w:eastAsia="Calibri" w:hAnsi="Calibri"/>
          <w:sz w:val="22"/>
          <w:szCs w:val="22"/>
        </w:rPr>
        <w:t xml:space="preserve">The forensic gap is closable. Claude Code and Cowork export OpenTelemetry (permission decisions, tool executions, API metadata) to a collector we operate; combined with Vertex Cloud Audit Logs, per-developer GCP identity, and egress proxy logs, Security regains an investigable trail for agent activity that native SIEM/EDR cannot attribute.</w:t>
      </w:r>
    </w:p>
    <w:p>
      <w:pPr>
        <w:spacing w:after="160" w:before="0"/>
      </w:pPr>
      <w:r>
        <w:rPr>
          <w:rFonts w:ascii="Calibri" w:cs="Calibri" w:eastAsia="Calibri" w:hAnsi="Calibri"/>
          <w:sz w:val="22"/>
          <w:szCs w:val="22"/>
        </w:rPr>
        <w:t xml:space="preserve">Decision ask: approve (1) the Phase 0 baseline controls, (2) a 30-day Claude Code-on-Vertex pilot for the SMD IQ team under managed settings, (3) a scoped Phase 2 Cowork pilot on the Vertex third-party deployment mode, and (4) deferral of Cursor pending vendor risk assessment, with the conditional-approval requirements in Section 3.3 if the business case demands it earlier. Section 6 answers the process questions raised by SMD IQ (approval workflow, procurement, licensing).</w:t>
      </w:r>
    </w:p>
    <w:p>
      <w:pPr>
        <w:pStyle w:val="Heading1"/>
        <w:spacing w:after="160" w:before="320"/>
      </w:pPr>
      <w:r>
        <w:rPr>
          <w:rFonts w:ascii="Calibri" w:cs="Calibri" w:eastAsia="Calibri" w:hAnsi="Calibri"/>
        </w:rPr>
        <w:t xml:space="preserve">2. What routing to SMD Vertex solves — and what it does not</w:t>
      </w:r>
    </w:p>
    <w:p>
      <w:pPr>
        <w:pStyle w:val="Heading2"/>
        <w:spacing w:after="120" w:before="260"/>
      </w:pPr>
      <w:r>
        <w:rPr>
          <w:rFonts w:ascii="Calibri" w:cs="Calibri" w:eastAsia="Calibri" w:hAnsi="Calibri"/>
        </w:rPr>
        <w:t xml:space="preserve">2.1 What it solves</w:t>
      </w:r>
    </w:p>
    <w:p>
      <w:pPr>
        <w:spacing w:after="160" w:before="0"/>
      </w:pPr>
      <w:r>
        <w:rPr>
          <w:rFonts w:ascii="Calibri" w:cs="Calibri" w:eastAsia="Calibri" w:hAnsi="Calibri"/>
          <w:sz w:val="22"/>
          <w:szCs w:val="22"/>
        </w:rPr>
        <w:t xml:space="preserve">When a tool genuinely connects from the workstation to a Claude or Gemini endpoint inside a SMD-owned GCP project, the model call inherits our Google Cloud commercial and technical posture: prompts and outputs are processed under SMD’s GCP agreement rather than a consumer or vendor ToS; partner-model inputs are not used to train models; access is authenticated with SMD IAM identities (auditable, revocable, least-privilege via roles/aiplatform.user); regions can be pinned for residency; spend is governed by GCP budgets and quotas; and the endpoint can sit inside a VPC Service Controls perimeter. This fully addresses points 1 and 2 of the security position in the thread (paying with data; training/retention by third-party model hosts) — for the model call.</w:t>
      </w:r>
    </w:p>
    <w:p>
      <w:pPr>
        <w:spacing w:after="160" w:before="0"/>
      </w:pPr>
      <w:r>
        <w:rPr>
          <w:rFonts w:ascii="Calibri" w:cs="Calibri" w:eastAsia="Calibri" w:hAnsi="Calibri"/>
          <w:i/>
          <w:iCs/>
          <w:sz w:val="22"/>
          <w:szCs w:val="22"/>
        </w:rPr>
        <w:t xml:space="preserve">One documented exception to note: the Vertex-side web search capability for partner models sends search queries to a third-party search provider outside standard GCP residency/CMEK commitments, and is disabled by default via the org policy constraint constraints/vertexai.allowedPartnerModelFeatures. Keep it disabled; VPC Service Controls block it anyway.</w:t>
      </w:r>
    </w:p>
    <w:p>
      <w:pPr>
        <w:pStyle w:val="Heading2"/>
        <w:spacing w:after="120" w:before="260"/>
      </w:pPr>
      <w:r>
        <w:rPr>
          <w:rFonts w:ascii="Calibri" w:cs="Calibri" w:eastAsia="Calibri" w:hAnsi="Calibri"/>
        </w:rPr>
        <w:t xml:space="preserve">2.2 What it does not solve: the residual risk register</w:t>
      </w:r>
    </w:p>
    <w:p>
      <w:pPr>
        <w:spacing w:after="160" w:before="0"/>
      </w:pPr>
      <w:r>
        <w:rPr>
          <w:rFonts w:ascii="Calibri" w:cs="Calibri" w:eastAsia="Calibri" w:hAnsi="Calibri"/>
          <w:sz w:val="22"/>
          <w:szCs w:val="22"/>
        </w:rPr>
        <w:t xml:space="preserve">The agentic risk is mostly not about where the model lives. It is about what the agent can read, what it will obey, what it can execute, and whether we can reconstruct what happened. The controls in Section 4 map to these six residual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760"/>
        <w:gridCol w:w="2200"/>
      </w:tblGrid>
      <w:tr>
        <w:trPr>
          <w:tblHeader/>
        </w:trPr>
        <w:tc>
          <w:tcPr>
            <w:tcW w:type="dxa" w:w="9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ID</w:t>
            </w:r>
          </w:p>
        </w:tc>
        <w:tc>
          <w:tcPr>
            <w:tcW w:type="dxa" w:w="25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Residual risk</w:t>
            </w:r>
          </w:p>
        </w:tc>
        <w:tc>
          <w:tcPr>
            <w:tcW w:type="dxa" w:w="376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Why Vertex routing does not help</w:t>
            </w:r>
          </w:p>
        </w:tc>
        <w:tc>
          <w:tcPr>
            <w:tcW w:type="dxa" w:w="22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Primary exposure</w:t>
            </w:r>
          </w:p>
        </w:tc>
      </w:tr>
      <w:tr>
        <w:tc>
          <w:tcPr>
            <w:tcW w:type="dxa" w:w="900"/>
            <w:tcMar>
              <w:top w:type="dxa" w:w="60"/>
              <w:left w:type="dxa" w:w="100"/>
              <w:bottom w:type="dxa" w:w="60"/>
              <w:right w:type="dxa" w:w="100"/>
            </w:tcMar>
          </w:tcPr>
          <w:p>
            <w:pPr>
              <w:spacing w:after="40" w:before="40"/>
            </w:pPr>
            <w:r>
              <w:rPr>
                <w:rFonts w:ascii="Calibri" w:cs="Calibri" w:eastAsia="Calibri" w:hAnsi="Calibri"/>
                <w:sz w:val="20"/>
                <w:szCs w:val="20"/>
              </w:rPr>
              <w:t xml:space="preserve">R1</w:t>
            </w:r>
          </w:p>
        </w:tc>
        <w:tc>
          <w:tcPr>
            <w:tcW w:type="dxa" w:w="2500"/>
            <w:tcMar>
              <w:top w:type="dxa" w:w="60"/>
              <w:left w:type="dxa" w:w="100"/>
              <w:bottom w:type="dxa" w:w="60"/>
              <w:right w:type="dxa" w:w="100"/>
            </w:tcMar>
          </w:tcPr>
          <w:p>
            <w:pPr>
              <w:spacing w:after="40" w:before="40"/>
            </w:pPr>
            <w:r>
              <w:rPr>
                <w:rFonts w:ascii="Calibri" w:cs="Calibri" w:eastAsia="Calibri" w:hAnsi="Calibri"/>
                <w:sz w:val="20"/>
                <w:szCs w:val="20"/>
              </w:rPr>
              <w:t xml:space="preserve">Prompt injection / cross-prompt injection</w:t>
            </w:r>
          </w:p>
        </w:tc>
        <w:tc>
          <w:tcPr>
            <w:tcW w:type="dxa" w:w="3760"/>
            <w:tcMar>
              <w:top w:type="dxa" w:w="60"/>
              <w:left w:type="dxa" w:w="100"/>
              <w:bottom w:type="dxa" w:w="60"/>
              <w:right w:type="dxa" w:w="100"/>
            </w:tcMar>
          </w:tcPr>
          <w:p>
            <w:pPr>
              <w:spacing w:after="40" w:before="40"/>
            </w:pPr>
            <w:r>
              <w:rPr>
                <w:rFonts w:ascii="Calibri" w:cs="Calibri" w:eastAsia="Calibri" w:hAnsi="Calibri"/>
                <w:sz w:val="20"/>
                <w:szCs w:val="20"/>
              </w:rPr>
              <w:t xml:space="preserve">Malicious instructions embedded in repo files, READMEs, issues, dependency docs, web pages, or MCP tool descriptions steer the agent into exfiltration or destructive actions. A Vertex-hosted model obeys injected instructions exactly as a vendor-hosted one does. Precedent: 2025 Cursor CVEs including RCE via MCP prompt injection ("CurXecute").</w:t>
            </w:r>
          </w:p>
        </w:tc>
        <w:tc>
          <w:tcPr>
            <w:tcW w:type="dxa" w:w="2200"/>
            <w:tcMar>
              <w:top w:type="dxa" w:w="60"/>
              <w:left w:type="dxa" w:w="100"/>
              <w:bottom w:type="dxa" w:w="60"/>
              <w:right w:type="dxa" w:w="100"/>
            </w:tcMar>
          </w:tcPr>
          <w:p>
            <w:pPr>
              <w:spacing w:after="40" w:before="40"/>
            </w:pPr>
            <w:r>
              <w:rPr>
                <w:rFonts w:ascii="Calibri" w:cs="Calibri" w:eastAsia="Calibri" w:hAnsi="Calibri"/>
                <w:sz w:val="20"/>
                <w:szCs w:val="20"/>
              </w:rPr>
              <w:t xml:space="preserve">All agentic tools; highest where WebFetch/WebSearch/MCP enabled</w:t>
            </w:r>
          </w:p>
        </w:tc>
      </w:tr>
      <w:tr>
        <w:tc>
          <w:tcPr>
            <w:tcW w:type="dxa" w:w="9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R2</w:t>
            </w:r>
          </w:p>
        </w:tc>
        <w:tc>
          <w:tcPr>
            <w:tcW w:type="dxa" w:w="25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Autonomous local execution</w:t>
            </w:r>
          </w:p>
        </w:tc>
        <w:tc>
          <w:tcPr>
            <w:tcW w:type="dxa" w:w="37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Agents run shell commands, edit files, install packages, and call networks with the developer’s privileges. Blast radius is the workstation, repos, credentials on disk, and anything the dev can reach — independent of model host.</w:t>
            </w:r>
          </w:p>
        </w:tc>
        <w:tc>
          <w:tcPr>
            <w:tcW w:type="dxa" w:w="22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Claude Code, Cowork, Cursor agent</w:t>
            </w:r>
          </w:p>
        </w:tc>
      </w:tr>
      <w:tr>
        <w:tc>
          <w:tcPr>
            <w:tcW w:type="dxa" w:w="900"/>
            <w:tcMar>
              <w:top w:type="dxa" w:w="60"/>
              <w:left w:type="dxa" w:w="100"/>
              <w:bottom w:type="dxa" w:w="60"/>
              <w:right w:type="dxa" w:w="100"/>
            </w:tcMar>
          </w:tcPr>
          <w:p>
            <w:pPr>
              <w:spacing w:after="40" w:before="40"/>
            </w:pPr>
            <w:r>
              <w:rPr>
                <w:rFonts w:ascii="Calibri" w:cs="Calibri" w:eastAsia="Calibri" w:hAnsi="Calibri"/>
                <w:sz w:val="20"/>
                <w:szCs w:val="20"/>
              </w:rPr>
              <w:t xml:space="preserve">R3</w:t>
            </w:r>
          </w:p>
        </w:tc>
        <w:tc>
          <w:tcPr>
            <w:tcW w:type="dxa" w:w="2500"/>
            <w:tcMar>
              <w:top w:type="dxa" w:w="60"/>
              <w:left w:type="dxa" w:w="100"/>
              <w:bottom w:type="dxa" w:w="60"/>
              <w:right w:type="dxa" w:w="100"/>
            </w:tcMar>
          </w:tcPr>
          <w:p>
            <w:pPr>
              <w:spacing w:after="40" w:before="40"/>
            </w:pPr>
            <w:r>
              <w:rPr>
                <w:rFonts w:ascii="Calibri" w:cs="Calibri" w:eastAsia="Calibri" w:hAnsi="Calibri"/>
                <w:sz w:val="20"/>
                <w:szCs w:val="20"/>
              </w:rPr>
              <w:t xml:space="preserve">Input-side data leakage</w:t>
            </w:r>
          </w:p>
        </w:tc>
        <w:tc>
          <w:tcPr>
            <w:tcW w:type="dxa" w:w="3760"/>
            <w:tcMar>
              <w:top w:type="dxa" w:w="60"/>
              <w:left w:type="dxa" w:w="100"/>
              <w:bottom w:type="dxa" w:w="60"/>
              <w:right w:type="dxa" w:w="100"/>
            </w:tcMar>
          </w:tcPr>
          <w:p>
            <w:pPr>
              <w:spacing w:after="40" w:before="40"/>
            </w:pPr>
            <w:r>
              <w:rPr>
                <w:rFonts w:ascii="Calibri" w:cs="Calibri" w:eastAsia="Calibri" w:hAnsi="Calibri"/>
                <w:sz w:val="20"/>
                <w:szCs w:val="20"/>
              </w:rPr>
              <w:t xml:space="preserve">Developers paste secrets, PII, or customer data into prompts, or the agent reads .env/key files as context. "Inside the boundary" is not "inside policy": the data still lands in local transcripts, telemetry, and cloud logs.</w:t>
            </w:r>
          </w:p>
        </w:tc>
        <w:tc>
          <w:tcPr>
            <w:tcW w:type="dxa" w:w="2200"/>
            <w:tcMar>
              <w:top w:type="dxa" w:w="60"/>
              <w:left w:type="dxa" w:w="100"/>
              <w:bottom w:type="dxa" w:w="60"/>
              <w:right w:type="dxa" w:w="100"/>
            </w:tcMar>
          </w:tcPr>
          <w:p>
            <w:pPr>
              <w:spacing w:after="40" w:before="40"/>
            </w:pPr>
            <w:r>
              <w:rPr>
                <w:rFonts w:ascii="Calibri" w:cs="Calibri" w:eastAsia="Calibri" w:hAnsi="Calibri"/>
                <w:sz w:val="20"/>
                <w:szCs w:val="20"/>
              </w:rPr>
              <w:t xml:space="preserve">All tools</w:t>
            </w:r>
          </w:p>
        </w:tc>
      </w:tr>
      <w:tr>
        <w:tc>
          <w:tcPr>
            <w:tcW w:type="dxa" w:w="9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R4</w:t>
            </w:r>
          </w:p>
        </w:tc>
        <w:tc>
          <w:tcPr>
            <w:tcW w:type="dxa" w:w="25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Tool vendor backend and telemetry</w:t>
            </w:r>
          </w:p>
        </w:tc>
        <w:tc>
          <w:tcPr>
            <w:tcW w:type="dxa" w:w="37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These are separate data flows from the model call. Cursor performs server-side prompt assembly and stores codebase embeddings on its infrastructure by design; Claude Code has optional vendor operational telemetry (Statsig) and error reporting (Sentry); VS Code and extensions emit product telemetry. Vertex routing touches none of this.</w:t>
            </w:r>
          </w:p>
        </w:tc>
        <w:tc>
          <w:tcPr>
            <w:tcW w:type="dxa" w:w="22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Cursor (structural); Claude Code/VS Code (configurable)</w:t>
            </w:r>
          </w:p>
        </w:tc>
      </w:tr>
      <w:tr>
        <w:tc>
          <w:tcPr>
            <w:tcW w:type="dxa" w:w="900"/>
            <w:tcMar>
              <w:top w:type="dxa" w:w="60"/>
              <w:left w:type="dxa" w:w="100"/>
              <w:bottom w:type="dxa" w:w="60"/>
              <w:right w:type="dxa" w:w="100"/>
            </w:tcMar>
          </w:tcPr>
          <w:p>
            <w:pPr>
              <w:spacing w:after="40" w:before="40"/>
            </w:pPr>
            <w:r>
              <w:rPr>
                <w:rFonts w:ascii="Calibri" w:cs="Calibri" w:eastAsia="Calibri" w:hAnsi="Calibri"/>
                <w:sz w:val="20"/>
                <w:szCs w:val="20"/>
              </w:rPr>
              <w:t xml:space="preserve">R5</w:t>
            </w:r>
          </w:p>
        </w:tc>
        <w:tc>
          <w:tcPr>
            <w:tcW w:type="dxa" w:w="2500"/>
            <w:tcMar>
              <w:top w:type="dxa" w:w="60"/>
              <w:left w:type="dxa" w:w="100"/>
              <w:bottom w:type="dxa" w:w="60"/>
              <w:right w:type="dxa" w:w="100"/>
            </w:tcMar>
          </w:tcPr>
          <w:p>
            <w:pPr>
              <w:spacing w:after="40" w:before="40"/>
            </w:pPr>
            <w:r>
              <w:rPr>
                <w:rFonts w:ascii="Calibri" w:cs="Calibri" w:eastAsia="Calibri" w:hAnsi="Calibri"/>
                <w:sz w:val="20"/>
                <w:szCs w:val="20"/>
              </w:rPr>
              <w:t xml:space="preserve">MCP / extension / plugin supply chain</w:t>
            </w:r>
          </w:p>
        </w:tc>
        <w:tc>
          <w:tcPr>
            <w:tcW w:type="dxa" w:w="3760"/>
            <w:tcMar>
              <w:top w:type="dxa" w:w="60"/>
              <w:left w:type="dxa" w:w="100"/>
              <w:bottom w:type="dxa" w:w="60"/>
              <w:right w:type="dxa" w:w="100"/>
            </w:tcMar>
          </w:tcPr>
          <w:p>
            <w:pPr>
              <w:spacing w:after="40" w:before="40"/>
            </w:pPr>
            <w:r>
              <w:rPr>
                <w:rFonts w:ascii="Calibri" w:cs="Calibri" w:eastAsia="Calibri" w:hAnsi="Calibri"/>
                <w:sz w:val="20"/>
                <w:szCs w:val="20"/>
              </w:rPr>
              <w:t xml:space="preserve">MCP servers are arbitrary code plus model-visible tool descriptions (an injection channel); marketplace extensions and plugins are unvetted third-party code with auto-update channels. Model host is irrelevant.</w:t>
            </w:r>
          </w:p>
        </w:tc>
        <w:tc>
          <w:tcPr>
            <w:tcW w:type="dxa" w:w="2200"/>
            <w:tcMar>
              <w:top w:type="dxa" w:w="60"/>
              <w:left w:type="dxa" w:w="100"/>
              <w:bottom w:type="dxa" w:w="60"/>
              <w:right w:type="dxa" w:w="100"/>
            </w:tcMar>
          </w:tcPr>
          <w:p>
            <w:pPr>
              <w:spacing w:after="40" w:before="40"/>
            </w:pPr>
            <w:r>
              <w:rPr>
                <w:rFonts w:ascii="Calibri" w:cs="Calibri" w:eastAsia="Calibri" w:hAnsi="Calibri"/>
                <w:sz w:val="20"/>
                <w:szCs w:val="20"/>
              </w:rPr>
              <w:t xml:space="preserve">VS Code, Cursor, Claude Code, Cowork</w:t>
            </w:r>
          </w:p>
        </w:tc>
      </w:tr>
      <w:tr>
        <w:tc>
          <w:tcPr>
            <w:tcW w:type="dxa" w:w="9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R6</w:t>
            </w:r>
          </w:p>
        </w:tc>
        <w:tc>
          <w:tcPr>
            <w:tcW w:type="dxa" w:w="25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Loss of forensic trail</w:t>
            </w:r>
          </w:p>
        </w:tc>
        <w:tc>
          <w:tcPr>
            <w:tcW w:type="dxa" w:w="37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Agent-initiated actions execute as the developer. Native SIEM/EDR sees processes and file writes but cannot attribute them to a prompt, distinguish human from model action, or reconstruct the instruction chain. Vertex audit logs cover the API call, not local tool activity.</w:t>
            </w:r>
          </w:p>
        </w:tc>
        <w:tc>
          <w:tcPr>
            <w:tcW w:type="dxa" w:w="22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All agentic tools</w:t>
            </w:r>
          </w:p>
        </w:tc>
      </w:tr>
    </w:tbl>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Implication for the thread: the review Dan’s team is performing should treat "Vertex-only routing" as one control (CC-02) inside a compensating-controls set, not as the control. Approving tools on the routing test alone would leave R1–R3 and R5–R6 unmitigated, and — in Cursor’s case — would approve a tool that does not actually pass the routing test.</w:t>
      </w:r>
    </w:p>
    <w:p>
      <w:pPr>
        <w:pStyle w:val="Heading1"/>
        <w:spacing w:after="160" w:before="320"/>
      </w:pPr>
      <w:r>
        <w:rPr>
          <w:rFonts w:ascii="Calibri" w:cs="Calibri" w:eastAsia="Calibri" w:hAnsi="Calibri"/>
        </w:rPr>
        <w:t xml:space="preserve">3. Tool-by-tool data-boundary assessment</w:t>
      </w:r>
    </w:p>
    <w:p>
      <w:pPr>
        <w:spacing w:after="160" w:before="0"/>
      </w:pPr>
      <w:r>
        <w:rPr>
          <w:rFonts w:ascii="Calibri" w:cs="Calibri" w:eastAsia="Calibri" w:hAnsi="Calibri"/>
          <w:sz w:val="22"/>
          <w:szCs w:val="22"/>
        </w:rPr>
        <w:t xml:space="preserve">The decisive distinction is between "the tool lets you select a model hosted on Vertex" and "the tool keeps our code inside our boundary." A tool passes only if the request path is workstation → SMD Vertex endpoint, with no vendor infrastructure in the prompt path, and the configuration is centrally enforceable so a developer cannot silently re-point it. Assessed against that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2100"/>
        <w:gridCol w:w="1560"/>
      </w:tblGrid>
      <w:tr>
        <w:trPr>
          <w:tblHeader/>
        </w:trPr>
        <w:tc>
          <w:tcPr>
            <w:tcW w:type="dxa" w:w="15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Tool</w:t>
            </w:r>
          </w:p>
        </w:tc>
        <w:tc>
          <w:tcPr>
            <w:tcW w:type="dxa" w:w="23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Actual prompt path</w:t>
            </w:r>
          </w:p>
        </w:tc>
        <w:tc>
          <w:tcPr>
            <w:tcW w:type="dxa" w:w="19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Pinnable to SMD Vertex?</w:t>
            </w:r>
          </w:p>
        </w:tc>
        <w:tc>
          <w:tcPr>
            <w:tcW w:type="dxa" w:w="21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Enforcement mechanism</w:t>
            </w:r>
          </w:p>
        </w:tc>
        <w:tc>
          <w:tcPr>
            <w:tcW w:type="dxa" w:w="156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Interim verdict</w:t>
            </w:r>
          </w:p>
        </w:tc>
      </w:tr>
      <w:tr>
        <w:tc>
          <w:tcPr>
            <w:tcW w:type="dxa" w:w="1500"/>
            <w:tcMar>
              <w:top w:type="dxa" w:w="60"/>
              <w:left w:type="dxa" w:w="100"/>
              <w:bottom w:type="dxa" w:w="60"/>
              <w:right w:type="dxa" w:w="100"/>
            </w:tcMar>
          </w:tcPr>
          <w:p>
            <w:pPr>
              <w:spacing w:after="40" w:before="40"/>
            </w:pPr>
            <w:r>
              <w:rPr>
                <w:rFonts w:ascii="Calibri" w:cs="Calibri" w:eastAsia="Calibri" w:hAnsi="Calibri"/>
                <w:sz w:val="20"/>
                <w:szCs w:val="20"/>
              </w:rPr>
              <w:t xml:space="preserve">Claude Code (CLI + VS Code extension)</w:t>
            </w:r>
          </w:p>
        </w:tc>
        <w:tc>
          <w:tcPr>
            <w:tcW w:type="dxa" w:w="2300"/>
            <w:tcMar>
              <w:top w:type="dxa" w:w="60"/>
              <w:left w:type="dxa" w:w="100"/>
              <w:bottom w:type="dxa" w:w="60"/>
              <w:right w:type="dxa" w:w="100"/>
            </w:tcMar>
          </w:tcPr>
          <w:p>
            <w:pPr>
              <w:spacing w:after="40" w:before="40"/>
            </w:pPr>
            <w:r>
              <w:rPr>
                <w:rFonts w:ascii="Calibri" w:cs="Calibri" w:eastAsia="Calibri" w:hAnsi="Calibri"/>
                <w:sz w:val="20"/>
                <w:szCs w:val="20"/>
              </w:rPr>
              <w:t xml:space="preserve">Workstation → Vertex endpoint directly (GCP Application Default Credentials); no Anthropic backend in the inference path in Vertex mode</w:t>
            </w:r>
          </w:p>
        </w:tc>
        <w:tc>
          <w:tcPr>
            <w:tcW w:type="dxa" w:w="1900"/>
            <w:tcMar>
              <w:top w:type="dxa" w:w="60"/>
              <w:left w:type="dxa" w:w="100"/>
              <w:bottom w:type="dxa" w:w="60"/>
              <w:right w:type="dxa" w:w="100"/>
            </w:tcMar>
          </w:tcPr>
          <w:p>
            <w:pPr>
              <w:spacing w:after="40" w:before="40"/>
            </w:pPr>
            <w:r>
              <w:rPr>
                <w:rFonts w:ascii="Calibri" w:cs="Calibri" w:eastAsia="Calibri" w:hAnsi="Calibri"/>
                <w:sz w:val="20"/>
                <w:szCs w:val="20"/>
              </w:rPr>
              <w:t xml:space="preserve">Yes — CLAUDE_CODE_USE_VERTEX=1 plus project/region pinning, locked in managed settings</w:t>
            </w:r>
          </w:p>
        </w:tc>
        <w:tc>
          <w:tcPr>
            <w:tcW w:type="dxa" w:w="2100"/>
            <w:tcMar>
              <w:top w:type="dxa" w:w="60"/>
              <w:left w:type="dxa" w:w="100"/>
              <w:bottom w:type="dxa" w:w="60"/>
              <w:right w:type="dxa" w:w="100"/>
            </w:tcMar>
          </w:tcPr>
          <w:p>
            <w:pPr>
              <w:spacing w:after="40" w:before="40"/>
            </w:pPr>
            <w:r>
              <w:rPr>
                <w:rFonts w:ascii="Calibri" w:cs="Calibri" w:eastAsia="Calibri" w:hAnsi="Calibri"/>
                <w:sz w:val="20"/>
                <w:szCs w:val="20"/>
              </w:rPr>
              <w:t xml:space="preserve">managed-settings.json deployed by MDM; cannot be overridden by user, project, or CLI flags</w:t>
            </w:r>
          </w:p>
        </w:tc>
        <w:tc>
          <w:tcPr>
            <w:tcW w:type="dxa" w:w="1560"/>
            <w:tcMar>
              <w:top w:type="dxa" w:w="60"/>
              <w:left w:type="dxa" w:w="100"/>
              <w:bottom w:type="dxa" w:w="60"/>
              <w:right w:type="dxa" w:w="100"/>
            </w:tcMar>
          </w:tcPr>
          <w:p>
            <w:pPr>
              <w:spacing w:after="40" w:before="40"/>
            </w:pPr>
            <w:r>
              <w:rPr>
                <w:rFonts w:ascii="Calibri" w:cs="Calibri" w:eastAsia="Calibri" w:hAnsi="Calibri"/>
                <w:sz w:val="20"/>
                <w:szCs w:val="20"/>
              </w:rPr>
              <w:t xml:space="preserve">Approve pilot (Phase 1) with CC controls</w:t>
            </w:r>
          </w:p>
        </w:tc>
      </w:tr>
      <w:tr>
        <w:tc>
          <w:tcPr>
            <w:tcW w:type="dxa" w:w="15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Claude Cowork (Claude Desktop, Cowork/Code tabs)</w:t>
            </w:r>
          </w:p>
        </w:tc>
        <w:tc>
          <w:tcPr>
            <w:tcW w:type="dxa" w:w="23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Default consumer path is Anthropic-hosted; in third-party (3P) deployment mode, workstation → configured Vertex endpoint</w:t>
            </w:r>
          </w:p>
        </w:tc>
        <w:tc>
          <w:tcPr>
            <w:tcW w:type="dxa" w:w="19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Yes — since April 2026: MDM key inferenceProvider=vertex with project/region/credentials and pinned model IDs</w:t>
            </w:r>
          </w:p>
        </w:tc>
        <w:tc>
          <w:tcPr>
            <w:tcW w:type="dxa" w:w="2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MDM policy (.mobileconfig / .reg via Jamf, Intune, GPO) incl. MCP allowlist, signed-extension requirement, disabled built-in tools</w:t>
            </w:r>
          </w:p>
        </w:tc>
        <w:tc>
          <w:tcPr>
            <w:tcW w:type="dxa" w:w="15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Scoped Phase 2 pilot after Claude Code controls proven</w:t>
            </w:r>
          </w:p>
        </w:tc>
      </w:tr>
      <w:tr>
        <w:tc>
          <w:tcPr>
            <w:tcW w:type="dxa" w:w="1500"/>
            <w:tcMar>
              <w:top w:type="dxa" w:w="60"/>
              <w:left w:type="dxa" w:w="100"/>
              <w:bottom w:type="dxa" w:w="60"/>
              <w:right w:type="dxa" w:w="100"/>
            </w:tcMar>
          </w:tcPr>
          <w:p>
            <w:pPr>
              <w:spacing w:after="40" w:before="40"/>
            </w:pPr>
            <w:r>
              <w:rPr>
                <w:rFonts w:ascii="Calibri" w:cs="Calibri" w:eastAsia="Calibri" w:hAnsi="Calibri"/>
                <w:sz w:val="20"/>
                <w:szCs w:val="20"/>
              </w:rPr>
              <w:t xml:space="preserve">Cursor</w:t>
            </w:r>
          </w:p>
        </w:tc>
        <w:tc>
          <w:tcPr>
            <w:tcW w:type="dxa" w:w="2300"/>
            <w:tcMar>
              <w:top w:type="dxa" w:w="60"/>
              <w:left w:type="dxa" w:w="100"/>
              <w:bottom w:type="dxa" w:w="60"/>
              <w:right w:type="dxa" w:w="100"/>
            </w:tcMar>
          </w:tcPr>
          <w:p>
            <w:pPr>
              <w:spacing w:after="40" w:before="40"/>
            </w:pPr>
            <w:r>
              <w:rPr>
                <w:rFonts w:ascii="Calibri" w:cs="Calibri" w:eastAsia="Calibri" w:hAnsi="Calibri"/>
                <w:sz w:val="20"/>
                <w:szCs w:val="20"/>
              </w:rPr>
              <w:t xml:space="preserve">Workstation → Cursor backend (final prompt construction, codebase-embedding index) → model provider</w:t>
            </w:r>
          </w:p>
        </w:tc>
        <w:tc>
          <w:tcPr>
            <w:tcW w:type="dxa" w:w="1900"/>
            <w:tcMar>
              <w:top w:type="dxa" w:w="60"/>
              <w:left w:type="dxa" w:w="100"/>
              <w:bottom w:type="dxa" w:w="60"/>
              <w:right w:type="dxa" w:w="100"/>
            </w:tcMar>
          </w:tcPr>
          <w:p>
            <w:pPr>
              <w:spacing w:after="40" w:before="40"/>
            </w:pPr>
            <w:r>
              <w:rPr>
                <w:rFonts w:ascii="Calibri" w:cs="Calibri" w:eastAsia="Calibri" w:hAnsi="Calibri"/>
                <w:sz w:val="20"/>
                <w:szCs w:val="20"/>
              </w:rPr>
              <w:t xml:space="preserve">No — custom keys cover chat/plan only, require OpenAI-compatible APIs, and still transit Cursor’s backend; agent/tab/inline-edit are locked to Cursor-hosted models; Vertex remains an open feature request</w:t>
            </w:r>
          </w:p>
        </w:tc>
        <w:tc>
          <w:tcPr>
            <w:tcW w:type="dxa" w:w="2100"/>
            <w:tcMar>
              <w:top w:type="dxa" w:w="60"/>
              <w:left w:type="dxa" w:w="100"/>
              <w:bottom w:type="dxa" w:w="60"/>
              <w:right w:type="dxa" w:w="100"/>
            </w:tcMar>
          </w:tcPr>
          <w:p>
            <w:pPr>
              <w:spacing w:after="40" w:before="40"/>
            </w:pPr>
            <w:r>
              <w:rPr>
                <w:rFonts w:ascii="Calibri" w:cs="Calibri" w:eastAsia="Calibri" w:hAnsi="Calibri"/>
                <w:sz w:val="20"/>
                <w:szCs w:val="20"/>
              </w:rPr>
              <w:t xml:space="preserve">Team/Enterprise admin dashboard (enforced Privacy Mode, SSO); limited local policy</w:t>
            </w:r>
          </w:p>
        </w:tc>
        <w:tc>
          <w:tcPr>
            <w:tcW w:type="dxa" w:w="1560"/>
            <w:tcMar>
              <w:top w:type="dxa" w:w="60"/>
              <w:left w:type="dxa" w:w="100"/>
              <w:bottom w:type="dxa" w:w="60"/>
              <w:right w:type="dxa" w:w="100"/>
            </w:tcMar>
          </w:tcPr>
          <w:p>
            <w:pPr>
              <w:spacing w:after="40" w:before="40"/>
            </w:pPr>
            <w:r>
              <w:rPr>
                <w:rFonts w:ascii="Calibri" w:cs="Calibri" w:eastAsia="Calibri" w:hAnsi="Calibri"/>
                <w:sz w:val="20"/>
                <w:szCs w:val="20"/>
              </w:rPr>
              <w:t xml:space="preserve">Defer; conditional approval path in 3.3 only with explicit risk acceptance as a third-party SaaS processor</w:t>
            </w:r>
          </w:p>
        </w:tc>
      </w:tr>
      <w:tr>
        <w:tc>
          <w:tcPr>
            <w:tcW w:type="dxa" w:w="15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VS Code</w:t>
            </w:r>
          </w:p>
        </w:tc>
        <w:tc>
          <w:tcPr>
            <w:tcW w:type="dxa" w:w="23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None — editor makes no model calls itself; product telemetry and marketplace traffic only</w:t>
            </w:r>
          </w:p>
        </w:tc>
        <w:tc>
          <w:tcPr>
            <w:tcW w:type="dxa" w:w="19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n/a</w:t>
            </w:r>
          </w:p>
        </w:tc>
        <w:tc>
          <w:tcPr>
            <w:tcW w:type="dxa" w:w="2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Windows Group Policy (ADMX), macOS configuration profiles, Linux /etc/vscode policy file: TelemetryLevel, UpdateMode, AllowedExtensions, private marketplace</w:t>
            </w:r>
          </w:p>
        </w:tc>
        <w:tc>
          <w:tcPr>
            <w:tcW w:type="dxa" w:w="15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Approve now with policy baseline</w:t>
            </w:r>
          </w:p>
        </w:tc>
      </w:tr>
    </w:tbl>
    <w:p>
      <w:pPr>
        <w:spacing w:after="120" w:before="0"/>
      </w:pPr>
      <w:r>
        <w:rPr>
          <w:rFonts w:ascii="Calibri" w:cs="Calibri" w:eastAsia="Calibri" w:hAnsi="Calibri"/>
          <w:sz w:val="22"/>
          <w:szCs w:val="22"/>
        </w:rPr>
        <w:t xml:space="preserve"/>
      </w:r>
    </w:p>
    <w:p>
      <w:pPr>
        <w:pStyle w:val="Heading2"/>
        <w:spacing w:after="120" w:before="260"/>
      </w:pPr>
      <w:r>
        <w:rPr>
          <w:rFonts w:ascii="Calibri" w:cs="Calibri" w:eastAsia="Calibri" w:hAnsi="Calibri"/>
        </w:rPr>
        <w:t xml:space="preserve">3.1 Claude Code — meets the boundary requirement; approve pilot with controls</w:t>
      </w:r>
    </w:p>
    <w:p>
      <w:pPr>
        <w:spacing w:after="160" w:before="0"/>
      </w:pPr>
      <w:r>
        <w:rPr>
          <w:rFonts w:ascii="Calibri" w:cs="Calibri" w:eastAsia="Calibri" w:hAnsi="Calibri"/>
          <w:sz w:val="22"/>
          <w:szCs w:val="22"/>
        </w:rPr>
        <w:t xml:space="preserve">Path and routing. In Vertex mode Claude Code authenticates with standard Google Cloud credentials (ADC, service-account key, or Workload Identity Federation) and sends inference directly from the workstation to the Vertex endpoint in the SMD project (env: CLAUDE_CODE_USE_VERTEX=1, ANTHROPIC_VERTEX_PROJECT_ID, CLOUD_ML_REGION; IAM: roles/aiplatform.user). No separate Anthropic contract or API key is required; billing, quotas, and audit ride our GCP org. The deployment is compatible with VPC Service Controls, and model versions should be pinned (e.g., ANTHROPIC_DEFAULT_SONNET_MODEL) before team rollout.</w:t>
      </w:r>
    </w:p>
    <w:p>
      <w:pPr>
        <w:spacing w:after="160" w:before="0"/>
      </w:pPr>
      <w:r>
        <w:rPr>
          <w:rFonts w:ascii="Calibri" w:cs="Calibri" w:eastAsia="Calibri" w:hAnsi="Calibri"/>
          <w:sz w:val="22"/>
          <w:szCs w:val="22"/>
        </w:rPr>
        <w:t xml:space="preserve">Enforceability. An organization-deployed managed-settings.json (macOS: /Library/Application Support/ClaudeCode/; Linux/WSL: /etc/claude-code/; Windows: C:\ProgramData\ClaudeCode\) takes precedence over all user, project, and command-line settings. Permission rules evaluate deny → ask → allow, and a managed deny cannot be overridden anywhere. We use this to (a) hard-pin Vertex routing, (b) deny reads of secret material and dangerous commands, (c) disable bypass-permissions mode, and (d) force OpenTelemetry export. Template: templates/claude-code-managed-settings.json.</w:t>
      </w:r>
    </w:p>
    <w:p>
      <w:pPr>
        <w:spacing w:after="160" w:before="0"/>
      </w:pPr>
      <w:r>
        <w:rPr>
          <w:rFonts w:ascii="Calibri" w:cs="Calibri" w:eastAsia="Calibri" w:hAnsi="Calibri"/>
          <w:sz w:val="22"/>
          <w:szCs w:val="22"/>
        </w:rPr>
        <w:t xml:space="preserve">Vendor traffic. Anthropic’s operational telemetry and error reporting are separate from inference and are disabled via DISABLE_TELEMETRY, DISABLE_ERROR_REPORTING, and the umbrella CLAUDE_CODE_DISABLE_NONESSENTIAL_TRAFFIC=1 (also blocked at the egress proxy as defense in depth). Note this umbrella flag also disables the auto-updater, so version management moves to our software distribution (CC-13). Do not rely on the automatic telemetry opt-out that applies in Vertex mode — set the flags explicitly.</w:t>
      </w:r>
    </w:p>
    <w:p>
      <w:pPr>
        <w:spacing w:after="160" w:before="0"/>
      </w:pPr>
      <w:r>
        <w:rPr>
          <w:rFonts w:ascii="Calibri" w:cs="Calibri" w:eastAsia="Calibri" w:hAnsi="Calibri"/>
          <w:sz w:val="22"/>
          <w:szCs w:val="22"/>
        </w:rPr>
        <w:t xml:space="preserve">Known caveats to verify in the pilot. (1) A public GitHub issue (anthropics/claude-code #44642, Apr 2026) reported permissions.disableBypassPermissionsMode not being enforced on one version; validate on the pinned rollout version, and keep the defense-in-depth deny on the tool spawning itself (Bash(claude:*)) plus an EDR detection for the --dangerously-skip-permissions flag. (2) Read/Edit deny rules govern the agent’s file tools; an arbitrary subprocess launched via an allowed Bash command can still open files, so pair deny rules with Bash sandboxing (OS-level filesystem/network restriction) and the CC-05 secrets hygiene controls. (3) Project-level .mcp.json and CLAUDE.md files arrive with repositories — treat repo content as untrusted input (R1, R5): enableAllProjectMcpServers=false and MCP allowlisting per CC-07.</w:t>
      </w:r>
    </w:p>
    <w:p>
      <w:pPr>
        <w:pStyle w:val="Heading2"/>
        <w:spacing w:after="120" w:before="260"/>
      </w:pPr>
      <w:r>
        <w:rPr>
          <w:rFonts w:ascii="Calibri" w:cs="Calibri" w:eastAsia="Calibri" w:hAnsi="Calibri"/>
        </w:rPr>
        <w:t xml:space="preserve">3.2 Claude Cowork — the thread’s constraint is out of date; plan a scoped Phase 2 pilot</w:t>
      </w:r>
    </w:p>
    <w:p>
      <w:pPr>
        <w:spacing w:after="160" w:before="0"/>
      </w:pPr>
      <w:r>
        <w:rPr>
          <w:rFonts w:ascii="Calibri" w:cs="Calibri" w:eastAsia="Calibri" w:hAnsi="Calibri"/>
          <w:sz w:val="22"/>
          <w:szCs w:val="22"/>
        </w:rPr>
        <w:t xml:space="preserve">Correction to the thread. The statement "Claude Cowork does not work with Vertex hosted models" was accurate until spring 2026. In April 2026 Anthropic published support documentation for deploying Claude Cowork (and the Code tab of Claude Desktop) against third-party platforms — Amazon Bedrock, Google Vertex AI, Azure AI Foundry, or a customer gateway — with inference routed from the user’s machine to the configured endpoint. Configuration is MDM-managed: inferenceProvider=vertex, GCP project/region, a credential source (service-account key file, in-app Google sign-in, or Workforce Identity Federation for Entra/Okta shops), and an explicit inferenceModels allowlist of Vertex publisher model IDs; the admin tooling exports .mobileconfig (macOS) or .reg (Windows) for Jamf/Intune/GPO. Security should re-validate directly against the current Anthropic support articles (references in Section 8) before Phase 2.</w:t>
      </w:r>
    </w:p>
    <w:p>
      <w:pPr>
        <w:spacing w:after="160" w:before="0"/>
      </w:pPr>
      <w:r>
        <w:rPr>
          <w:rFonts w:ascii="Calibri" w:cs="Calibri" w:eastAsia="Calibri" w:hAnsi="Calibri"/>
          <w:sz w:val="22"/>
          <w:szCs w:val="22"/>
        </w:rPr>
        <w:t xml:space="preserve">Control surfaces. The same MDM policy carries the security-relevant switches: managedMcpServers (remote MCP allowlist), isLocalDevMcpEnabled=false (block user-added MCP servers), isDesktopExtensionSignatureRequired=true with the public extension directory disabled (only signed, vetted extensions), disabledBuiltinTools (e.g., remove WebSearch and Bash for non-developer cohorts), and plugin distribution via an MDM-mounted org-plugins directory rather than a public marketplace. On Windows, Cowork requires the Virtual Machine Platform feature (its task execution is VM-isolated).</w:t>
      </w:r>
    </w:p>
    <w:p>
      <w:pPr>
        <w:spacing w:after="160" w:before="0"/>
      </w:pPr>
      <w:r>
        <w:rPr>
          <w:rFonts w:ascii="Calibri" w:cs="Calibri" w:eastAsia="Calibri" w:hAnsi="Calibri"/>
          <w:sz w:val="22"/>
          <w:szCs w:val="22"/>
        </w:rPr>
        <w:t xml:space="preserve">Caveats that keep this in Phase 2. Cowork activity is not currently captured in Anthropic’s enterprise audit logs, Compliance API, or data exports; in a 3P deployment, auditability comes from Cowork’s OpenTelemetry export to our collector plus GCP Cloud Audit Logs and MDM inventory — stand that pipeline up first (CC-09/CC-10). Cowork’s surface is broader than a coding agent (local files, browser-adjacent workflows, scheduled tasks), and its 3P deployment mode is new. Recommendation: pilot only after the Claude Code control set is proven, restrict to the SMD IQ platform team, disable WebSearch and non-essential built-in tools initially, and use the same Vertex project and telemetry pipeline so one audit story covers both tools.</w:t>
      </w:r>
    </w:p>
    <w:p>
      <w:pPr>
        <w:pStyle w:val="Heading2"/>
        <w:spacing w:after="120" w:before="260"/>
      </w:pPr>
      <w:r>
        <w:rPr>
          <w:rFonts w:ascii="Calibri" w:cs="Calibri" w:eastAsia="Calibri" w:hAnsi="Calibri"/>
        </w:rPr>
        <w:t xml:space="preserve">3.3 Cursor — fails the boundary test as architected; defer or accept explicitly as third-party SaaS</w:t>
      </w:r>
    </w:p>
    <w:p>
      <w:pPr>
        <w:spacing w:after="160" w:before="0"/>
      </w:pPr>
      <w:r>
        <w:rPr>
          <w:rFonts w:ascii="Calibri" w:cs="Calibri" w:eastAsia="Calibri" w:hAnsi="Calibri"/>
          <w:sz w:val="22"/>
          <w:szCs w:val="22"/>
        </w:rPr>
        <w:t xml:space="preserve">"Can select a Vertex model" vs. "keeps code inside our boundary." Cursor fails both halves, which contradicts the thread’s working assumption that "Cursor should work":</w:t>
      </w:r>
    </w:p>
    <w:p>
      <w:pPr>
        <w:pStyle w:val="ListParagraph"/>
        <w:numPr>
          <w:ilvl w:val="0"/>
          <w:numId w:val="2"/>
        </w:numPr>
        <w:spacing w:after="80"/>
      </w:pPr>
      <w:r>
        <w:rPr>
          <w:rFonts w:ascii="Calibri" w:cs="Calibri" w:eastAsia="Calibri" w:hAnsi="Calibri"/>
          <w:sz w:val="22"/>
          <w:szCs w:val="22"/>
        </w:rPr>
        <w:t xml:space="preserve">Backend transit is by design. Cursor’s own documentation states that customer-supplied API keys are sent to Cursor’s servers with every request and that all requests are routed through Cursor’s backend, where final prompt building occurs. There is no configuration that yields workstation → SMD endpoint directly.</w:t>
      </w:r>
    </w:p>
    <w:p>
      <w:pPr>
        <w:pStyle w:val="ListParagraph"/>
        <w:numPr>
          <w:ilvl w:val="0"/>
          <w:numId w:val="2"/>
        </w:numPr>
        <w:spacing w:after="80"/>
      </w:pPr>
      <w:r>
        <w:rPr>
          <w:rFonts w:ascii="Calibri" w:cs="Calibri" w:eastAsia="Calibri" w:hAnsi="Calibri"/>
          <w:sz w:val="22"/>
          <w:szCs w:val="22"/>
        </w:rPr>
        <w:t xml:space="preserve">Key-based routing is narrow. Custom keys apply to chat/plan interactions with standard models over OpenAI-compatible APIs. The differentiating features — Agent/Composer, inline edit, Tab autocomplete, apply — are locked to Cursor-hosted custom models and cannot be pointed at an external endpoint. Tab completion also streams surrounding code context on keystrokes.</w:t>
      </w:r>
    </w:p>
    <w:p>
      <w:pPr>
        <w:pStyle w:val="ListParagraph"/>
        <w:numPr>
          <w:ilvl w:val="0"/>
          <w:numId w:val="2"/>
        </w:numPr>
        <w:spacing w:after="80"/>
      </w:pPr>
      <w:r>
        <w:rPr>
          <w:rFonts w:ascii="Calibri" w:cs="Calibri" w:eastAsia="Calibri" w:hAnsi="Calibri"/>
          <w:sz w:val="22"/>
          <w:szCs w:val="22"/>
        </w:rPr>
        <w:t xml:space="preserve">Vertex is not a supported provider. Native Vertex AI support has been a long-open community feature request (Bedrock key support exists; that is AWS, not our estate, and still subject to the two limitations above). We could not verify any first-party Vertex integration as of this writing.</w:t>
      </w:r>
    </w:p>
    <w:p>
      <w:pPr>
        <w:pStyle w:val="ListParagraph"/>
        <w:numPr>
          <w:ilvl w:val="0"/>
          <w:numId w:val="2"/>
        </w:numPr>
        <w:spacing w:after="80"/>
      </w:pPr>
      <w:r>
        <w:rPr>
          <w:rFonts w:ascii="Calibri" w:cs="Calibri" w:eastAsia="Calibri" w:hAnsi="Calibri"/>
          <w:sz w:val="22"/>
          <w:szCs w:val="22"/>
        </w:rPr>
        <w:t xml:space="preserve">Codebase indexing stores embeddings of our code on Cursor infrastructure (with obfuscated paths); .cursorignore is documented as best-effort for chat context, i.e., a context filter, not a security control.</w:t>
      </w:r>
    </w:p>
    <w:p>
      <w:pPr>
        <w:spacing w:after="160" w:before="0"/>
      </w:pPr>
      <w:r>
        <w:rPr>
          <w:rFonts w:ascii="Calibri" w:cs="Calibri" w:eastAsia="Calibri" w:hAnsi="Calibri"/>
          <w:sz w:val="22"/>
          <w:szCs w:val="22"/>
        </w:rPr>
        <w:t xml:space="preserve">What Cursor does offer is a SaaS-trust posture: enforced Privacy Mode on team plans (contractual zero-data-retention with model providers, no training), SOC 2 attestation, SSO/SCIM, and admin policy. That is a legitimate model — but it is the "vetted third-party processor" model, not the "SMD-hosted LLMs only" model the thread mandates. It also carries a live product-security history (seven 2025 CVEs, including MCP prompt-injection RCE), which raises the bar on version management and MCP lockdown.</w:t>
      </w:r>
    </w:p>
    <w:p>
      <w:pPr>
        <w:spacing w:after="160" w:before="0"/>
      </w:pPr>
      <w:r>
        <w:rPr>
          <w:rFonts w:ascii="Calibri" w:cs="Calibri" w:eastAsia="Calibri" w:hAnsi="Calibri"/>
          <w:sz w:val="22"/>
          <w:szCs w:val="22"/>
        </w:rPr>
        <w:t xml:space="preserve">Recommendation. Defer Cursor in the interim; it is the only requested tool whose architecture conflicts with the security position rather than merely needing configuration. If SMD IQ’s business case requires it before the Gateway, route it through TPRM as a third-party SaaS processor with the conditional-approval requirements in templates/cursor-conditional-controls.md: Enterprise/Teams plan with admin-enforced Privacy Mode, SSO, MCP disabled or allowlisted, .cursorignore/.cursorindexingignore baselines, agent auto-run disabled, DPA + subprocessor and embedding-storage review, pinned versions with CVE tracking, and a formal risk acceptance naming the residual backend-transit exposure. Re-test the Vertex question at each Cursor release; if Cursor ever ships true direct-to-endpoint routing for all features, re-run this assessment.</w:t>
      </w:r>
    </w:p>
    <w:p>
      <w:pPr>
        <w:pStyle w:val="Heading2"/>
        <w:spacing w:after="120" w:before="260"/>
      </w:pPr>
      <w:r>
        <w:rPr>
          <w:rFonts w:ascii="Calibri" w:cs="Calibri" w:eastAsia="Calibri" w:hAnsi="Calibri"/>
        </w:rPr>
        <w:t xml:space="preserve">3.4 VS Code — approve with a policy baseline; the marketplace is the real attack surface</w:t>
      </w:r>
    </w:p>
    <w:p>
      <w:pPr>
        <w:spacing w:after="160" w:before="0"/>
      </w:pPr>
      <w:r>
        <w:rPr>
          <w:rFonts w:ascii="Calibri" w:cs="Calibri" w:eastAsia="Calibri" w:hAnsi="Calibri"/>
          <w:sz w:val="22"/>
          <w:szCs w:val="22"/>
        </w:rPr>
        <w:t xml:space="preserve">VS Code itself sends no source code to any model; approving it is uncontroversial provided three flows are governed centrally. First, product telemetry: the TelemetryLevel enterprise policy (off, or error if crash data is wanted) governs VS Code and first-party extension telemetry — note some third-party extensions may not honor it, which the extension allowlist mitigates. Second, updates: UpdateMode under policy, with rollout via our software distribution. Third — the substantive risk — extensions: since v1.96 the AllowedExtensions policy enforces an allowlist by publisher, extension ID, and version, blocking everything unlisted and disabling already-installed violations; a private marketplace is available if we later want full self-hosting. Policies deploy via Windows Registry/ADMX Group Policy, macOS configuration profiles, or /etc/vscode policy files on Linux. Baseline template: templates/vscode-policy-baseline.json.</w:t>
      </w:r>
    </w:p>
    <w:p>
      <w:pPr>
        <w:spacing w:after="160" w:before="0"/>
      </w:pPr>
      <w:r>
        <w:rPr>
          <w:rFonts w:ascii="Calibri" w:cs="Calibri" w:eastAsia="Calibri" w:hAnsi="Calibri"/>
          <w:sz w:val="22"/>
          <w:szCs w:val="22"/>
        </w:rPr>
        <w:t xml:space="preserve">Two AI-specific notes: (a) VS Code is the delivery vehicle for the approved Claude Code extension, so the allowlist should contain it (exact marketplace ID to be confirmed at deployment) alongside the standard development set; (b) if GitHub Copilot is not licensed and approved, exclude it via the allowlist and disable the built-in chat/MCP surfaces via the corresponding policies (e.g., MCP and chat tool auto-approval controls) so no un-reviewed model path rides in through the editor.</w:t>
      </w:r>
    </w:p>
    <w:p>
      <w:pPr>
        <w:pStyle w:val="Heading1"/>
        <w:spacing w:after="160" w:before="320"/>
      </w:pPr>
      <w:r>
        <w:rPr>
          <w:rFonts w:ascii="Calibri" w:cs="Calibri" w:eastAsia="Calibri" w:hAnsi="Calibri"/>
        </w:rPr>
        <w:t xml:space="preserve">4. Compensating controls (interim state)</w:t>
      </w:r>
    </w:p>
    <w:p>
      <w:pPr>
        <w:spacing w:after="160" w:before="0"/>
      </w:pPr>
      <w:r>
        <w:rPr>
          <w:rFonts w:ascii="Calibri" w:cs="Calibri" w:eastAsia="Calibri" w:hAnsi="Calibri"/>
          <w:sz w:val="22"/>
          <w:szCs w:val="22"/>
        </w:rPr>
        <w:t xml:space="preserve">Controls are grouped by enforcement layer. "Applies to" uses CC=Claude Code, CW=Cowork, CU=Cursor (conditional path only), VS=VS Code. Deployment specifics live in the README and templates that accompany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650"/>
        <w:gridCol w:w="3660"/>
        <w:gridCol w:w="1100"/>
        <w:gridCol w:w="1000"/>
      </w:tblGrid>
      <w:tr>
        <w:trPr>
          <w:tblHeader/>
        </w:trPr>
        <w:tc>
          <w:tcPr>
            <w:tcW w:type="dxa" w:w="95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ID</w:t>
            </w:r>
          </w:p>
        </w:tc>
        <w:tc>
          <w:tcPr>
            <w:tcW w:type="dxa" w:w="265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Control</w:t>
            </w:r>
          </w:p>
        </w:tc>
        <w:tc>
          <w:tcPr>
            <w:tcW w:type="dxa" w:w="366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Implementation summary</w:t>
            </w:r>
          </w:p>
        </w:tc>
        <w:tc>
          <w:tcPr>
            <w:tcW w:type="dxa" w:w="11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Risks</w:t>
            </w:r>
          </w:p>
        </w:tc>
        <w:tc>
          <w:tcPr>
            <w:tcW w:type="dxa" w:w="100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Applies to</w:t>
            </w:r>
          </w:p>
        </w:tc>
      </w:tr>
      <w:tr>
        <w:tc>
          <w:tcPr>
            <w:tcW w:type="dxa" w:w="950"/>
            <w:tcMar>
              <w:top w:type="dxa" w:w="60"/>
              <w:left w:type="dxa" w:w="100"/>
              <w:bottom w:type="dxa" w:w="60"/>
              <w:right w:type="dxa" w:w="100"/>
            </w:tcMar>
          </w:tcPr>
          <w:p>
            <w:pPr>
              <w:spacing w:after="40" w:before="40"/>
            </w:pPr>
            <w:r>
              <w:rPr>
                <w:rFonts w:ascii="Calibri" w:cs="Calibri" w:eastAsia="Calibri" w:hAnsi="Calibri"/>
                <w:sz w:val="20"/>
                <w:szCs w:val="20"/>
              </w:rPr>
              <w:t xml:space="preserve">CC-01</w:t>
            </w:r>
          </w:p>
        </w:tc>
        <w:tc>
          <w:tcPr>
            <w:tcW w:type="dxa" w:w="2650"/>
            <w:tcMar>
              <w:top w:type="dxa" w:w="60"/>
              <w:left w:type="dxa" w:w="100"/>
              <w:bottom w:type="dxa" w:w="60"/>
              <w:right w:type="dxa" w:w="100"/>
            </w:tcMar>
          </w:tcPr>
          <w:p>
            <w:pPr>
              <w:spacing w:after="40" w:before="40"/>
            </w:pPr>
            <w:r>
              <w:rPr>
                <w:rFonts w:ascii="Calibri" w:cs="Calibri" w:eastAsia="Calibri" w:hAnsi="Calibri"/>
                <w:sz w:val="20"/>
                <w:szCs w:val="20"/>
              </w:rPr>
              <w:t xml:space="preserve">Managed policy, not user settings</w:t>
            </w:r>
          </w:p>
        </w:tc>
        <w:tc>
          <w:tcPr>
            <w:tcW w:type="dxa" w:w="3660"/>
            <w:tcMar>
              <w:top w:type="dxa" w:w="60"/>
              <w:left w:type="dxa" w:w="100"/>
              <w:bottom w:type="dxa" w:w="60"/>
              <w:right w:type="dxa" w:w="100"/>
            </w:tcMar>
          </w:tcPr>
          <w:p>
            <w:pPr>
              <w:spacing w:after="40" w:before="40"/>
            </w:pPr>
            <w:r>
              <w:rPr>
                <w:rFonts w:ascii="Calibri" w:cs="Calibri" w:eastAsia="Calibri" w:hAnsi="Calibri"/>
                <w:sz w:val="20"/>
                <w:szCs w:val="20"/>
              </w:rPr>
              <w:t xml:space="preserve">All security-relevant configuration ships via MDM to machine-scope files/policies users cannot edit: managed-settings.json (root-owned; immutable flag where supported), Cowork MDM profile, VS Code policies. Config drift is monitored by MDM compliance checks.</w:t>
            </w:r>
          </w:p>
        </w:tc>
        <w:tc>
          <w:tcPr>
            <w:tcW w:type="dxa" w:w="1100"/>
            <w:tcMar>
              <w:top w:type="dxa" w:w="60"/>
              <w:left w:type="dxa" w:w="100"/>
              <w:bottom w:type="dxa" w:w="60"/>
              <w:right w:type="dxa" w:w="100"/>
            </w:tcMar>
          </w:tcPr>
          <w:p>
            <w:pPr>
              <w:spacing w:after="40" w:before="40"/>
            </w:pPr>
            <w:r>
              <w:rPr>
                <w:rFonts w:ascii="Calibri" w:cs="Calibri" w:eastAsia="Calibri" w:hAnsi="Calibri"/>
                <w:sz w:val="20"/>
                <w:szCs w:val="20"/>
              </w:rPr>
              <w:t xml:space="preserve">All</w:t>
            </w:r>
          </w:p>
        </w:tc>
        <w:tc>
          <w:tcPr>
            <w:tcW w:type="dxa" w:w="1000"/>
            <w:tcMar>
              <w:top w:type="dxa" w:w="60"/>
              <w:left w:type="dxa" w:w="100"/>
              <w:bottom w:type="dxa" w:w="60"/>
              <w:right w:type="dxa" w:w="100"/>
            </w:tcMar>
          </w:tcPr>
          <w:p>
            <w:pPr>
              <w:spacing w:after="40" w:before="40"/>
            </w:pPr>
            <w:r>
              <w:rPr>
                <w:rFonts w:ascii="Calibri" w:cs="Calibri" w:eastAsia="Calibri" w:hAnsi="Calibri"/>
                <w:sz w:val="20"/>
                <w:szCs w:val="20"/>
              </w:rPr>
              <w:t xml:space="preserve">CC, CW, VS</w:t>
            </w:r>
          </w:p>
        </w:tc>
      </w:tr>
      <w:tr>
        <w:tc>
          <w:tcPr>
            <w:tcW w:type="dxa" w:w="9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CC-02</w:t>
            </w:r>
          </w:p>
        </w:tc>
        <w:tc>
          <w:tcPr>
            <w:tcW w:type="dxa" w:w="26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Vertex-only model routing</w:t>
            </w:r>
          </w:p>
        </w:tc>
        <w:tc>
          <w:tcPr>
            <w:tcW w:type="dxa" w:w="36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Pin Vertex project/region/models in managed config. Enforce at network layer too: egress allowlist permits {region}-aiplatform.googleapis.com and Google auth endpoints; blocks api.anthropic.com and other model APIs from developer VLANs. Evaluate VPC-SC/Private Service Connect for the Vertex project.</w:t>
            </w:r>
          </w:p>
        </w:tc>
        <w:tc>
          <w:tcPr>
            <w:tcW w:type="dxa" w:w="1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R4, plus original retention concern</w:t>
            </w:r>
          </w:p>
        </w:tc>
        <w:tc>
          <w:tcPr>
            <w:tcW w:type="dxa" w:w="10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 CW</w:t>
            </w:r>
          </w:p>
        </w:tc>
      </w:tr>
      <w:tr>
        <w:tc>
          <w:tcPr>
            <w:tcW w:type="dxa" w:w="950"/>
            <w:tcMar>
              <w:top w:type="dxa" w:w="60"/>
              <w:left w:type="dxa" w:w="100"/>
              <w:bottom w:type="dxa" w:w="60"/>
              <w:right w:type="dxa" w:w="100"/>
            </w:tcMar>
          </w:tcPr>
          <w:p>
            <w:pPr>
              <w:spacing w:after="40" w:before="40"/>
            </w:pPr>
            <w:r>
              <w:rPr>
                <w:rFonts w:ascii="Calibri" w:cs="Calibri" w:eastAsia="Calibri" w:hAnsi="Calibri"/>
                <w:sz w:val="20"/>
                <w:szCs w:val="20"/>
              </w:rPr>
              <w:t xml:space="preserve">CC-03</w:t>
            </w:r>
          </w:p>
        </w:tc>
        <w:tc>
          <w:tcPr>
            <w:tcW w:type="dxa" w:w="2650"/>
            <w:tcMar>
              <w:top w:type="dxa" w:w="60"/>
              <w:left w:type="dxa" w:w="100"/>
              <w:bottom w:type="dxa" w:w="60"/>
              <w:right w:type="dxa" w:w="100"/>
            </w:tcMar>
          </w:tcPr>
          <w:p>
            <w:pPr>
              <w:spacing w:after="40" w:before="40"/>
            </w:pPr>
            <w:r>
              <w:rPr>
                <w:rFonts w:ascii="Calibri" w:cs="Calibri" w:eastAsia="Calibri" w:hAnsi="Calibri"/>
                <w:sz w:val="20"/>
                <w:szCs w:val="20"/>
              </w:rPr>
              <w:t xml:space="preserve">Vendor telemetry minimization</w:t>
            </w:r>
          </w:p>
        </w:tc>
        <w:tc>
          <w:tcPr>
            <w:tcW w:type="dxa" w:w="3660"/>
            <w:tcMar>
              <w:top w:type="dxa" w:w="60"/>
              <w:left w:type="dxa" w:w="100"/>
              <w:bottom w:type="dxa" w:w="60"/>
              <w:right w:type="dxa" w:w="100"/>
            </w:tcMar>
          </w:tcPr>
          <w:p>
            <w:pPr>
              <w:spacing w:after="40" w:before="40"/>
            </w:pPr>
            <w:r>
              <w:rPr>
                <w:rFonts w:ascii="Calibri" w:cs="Calibri" w:eastAsia="Calibri" w:hAnsi="Calibri"/>
                <w:sz w:val="20"/>
                <w:szCs w:val="20"/>
              </w:rPr>
              <w:t xml:space="preserve">CLAUDE_CODE_DISABLE_NONESSENTIAL_TRAFFIC=1, DISABLE_TELEMETRY=1, DISABLE_ERROR_REPORTING=1; VS Code TelemetryLevel=off, EnableFeedback off; block statsig/sentry-class domains at proxy. Cowork telemetry uploads disabled per MDM reference.</w:t>
            </w:r>
          </w:p>
        </w:tc>
        <w:tc>
          <w:tcPr>
            <w:tcW w:type="dxa" w:w="1100"/>
            <w:tcMar>
              <w:top w:type="dxa" w:w="60"/>
              <w:left w:type="dxa" w:w="100"/>
              <w:bottom w:type="dxa" w:w="60"/>
              <w:right w:type="dxa" w:w="100"/>
            </w:tcMar>
          </w:tcPr>
          <w:p>
            <w:pPr>
              <w:spacing w:after="40" w:before="40"/>
            </w:pPr>
            <w:r>
              <w:rPr>
                <w:rFonts w:ascii="Calibri" w:cs="Calibri" w:eastAsia="Calibri" w:hAnsi="Calibri"/>
                <w:sz w:val="20"/>
                <w:szCs w:val="20"/>
              </w:rPr>
              <w:t xml:space="preserve">R4</w:t>
            </w:r>
          </w:p>
        </w:tc>
        <w:tc>
          <w:tcPr>
            <w:tcW w:type="dxa" w:w="1000"/>
            <w:tcMar>
              <w:top w:type="dxa" w:w="60"/>
              <w:left w:type="dxa" w:w="100"/>
              <w:bottom w:type="dxa" w:w="60"/>
              <w:right w:type="dxa" w:w="100"/>
            </w:tcMar>
          </w:tcPr>
          <w:p>
            <w:pPr>
              <w:spacing w:after="40" w:before="40"/>
            </w:pPr>
            <w:r>
              <w:rPr>
                <w:rFonts w:ascii="Calibri" w:cs="Calibri" w:eastAsia="Calibri" w:hAnsi="Calibri"/>
                <w:sz w:val="20"/>
                <w:szCs w:val="20"/>
              </w:rPr>
              <w:t xml:space="preserve">CC, CW, VS</w:t>
            </w:r>
          </w:p>
        </w:tc>
      </w:tr>
      <w:tr>
        <w:tc>
          <w:tcPr>
            <w:tcW w:type="dxa" w:w="9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CC-04</w:t>
            </w:r>
          </w:p>
        </w:tc>
        <w:tc>
          <w:tcPr>
            <w:tcW w:type="dxa" w:w="26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Agent execution guardrails</w:t>
            </w:r>
          </w:p>
        </w:tc>
        <w:tc>
          <w:tcPr>
            <w:tcW w:type="dxa" w:w="36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Deny rules for privilege escalation, network-transfer, and remote-access binaries (sudo, curl, wget, nc, ssh, scp); ask-gates on git push, rm, cloud CLIs; defaultMode=default (no auto-accept); disableBypassPermissionsMode=disable plus deny Bash(claude:*); enable OS-level Bash sandboxing; VS Code Workspace Trust on. Destructive/state-changing actions always keep a human in the loop.</w:t>
            </w:r>
          </w:p>
        </w:tc>
        <w:tc>
          <w:tcPr>
            <w:tcW w:type="dxa" w:w="1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R1, R2</w:t>
            </w:r>
          </w:p>
        </w:tc>
        <w:tc>
          <w:tcPr>
            <w:tcW w:type="dxa" w:w="10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 CW, (CU)</w:t>
            </w:r>
          </w:p>
        </w:tc>
      </w:tr>
      <w:tr>
        <w:tc>
          <w:tcPr>
            <w:tcW w:type="dxa" w:w="950"/>
            <w:tcMar>
              <w:top w:type="dxa" w:w="60"/>
              <w:left w:type="dxa" w:w="100"/>
              <w:bottom w:type="dxa" w:w="60"/>
              <w:right w:type="dxa" w:w="100"/>
            </w:tcMar>
          </w:tcPr>
          <w:p>
            <w:pPr>
              <w:spacing w:after="40" w:before="40"/>
            </w:pPr>
            <w:r>
              <w:rPr>
                <w:rFonts w:ascii="Calibri" w:cs="Calibri" w:eastAsia="Calibri" w:hAnsi="Calibri"/>
                <w:sz w:val="20"/>
                <w:szCs w:val="20"/>
              </w:rPr>
              <w:t xml:space="preserve">CC-05</w:t>
            </w:r>
          </w:p>
        </w:tc>
        <w:tc>
          <w:tcPr>
            <w:tcW w:type="dxa" w:w="2650"/>
            <w:tcMar>
              <w:top w:type="dxa" w:w="60"/>
              <w:left w:type="dxa" w:w="100"/>
              <w:bottom w:type="dxa" w:w="60"/>
              <w:right w:type="dxa" w:w="100"/>
            </w:tcMar>
          </w:tcPr>
          <w:p>
            <w:pPr>
              <w:spacing w:after="40" w:before="40"/>
            </w:pPr>
            <w:r>
              <w:rPr>
                <w:rFonts w:ascii="Calibri" w:cs="Calibri" w:eastAsia="Calibri" w:hAnsi="Calibri"/>
                <w:sz w:val="20"/>
                <w:szCs w:val="20"/>
              </w:rPr>
              <w:t xml:space="preserve">Secrets and sensitive-file shielding</w:t>
            </w:r>
          </w:p>
        </w:tc>
        <w:tc>
          <w:tcPr>
            <w:tcW w:type="dxa" w:w="3660"/>
            <w:tcMar>
              <w:top w:type="dxa" w:w="60"/>
              <w:left w:type="dxa" w:w="100"/>
              <w:bottom w:type="dxa" w:w="60"/>
              <w:right w:type="dxa" w:w="100"/>
            </w:tcMar>
          </w:tcPr>
          <w:p>
            <w:pPr>
              <w:spacing w:after="40" w:before="40"/>
            </w:pPr>
            <w:r>
              <w:rPr>
                <w:rFonts w:ascii="Calibri" w:cs="Calibri" w:eastAsia="Calibri" w:hAnsi="Calibri"/>
                <w:sz w:val="20"/>
                <w:szCs w:val="20"/>
              </w:rPr>
              <w:t xml:space="preserve">Deny agent reads of .env*, key/cert material, cloud credential dirs; org-wide pre-commit secret scanning (e.g., gitleaks) so secrets are not in repos to leak; developer guidance: secrets never enter prompts. DLP monitoring on the OTel/collector side for pasted credentials patterns.</w:t>
            </w:r>
          </w:p>
        </w:tc>
        <w:tc>
          <w:tcPr>
            <w:tcW w:type="dxa" w:w="1100"/>
            <w:tcMar>
              <w:top w:type="dxa" w:w="60"/>
              <w:left w:type="dxa" w:w="100"/>
              <w:bottom w:type="dxa" w:w="60"/>
              <w:right w:type="dxa" w:w="100"/>
            </w:tcMar>
          </w:tcPr>
          <w:p>
            <w:pPr>
              <w:spacing w:after="40" w:before="40"/>
            </w:pPr>
            <w:r>
              <w:rPr>
                <w:rFonts w:ascii="Calibri" w:cs="Calibri" w:eastAsia="Calibri" w:hAnsi="Calibri"/>
                <w:sz w:val="20"/>
                <w:szCs w:val="20"/>
              </w:rPr>
              <w:t xml:space="preserve">R3</w:t>
            </w:r>
          </w:p>
        </w:tc>
        <w:tc>
          <w:tcPr>
            <w:tcW w:type="dxa" w:w="1000"/>
            <w:tcMar>
              <w:top w:type="dxa" w:w="60"/>
              <w:left w:type="dxa" w:w="100"/>
              <w:bottom w:type="dxa" w:w="60"/>
              <w:right w:type="dxa" w:w="100"/>
            </w:tcMar>
          </w:tcPr>
          <w:p>
            <w:pPr>
              <w:spacing w:after="40" w:before="40"/>
            </w:pPr>
            <w:r>
              <w:rPr>
                <w:rFonts w:ascii="Calibri" w:cs="Calibri" w:eastAsia="Calibri" w:hAnsi="Calibri"/>
                <w:sz w:val="20"/>
                <w:szCs w:val="20"/>
              </w:rPr>
              <w:t xml:space="preserve">CC, CW, CU, VS</w:t>
            </w:r>
          </w:p>
        </w:tc>
      </w:tr>
      <w:tr>
        <w:tc>
          <w:tcPr>
            <w:tcW w:type="dxa" w:w="9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CC-06</w:t>
            </w:r>
          </w:p>
        </w:tc>
        <w:tc>
          <w:tcPr>
            <w:tcW w:type="dxa" w:w="26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Prompt-injection exposure reduction</w:t>
            </w:r>
          </w:p>
        </w:tc>
        <w:tc>
          <w:tcPr>
            <w:tcW w:type="dxa" w:w="36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WebFetch/WebSearch denied or ask-gated in managed settings; Vertex partner-model web search left disabled by org policy; repo-borne instruction files (CLAUDE.md, rules, .mcp.json) treated as untrusted — reviewed in PRs like code; training covers injection patterns; agents never run unattended on untrusted input in the interim.</w:t>
            </w:r>
          </w:p>
        </w:tc>
        <w:tc>
          <w:tcPr>
            <w:tcW w:type="dxa" w:w="1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R1</w:t>
            </w:r>
          </w:p>
        </w:tc>
        <w:tc>
          <w:tcPr>
            <w:tcW w:type="dxa" w:w="10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 CW, CU</w:t>
            </w:r>
          </w:p>
        </w:tc>
      </w:tr>
      <w:tr>
        <w:tc>
          <w:tcPr>
            <w:tcW w:type="dxa" w:w="950"/>
            <w:tcMar>
              <w:top w:type="dxa" w:w="60"/>
              <w:left w:type="dxa" w:w="100"/>
              <w:bottom w:type="dxa" w:w="60"/>
              <w:right w:type="dxa" w:w="100"/>
            </w:tcMar>
          </w:tcPr>
          <w:p>
            <w:pPr>
              <w:spacing w:after="40" w:before="40"/>
            </w:pPr>
            <w:r>
              <w:rPr>
                <w:rFonts w:ascii="Calibri" w:cs="Calibri" w:eastAsia="Calibri" w:hAnsi="Calibri"/>
                <w:sz w:val="20"/>
                <w:szCs w:val="20"/>
              </w:rPr>
              <w:t xml:space="preserve">CC-07</w:t>
            </w:r>
          </w:p>
        </w:tc>
        <w:tc>
          <w:tcPr>
            <w:tcW w:type="dxa" w:w="2650"/>
            <w:tcMar>
              <w:top w:type="dxa" w:w="60"/>
              <w:left w:type="dxa" w:w="100"/>
              <w:bottom w:type="dxa" w:w="60"/>
              <w:right w:type="dxa" w:w="100"/>
            </w:tcMar>
          </w:tcPr>
          <w:p>
            <w:pPr>
              <w:spacing w:after="40" w:before="40"/>
            </w:pPr>
            <w:r>
              <w:rPr>
                <w:rFonts w:ascii="Calibri" w:cs="Calibri" w:eastAsia="Calibri" w:hAnsi="Calibri"/>
                <w:sz w:val="20"/>
                <w:szCs w:val="20"/>
              </w:rPr>
              <w:t xml:space="preserve">MCP governance</w:t>
            </w:r>
          </w:p>
        </w:tc>
        <w:tc>
          <w:tcPr>
            <w:tcW w:type="dxa" w:w="3660"/>
            <w:tcMar>
              <w:top w:type="dxa" w:w="60"/>
              <w:left w:type="dxa" w:w="100"/>
              <w:bottom w:type="dxa" w:w="60"/>
              <w:right w:type="dxa" w:w="100"/>
            </w:tcMar>
          </w:tcPr>
          <w:p>
            <w:pPr>
              <w:spacing w:after="40" w:before="40"/>
            </w:pPr>
            <w:r>
              <w:rPr>
                <w:rFonts w:ascii="Calibri" w:cs="Calibri" w:eastAsia="Calibri" w:hAnsi="Calibri"/>
                <w:sz w:val="20"/>
                <w:szCs w:val="20"/>
              </w:rPr>
              <w:t xml:space="preserve">Default-deny: enableAllProjectMcpServers=false (Claude Code), isLocalDevMcpEnabled=false with managedMcpServers allowlist (Cowork), MCP off in VS Code/Cursor policy. Allowlisted servers require code/source review, version pinning, credential handling via env refs (never in-file), and OAuth where supported. New servers enter via the Section 6 approval workflow.</w:t>
            </w:r>
          </w:p>
        </w:tc>
        <w:tc>
          <w:tcPr>
            <w:tcW w:type="dxa" w:w="1100"/>
            <w:tcMar>
              <w:top w:type="dxa" w:w="60"/>
              <w:left w:type="dxa" w:w="100"/>
              <w:bottom w:type="dxa" w:w="60"/>
              <w:right w:type="dxa" w:w="100"/>
            </w:tcMar>
          </w:tcPr>
          <w:p>
            <w:pPr>
              <w:spacing w:after="40" w:before="40"/>
            </w:pPr>
            <w:r>
              <w:rPr>
                <w:rFonts w:ascii="Calibri" w:cs="Calibri" w:eastAsia="Calibri" w:hAnsi="Calibri"/>
                <w:sz w:val="20"/>
                <w:szCs w:val="20"/>
              </w:rPr>
              <w:t xml:space="preserve">R1, R5</w:t>
            </w:r>
          </w:p>
        </w:tc>
        <w:tc>
          <w:tcPr>
            <w:tcW w:type="dxa" w:w="1000"/>
            <w:tcMar>
              <w:top w:type="dxa" w:w="60"/>
              <w:left w:type="dxa" w:w="100"/>
              <w:bottom w:type="dxa" w:w="60"/>
              <w:right w:type="dxa" w:w="100"/>
            </w:tcMar>
          </w:tcPr>
          <w:p>
            <w:pPr>
              <w:spacing w:after="40" w:before="40"/>
            </w:pPr>
            <w:r>
              <w:rPr>
                <w:rFonts w:ascii="Calibri" w:cs="Calibri" w:eastAsia="Calibri" w:hAnsi="Calibri"/>
                <w:sz w:val="20"/>
                <w:szCs w:val="20"/>
              </w:rPr>
              <w:t xml:space="preserve">CC, CW, CU, VS</w:t>
            </w:r>
          </w:p>
        </w:tc>
      </w:tr>
      <w:tr>
        <w:tc>
          <w:tcPr>
            <w:tcW w:type="dxa" w:w="9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CC-08</w:t>
            </w:r>
          </w:p>
        </w:tc>
        <w:tc>
          <w:tcPr>
            <w:tcW w:type="dxa" w:w="26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Extension and plugin supply chain</w:t>
            </w:r>
          </w:p>
        </w:tc>
        <w:tc>
          <w:tcPr>
            <w:tcW w:type="dxa" w:w="36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VS Code AllowedExtensions allowlist (publisher/ID/version); Cowork isDesktopExtensionSignatureRequired=true, public directory off, plugins via MDM-mounted org directory; Claude Code plugin marketplaces restricted (strictKnownMarketplaces); installs come from internal distribution; auto-update replaced by managed rollout.</w:t>
            </w:r>
          </w:p>
        </w:tc>
        <w:tc>
          <w:tcPr>
            <w:tcW w:type="dxa" w:w="1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R5</w:t>
            </w:r>
          </w:p>
        </w:tc>
        <w:tc>
          <w:tcPr>
            <w:tcW w:type="dxa" w:w="10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 CW, CU, VS</w:t>
            </w:r>
          </w:p>
        </w:tc>
      </w:tr>
      <w:tr>
        <w:tc>
          <w:tcPr>
            <w:tcW w:type="dxa" w:w="950"/>
            <w:tcMar>
              <w:top w:type="dxa" w:w="60"/>
              <w:left w:type="dxa" w:w="100"/>
              <w:bottom w:type="dxa" w:w="60"/>
              <w:right w:type="dxa" w:w="100"/>
            </w:tcMar>
          </w:tcPr>
          <w:p>
            <w:pPr>
              <w:spacing w:after="40" w:before="40"/>
            </w:pPr>
            <w:r>
              <w:rPr>
                <w:rFonts w:ascii="Calibri" w:cs="Calibri" w:eastAsia="Calibri" w:hAnsi="Calibri"/>
                <w:sz w:val="20"/>
                <w:szCs w:val="20"/>
              </w:rPr>
              <w:t xml:space="preserve">CC-09</w:t>
            </w:r>
          </w:p>
        </w:tc>
        <w:tc>
          <w:tcPr>
            <w:tcW w:type="dxa" w:w="2650"/>
            <w:tcMar>
              <w:top w:type="dxa" w:w="60"/>
              <w:left w:type="dxa" w:w="100"/>
              <w:bottom w:type="dxa" w:w="60"/>
              <w:right w:type="dxa" w:w="100"/>
            </w:tcMar>
          </w:tcPr>
          <w:p>
            <w:pPr>
              <w:spacing w:after="40" w:before="40"/>
            </w:pPr>
            <w:r>
              <w:rPr>
                <w:rFonts w:ascii="Calibri" w:cs="Calibri" w:eastAsia="Calibri" w:hAnsi="Calibri"/>
                <w:sz w:val="20"/>
                <w:szCs w:val="20"/>
              </w:rPr>
              <w:t xml:space="preserve">Agent telemetry to SMD SIEM</w:t>
            </w:r>
          </w:p>
        </w:tc>
        <w:tc>
          <w:tcPr>
            <w:tcW w:type="dxa" w:w="3660"/>
            <w:tcMar>
              <w:top w:type="dxa" w:w="60"/>
              <w:left w:type="dxa" w:w="100"/>
              <w:bottom w:type="dxa" w:w="60"/>
              <w:right w:type="dxa" w:w="100"/>
            </w:tcMar>
          </w:tcPr>
          <w:p>
            <w:pPr>
              <w:spacing w:after="40" w:before="40"/>
            </w:pPr>
            <w:r>
              <w:rPr>
                <w:rFonts w:ascii="Calibri" w:cs="Calibri" w:eastAsia="Calibri" w:hAnsi="Calibri"/>
                <w:sz w:val="20"/>
                <w:szCs w:val="20"/>
              </w:rPr>
              <w:t xml:space="preserve">CLAUDE_CODE_ENABLE_TELEMETRY=1 with OTLP export to the SMD collector (metrics + events: prompts submitted, tool executions, permission accept/deny with decision source, API request metadata incl. model and tokens); same pipeline for Cowork OTel. Prompt content stays redacted by default (length only); enabling OTEL_LOG_USER_PROMPTS/TOOL_DETAILS is a privacy decision — if enabled, restrict access and set short retention. Baseline detections: bypass-mode attempts, denied-permission spikes, unapproved MCP server names, risky Bash patterns, anomalous token volume.</w:t>
            </w:r>
          </w:p>
        </w:tc>
        <w:tc>
          <w:tcPr>
            <w:tcW w:type="dxa" w:w="1100"/>
            <w:tcMar>
              <w:top w:type="dxa" w:w="60"/>
              <w:left w:type="dxa" w:w="100"/>
              <w:bottom w:type="dxa" w:w="60"/>
              <w:right w:type="dxa" w:w="100"/>
            </w:tcMar>
          </w:tcPr>
          <w:p>
            <w:pPr>
              <w:spacing w:after="40" w:before="40"/>
            </w:pPr>
            <w:r>
              <w:rPr>
                <w:rFonts w:ascii="Calibri" w:cs="Calibri" w:eastAsia="Calibri" w:hAnsi="Calibri"/>
                <w:sz w:val="20"/>
                <w:szCs w:val="20"/>
              </w:rPr>
              <w:t xml:space="preserve">R6, R2</w:t>
            </w:r>
          </w:p>
        </w:tc>
        <w:tc>
          <w:tcPr>
            <w:tcW w:type="dxa" w:w="1000"/>
            <w:tcMar>
              <w:top w:type="dxa" w:w="60"/>
              <w:left w:type="dxa" w:w="100"/>
              <w:bottom w:type="dxa" w:w="60"/>
              <w:right w:type="dxa" w:w="100"/>
            </w:tcMar>
          </w:tcPr>
          <w:p>
            <w:pPr>
              <w:spacing w:after="40" w:before="40"/>
            </w:pPr>
            <w:r>
              <w:rPr>
                <w:rFonts w:ascii="Calibri" w:cs="Calibri" w:eastAsia="Calibri" w:hAnsi="Calibri"/>
                <w:sz w:val="20"/>
                <w:szCs w:val="20"/>
              </w:rPr>
              <w:t xml:space="preserve">CC, CW</w:t>
            </w:r>
          </w:p>
        </w:tc>
      </w:tr>
      <w:tr>
        <w:tc>
          <w:tcPr>
            <w:tcW w:type="dxa" w:w="9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CC-10</w:t>
            </w:r>
          </w:p>
        </w:tc>
        <w:tc>
          <w:tcPr>
            <w:tcW w:type="dxa" w:w="26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Cloud-side audit and identity</w:t>
            </w:r>
          </w:p>
        </w:tc>
        <w:tc>
          <w:tcPr>
            <w:tcW w:type="dxa" w:w="36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Per-developer GCP identity (ADC or Workforce Identity Federation) so Vertex Cloud Audit Logs attribute calls to a person; enable Data Access audit logs on aiplatform.googleapis.com; IAM limited to roles/aiplatform.user on the AI project; budgets, alerts, and per-region quotas; evaluate Vertex request/response logging options for the project during the pilot.</w:t>
            </w:r>
          </w:p>
        </w:tc>
        <w:tc>
          <w:tcPr>
            <w:tcW w:type="dxa" w:w="1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R6</w:t>
            </w:r>
          </w:p>
        </w:tc>
        <w:tc>
          <w:tcPr>
            <w:tcW w:type="dxa" w:w="10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 CW</w:t>
            </w:r>
          </w:p>
        </w:tc>
      </w:tr>
      <w:tr>
        <w:tc>
          <w:tcPr>
            <w:tcW w:type="dxa" w:w="950"/>
            <w:tcMar>
              <w:top w:type="dxa" w:w="60"/>
              <w:left w:type="dxa" w:w="100"/>
              <w:bottom w:type="dxa" w:w="60"/>
              <w:right w:type="dxa" w:w="100"/>
            </w:tcMar>
          </w:tcPr>
          <w:p>
            <w:pPr>
              <w:spacing w:after="40" w:before="40"/>
            </w:pPr>
            <w:r>
              <w:rPr>
                <w:rFonts w:ascii="Calibri" w:cs="Calibri" w:eastAsia="Calibri" w:hAnsi="Calibri"/>
                <w:sz w:val="20"/>
                <w:szCs w:val="20"/>
              </w:rPr>
              <w:t xml:space="preserve">CC-11</w:t>
            </w:r>
          </w:p>
        </w:tc>
        <w:tc>
          <w:tcPr>
            <w:tcW w:type="dxa" w:w="2650"/>
            <w:tcMar>
              <w:top w:type="dxa" w:w="60"/>
              <w:left w:type="dxa" w:w="100"/>
              <w:bottom w:type="dxa" w:w="60"/>
              <w:right w:type="dxa" w:w="100"/>
            </w:tcMar>
          </w:tcPr>
          <w:p>
            <w:pPr>
              <w:spacing w:after="40" w:before="40"/>
            </w:pPr>
            <w:r>
              <w:rPr>
                <w:rFonts w:ascii="Calibri" w:cs="Calibri" w:eastAsia="Calibri" w:hAnsi="Calibri"/>
                <w:sz w:val="20"/>
                <w:szCs w:val="20"/>
              </w:rPr>
              <w:t xml:space="preserve">Network egress control</w:t>
            </w:r>
          </w:p>
        </w:tc>
        <w:tc>
          <w:tcPr>
            <w:tcW w:type="dxa" w:w="3660"/>
            <w:tcMar>
              <w:top w:type="dxa" w:w="60"/>
              <w:left w:type="dxa" w:w="100"/>
              <w:bottom w:type="dxa" w:w="60"/>
              <w:right w:type="dxa" w:w="100"/>
            </w:tcMar>
          </w:tcPr>
          <w:p>
            <w:pPr>
              <w:spacing w:after="40" w:before="40"/>
            </w:pPr>
            <w:r>
              <w:rPr>
                <w:rFonts w:ascii="Calibri" w:cs="Calibri" w:eastAsia="Calibri" w:hAnsi="Calibri"/>
                <w:sz w:val="20"/>
                <w:szCs w:val="20"/>
              </w:rPr>
              <w:t xml:space="preserve">Named egress allowlist per tool (template provided); TLS-inspecting proxy where policy permits, with logging into SIEM; developer VLANs deny direct model-API egress by default so an unmanaged tool fails closed.</w:t>
            </w:r>
          </w:p>
        </w:tc>
        <w:tc>
          <w:tcPr>
            <w:tcW w:type="dxa" w:w="1100"/>
            <w:tcMar>
              <w:top w:type="dxa" w:w="60"/>
              <w:left w:type="dxa" w:w="100"/>
              <w:bottom w:type="dxa" w:w="60"/>
              <w:right w:type="dxa" w:w="100"/>
            </w:tcMar>
          </w:tcPr>
          <w:p>
            <w:pPr>
              <w:spacing w:after="40" w:before="40"/>
            </w:pPr>
            <w:r>
              <w:rPr>
                <w:rFonts w:ascii="Calibri" w:cs="Calibri" w:eastAsia="Calibri" w:hAnsi="Calibri"/>
                <w:sz w:val="20"/>
                <w:szCs w:val="20"/>
              </w:rPr>
              <w:t xml:space="preserve">R4, R6</w:t>
            </w:r>
          </w:p>
        </w:tc>
        <w:tc>
          <w:tcPr>
            <w:tcW w:type="dxa" w:w="1000"/>
            <w:tcMar>
              <w:top w:type="dxa" w:w="60"/>
              <w:left w:type="dxa" w:w="100"/>
              <w:bottom w:type="dxa" w:w="60"/>
              <w:right w:type="dxa" w:w="100"/>
            </w:tcMar>
          </w:tcPr>
          <w:p>
            <w:pPr>
              <w:spacing w:after="40" w:before="40"/>
            </w:pPr>
            <w:r>
              <w:rPr>
                <w:rFonts w:ascii="Calibri" w:cs="Calibri" w:eastAsia="Calibri" w:hAnsi="Calibri"/>
                <w:sz w:val="20"/>
                <w:szCs w:val="20"/>
              </w:rPr>
              <w:t xml:space="preserve">All</w:t>
            </w:r>
          </w:p>
        </w:tc>
      </w:tr>
      <w:tr>
        <w:tc>
          <w:tcPr>
            <w:tcW w:type="dxa" w:w="9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CC-12</w:t>
            </w:r>
          </w:p>
        </w:tc>
        <w:tc>
          <w:tcPr>
            <w:tcW w:type="dxa" w:w="26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Endpoint and identity baseline</w:t>
            </w:r>
          </w:p>
        </w:tc>
        <w:tc>
          <w:tcPr>
            <w:tcW w:type="dxa" w:w="36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No local admin for daily accounts; EDR detections tuned for agent misuse (bypass flags, mass file reads by the CLI, unexpected child processes of the agent); device trust required for GCP auth; screen-lock/short-session policies on shared machines.</w:t>
            </w:r>
          </w:p>
        </w:tc>
        <w:tc>
          <w:tcPr>
            <w:tcW w:type="dxa" w:w="1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R2</w:t>
            </w:r>
          </w:p>
        </w:tc>
        <w:tc>
          <w:tcPr>
            <w:tcW w:type="dxa" w:w="10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All</w:t>
            </w:r>
          </w:p>
        </w:tc>
      </w:tr>
      <w:tr>
        <w:tc>
          <w:tcPr>
            <w:tcW w:type="dxa" w:w="950"/>
            <w:tcMar>
              <w:top w:type="dxa" w:w="60"/>
              <w:left w:type="dxa" w:w="100"/>
              <w:bottom w:type="dxa" w:w="60"/>
              <w:right w:type="dxa" w:w="100"/>
            </w:tcMar>
          </w:tcPr>
          <w:p>
            <w:pPr>
              <w:spacing w:after="40" w:before="40"/>
            </w:pPr>
            <w:r>
              <w:rPr>
                <w:rFonts w:ascii="Calibri" w:cs="Calibri" w:eastAsia="Calibri" w:hAnsi="Calibri"/>
                <w:sz w:val="20"/>
                <w:szCs w:val="20"/>
              </w:rPr>
              <w:t xml:space="preserve">CC-13</w:t>
            </w:r>
          </w:p>
        </w:tc>
        <w:tc>
          <w:tcPr>
            <w:tcW w:type="dxa" w:w="2650"/>
            <w:tcMar>
              <w:top w:type="dxa" w:w="60"/>
              <w:left w:type="dxa" w:w="100"/>
              <w:bottom w:type="dxa" w:w="60"/>
              <w:right w:type="dxa" w:w="100"/>
            </w:tcMar>
          </w:tcPr>
          <w:p>
            <w:pPr>
              <w:spacing w:after="40" w:before="40"/>
            </w:pPr>
            <w:r>
              <w:rPr>
                <w:rFonts w:ascii="Calibri" w:cs="Calibri" w:eastAsia="Calibri" w:hAnsi="Calibri"/>
                <w:sz w:val="20"/>
                <w:szCs w:val="20"/>
              </w:rPr>
              <w:t xml:space="preserve">Version and vulnerability management</w:t>
            </w:r>
          </w:p>
        </w:tc>
        <w:tc>
          <w:tcPr>
            <w:tcW w:type="dxa" w:w="3660"/>
            <w:tcMar>
              <w:top w:type="dxa" w:w="60"/>
              <w:left w:type="dxa" w:w="100"/>
              <w:bottom w:type="dxa" w:w="60"/>
              <w:right w:type="dxa" w:w="100"/>
            </w:tcMar>
          </w:tcPr>
          <w:p>
            <w:pPr>
              <w:spacing w:after="40" w:before="40"/>
            </w:pPr>
            <w:r>
              <w:rPr>
                <w:rFonts w:ascii="Calibri" w:cs="Calibri" w:eastAsia="Calibri" w:hAnsi="Calibri"/>
                <w:sz w:val="20"/>
                <w:szCs w:val="20"/>
              </w:rPr>
              <w:t xml:space="preserve">Pin tool versions; distribute via internal artifact repository / endpoint management (required anyway once auto-update is disabled); subscribe to vendor advisories; AI coding tools join the standard vulnerability-scanning and patch cadence — this is the direct answer to SMD IQ’s vulnerability-scanning question.</w:t>
            </w:r>
          </w:p>
        </w:tc>
        <w:tc>
          <w:tcPr>
            <w:tcW w:type="dxa" w:w="1100"/>
            <w:tcMar>
              <w:top w:type="dxa" w:w="60"/>
              <w:left w:type="dxa" w:w="100"/>
              <w:bottom w:type="dxa" w:w="60"/>
              <w:right w:type="dxa" w:w="100"/>
            </w:tcMar>
          </w:tcPr>
          <w:p>
            <w:pPr>
              <w:spacing w:after="40" w:before="40"/>
            </w:pPr>
            <w:r>
              <w:rPr>
                <w:rFonts w:ascii="Calibri" w:cs="Calibri" w:eastAsia="Calibri" w:hAnsi="Calibri"/>
                <w:sz w:val="20"/>
                <w:szCs w:val="20"/>
              </w:rPr>
              <w:t xml:space="preserve">R2, R5</w:t>
            </w:r>
          </w:p>
        </w:tc>
        <w:tc>
          <w:tcPr>
            <w:tcW w:type="dxa" w:w="1000"/>
            <w:tcMar>
              <w:top w:type="dxa" w:w="60"/>
              <w:left w:type="dxa" w:w="100"/>
              <w:bottom w:type="dxa" w:w="60"/>
              <w:right w:type="dxa" w:w="100"/>
            </w:tcMar>
          </w:tcPr>
          <w:p>
            <w:pPr>
              <w:spacing w:after="40" w:before="40"/>
            </w:pPr>
            <w:r>
              <w:rPr>
                <w:rFonts w:ascii="Calibri" w:cs="Calibri" w:eastAsia="Calibri" w:hAnsi="Calibri"/>
                <w:sz w:val="20"/>
                <w:szCs w:val="20"/>
              </w:rPr>
              <w:t xml:space="preserve">All</w:t>
            </w:r>
          </w:p>
        </w:tc>
      </w:tr>
      <w:tr>
        <w:tc>
          <w:tcPr>
            <w:tcW w:type="dxa" w:w="9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CC-14</w:t>
            </w:r>
          </w:p>
        </w:tc>
        <w:tc>
          <w:tcPr>
            <w:tcW w:type="dxa" w:w="26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AUP, training, and approval workflow</w:t>
            </w:r>
          </w:p>
        </w:tc>
        <w:tc>
          <w:tcPr>
            <w:tcW w:type="dxa" w:w="36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 one-page acceptable-use standard: what data may enter prompts, mandatory review of agent-written code before merge, injection-awareness, incident reporting path. New tools/MCP servers/extensions request via a standing intake reviewed by InfoSec; this package’s facts are re-verified quarterly (vendor behavior changes fast — see Section 7).</w:t>
            </w:r>
          </w:p>
        </w:tc>
        <w:tc>
          <w:tcPr>
            <w:tcW w:type="dxa" w:w="11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R1, R3</w:t>
            </w:r>
          </w:p>
        </w:tc>
        <w:tc>
          <w:tcPr>
            <w:tcW w:type="dxa" w:w="100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All</w:t>
            </w:r>
          </w:p>
        </w:tc>
      </w:tr>
    </w:tbl>
    <w:p>
      <w:pPr>
        <w:spacing w:after="120" w:before="0"/>
      </w:pPr>
      <w:r>
        <w:rPr>
          <w:rFonts w:ascii="Calibri" w:cs="Calibri" w:eastAsia="Calibri" w:hAnsi="Calibri"/>
          <w:sz w:val="22"/>
          <w:szCs w:val="22"/>
        </w:rPr>
        <w:t xml:space="preserve"/>
      </w:r>
    </w:p>
    <w:p>
      <w:pPr>
        <w:pStyle w:val="Heading1"/>
        <w:spacing w:after="160" w:before="320"/>
      </w:pPr>
      <w:r>
        <w:rPr>
          <w:rFonts w:ascii="Calibri" w:cs="Calibri" w:eastAsia="Calibri" w:hAnsi="Calibri"/>
        </w:rPr>
        <w:t xml:space="preserve">5. Target state: what the Enterprise AI Gateway must provide</w:t>
      </w:r>
    </w:p>
    <w:p>
      <w:pPr>
        <w:spacing w:after="160" w:before="0"/>
      </w:pPr>
      <w:r>
        <w:rPr>
          <w:rFonts w:ascii="Calibri" w:cs="Calibri" w:eastAsia="Calibri" w:hAnsi="Calibri"/>
          <w:sz w:val="22"/>
          <w:szCs w:val="22"/>
        </w:rPr>
        <w:t xml:space="preserve">The interim controls should be designed so that cutting over to the Gateway is a routing change, not a re-architecture. Concretely, the Gateway inherits CC-02/CC-09/CC-10/CC-11 as platform features:</w:t>
      </w:r>
    </w:p>
    <w:p>
      <w:pPr>
        <w:pStyle w:val="ListParagraph"/>
        <w:numPr>
          <w:ilvl w:val="0"/>
          <w:numId w:val="2"/>
        </w:numPr>
        <w:spacing w:after="80"/>
      </w:pPr>
      <w:r>
        <w:rPr>
          <w:rFonts w:ascii="Calibri" w:cs="Calibri" w:eastAsia="Calibri" w:hAnsi="Calibri"/>
          <w:sz w:val="22"/>
          <w:szCs w:val="22"/>
        </w:rPr>
        <w:t xml:space="preserve">Identity and authorization: per-developer SSO-federated identity on every inference call; model and feature entitlements by team; instant revocation.</w:t>
      </w:r>
    </w:p>
    <w:p>
      <w:pPr>
        <w:pStyle w:val="ListParagraph"/>
        <w:numPr>
          <w:ilvl w:val="0"/>
          <w:numId w:val="2"/>
        </w:numPr>
        <w:spacing w:after="80"/>
      </w:pPr>
      <w:r>
        <w:rPr>
          <w:rFonts w:ascii="Calibri" w:cs="Calibri" w:eastAsia="Calibri" w:hAnsi="Calibri"/>
          <w:sz w:val="22"/>
          <w:szCs w:val="22"/>
        </w:rPr>
        <w:t xml:space="preserve">Policy enforcement in-line: model allowlist and version pinning; request/response logging to SIEM with defined retention; inline secret/PII detection and redaction on prompts where feasible; rate, token, and budget limits per user/team.</w:t>
      </w:r>
    </w:p>
    <w:p>
      <w:pPr>
        <w:pStyle w:val="ListParagraph"/>
        <w:numPr>
          <w:ilvl w:val="0"/>
          <w:numId w:val="2"/>
        </w:numPr>
        <w:spacing w:after="80"/>
      </w:pPr>
      <w:r>
        <w:rPr>
          <w:rFonts w:ascii="Calibri" w:cs="Calibri" w:eastAsia="Calibri" w:hAnsi="Calibri"/>
          <w:sz w:val="22"/>
          <w:szCs w:val="22"/>
        </w:rPr>
        <w:t xml:space="preserve">Boundary guarantees: Gateway endpoints inside SMD’s GCP perimeter (VPC-SC), regional pinning, and — for tools — an Anthropic-/OpenAI-compatible /v1/messages-style surface so Claude Code (ANTHROPIC_BASE_URL/ANTHROPIC_VERTEX_BASE_URL), Cowork (gateway provider mode), and other compliant clients can be re-pointed by changing one managed setting. Note: when Claude Code is pointed at a custom base URL, Anthropic’s server-delivered settings do not apply — MDM-managed settings remain the enforcement layer, which is why CC-01 uses MDM now.</w:t>
      </w:r>
    </w:p>
    <w:p>
      <w:pPr>
        <w:pStyle w:val="ListParagraph"/>
        <w:numPr>
          <w:ilvl w:val="0"/>
          <w:numId w:val="2"/>
        </w:numPr>
        <w:spacing w:after="80"/>
      </w:pPr>
      <w:r>
        <w:rPr>
          <w:rFonts w:ascii="Calibri" w:cs="Calibri" w:eastAsia="Calibri" w:hAnsi="Calibri"/>
          <w:sz w:val="22"/>
          <w:szCs w:val="22"/>
        </w:rPr>
        <w:t xml:space="preserve">Observability: OTel-native ingestion so tool-side telemetry and gateway-side request logs correlate on user/session identifiers — closing R6 end-to-end.</w:t>
      </w:r>
    </w:p>
    <w:p>
      <w:pPr>
        <w:spacing w:after="160" w:before="0"/>
      </w:pPr>
      <w:r>
        <w:rPr>
          <w:rFonts w:ascii="Calibri" w:cs="Calibri" w:eastAsia="Calibri" w:hAnsi="Calibri"/>
          <w:sz w:val="22"/>
          <w:szCs w:val="22"/>
        </w:rPr>
        <w:t xml:space="preserve">Tool onboarding criteria (procurement gate). A tool qualifies for the SMD AI estate only if it: (1) sends inference directly from the client to a customer-configured endpoint with no vendor-side prompt assembly or code indexing, or offers a first-party integration with our cloud; (2) supports centrally enforceable, non-overridable client policy (MDM/GPO); (3) emits audit telemetry (OTel or equivalent); (4) supports allowlisted/signed extensions and MCP; and (5) documents subprocessors with zero-data-retention terms for any residual vendor path. Today: Claude Code and Cowork (3P mode) meet 1–5; VS Code is in scope only for 2–4 and meets them; Cursor fails criterion 1 structurally — which is precisely why it should be a named exception, not a precedent.</w:t>
      </w:r>
    </w:p>
    <w:p>
      <w:pPr>
        <w:pStyle w:val="Heading1"/>
        <w:spacing w:after="160" w:before="320"/>
      </w:pPr>
      <w:r>
        <w:rPr>
          <w:rFonts w:ascii="Calibri" w:cs="Calibri" w:eastAsia="Calibri" w:hAnsi="Calibri"/>
        </w:rPr>
        <w:t xml:space="preserve">6. Recommended decisions, rollout phasing, and answers to SMD 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5160"/>
      </w:tblGrid>
      <w:tr>
        <w:trPr>
          <w:tblHeader/>
        </w:trPr>
        <w:tc>
          <w:tcPr>
            <w:tcW w:type="dxa" w:w="175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Phase</w:t>
            </w:r>
          </w:p>
        </w:tc>
        <w:tc>
          <w:tcPr>
            <w:tcW w:type="dxa" w:w="245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Timeline</w:t>
            </w:r>
          </w:p>
        </w:tc>
        <w:tc>
          <w:tcPr>
            <w:tcW w:type="dxa" w:w="5160"/>
            <w:shd w:fill="8A0F1B"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Content</w:t>
            </w:r>
          </w:p>
        </w:tc>
      </w:tr>
      <w:tr>
        <w:tc>
          <w:tcPr>
            <w:tcW w:type="dxa" w:w="1750"/>
            <w:tcMar>
              <w:top w:type="dxa" w:w="60"/>
              <w:left w:type="dxa" w:w="100"/>
              <w:bottom w:type="dxa" w:w="60"/>
              <w:right w:type="dxa" w:w="100"/>
            </w:tcMar>
          </w:tcPr>
          <w:p>
            <w:pPr>
              <w:spacing w:after="40" w:before="40"/>
            </w:pPr>
            <w:r>
              <w:rPr>
                <w:rFonts w:ascii="Calibri" w:cs="Calibri" w:eastAsia="Calibri" w:hAnsi="Calibri"/>
                <w:sz w:val="20"/>
                <w:szCs w:val="20"/>
              </w:rPr>
              <w:t xml:space="preserve">Phase 0 — Baseline</w:t>
            </w:r>
          </w:p>
        </w:tc>
        <w:tc>
          <w:tcPr>
            <w:tcW w:type="dxa" w:w="2450"/>
            <w:tcMar>
              <w:top w:type="dxa" w:w="60"/>
              <w:left w:type="dxa" w:w="100"/>
              <w:bottom w:type="dxa" w:w="60"/>
              <w:right w:type="dxa" w:w="100"/>
            </w:tcMar>
          </w:tcPr>
          <w:p>
            <w:pPr>
              <w:spacing w:after="40" w:before="40"/>
            </w:pPr>
            <w:r>
              <w:rPr>
                <w:rFonts w:ascii="Calibri" w:cs="Calibri" w:eastAsia="Calibri" w:hAnsi="Calibri"/>
                <w:sz w:val="20"/>
                <w:szCs w:val="20"/>
              </w:rPr>
              <w:t xml:space="preserve">Now → +2 weeks</w:t>
            </w:r>
          </w:p>
        </w:tc>
        <w:tc>
          <w:tcPr>
            <w:tcW w:type="dxa" w:w="5160"/>
            <w:tcMar>
              <w:top w:type="dxa" w:w="60"/>
              <w:left w:type="dxa" w:w="100"/>
              <w:bottom w:type="dxa" w:w="60"/>
              <w:right w:type="dxa" w:w="100"/>
            </w:tcMar>
          </w:tcPr>
          <w:p>
            <w:pPr>
              <w:spacing w:after="40" w:before="40"/>
            </w:pPr>
            <w:r>
              <w:rPr>
                <w:rFonts w:ascii="Calibri" w:cs="Calibri" w:eastAsia="Calibri" w:hAnsi="Calibri"/>
                <w:sz w:val="20"/>
                <w:szCs w:val="20"/>
              </w:rPr>
              <w:t xml:space="preserve">Deploy VS Code policy baseline (telemetry, updates, AllowedExtensions incl. Claude Code extension). Stand up OTel collector + SIEM pipeline and dashboards. Implement egress allowlist on the SMD IQ VLAN. Publish AUP; run a 30-minute enablement/injection-awareness session. Create the Vertex AI project (IAM, budgets, audit logs, org policies, model access in Model Garden, pinned model versions).</w:t>
            </w:r>
          </w:p>
        </w:tc>
      </w:tr>
      <w:tr>
        <w:tc>
          <w:tcPr>
            <w:tcW w:type="dxa" w:w="17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Phase 1 — Claude Code pilot</w:t>
            </w:r>
          </w:p>
        </w:tc>
        <w:tc>
          <w:tcPr>
            <w:tcW w:type="dxa" w:w="24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30 days</w:t>
            </w:r>
          </w:p>
        </w:tc>
        <w:tc>
          <w:tcPr>
            <w:tcW w:type="dxa" w:w="51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SMD IQ team only. MDM push of managed-settings.json; ADC/WIF auth; verify enforcement tests in README (Vertex status line, deny rules fire, bypass mode rejected, OTel events arriving, blocked vendor-telemetry domains). Weekly review of telemetry detections; exit criteria: no P1 findings, controls verified, developer workflow acceptable.</w:t>
            </w:r>
          </w:p>
        </w:tc>
      </w:tr>
      <w:tr>
        <w:tc>
          <w:tcPr>
            <w:tcW w:type="dxa" w:w="1750"/>
            <w:tcMar>
              <w:top w:type="dxa" w:w="60"/>
              <w:left w:type="dxa" w:w="100"/>
              <w:bottom w:type="dxa" w:w="60"/>
              <w:right w:type="dxa" w:w="100"/>
            </w:tcMar>
          </w:tcPr>
          <w:p>
            <w:pPr>
              <w:spacing w:after="40" w:before="40"/>
            </w:pPr>
            <w:r>
              <w:rPr>
                <w:rFonts w:ascii="Calibri" w:cs="Calibri" w:eastAsia="Calibri" w:hAnsi="Calibri"/>
                <w:sz w:val="20"/>
                <w:szCs w:val="20"/>
              </w:rPr>
              <w:t xml:space="preserve">Phase 2 — Cowork scoped pilot</w:t>
            </w:r>
          </w:p>
        </w:tc>
        <w:tc>
          <w:tcPr>
            <w:tcW w:type="dxa" w:w="2450"/>
            <w:tcMar>
              <w:top w:type="dxa" w:w="60"/>
              <w:left w:type="dxa" w:w="100"/>
              <w:bottom w:type="dxa" w:w="60"/>
              <w:right w:type="dxa" w:w="100"/>
            </w:tcMar>
          </w:tcPr>
          <w:p>
            <w:pPr>
              <w:spacing w:after="40" w:before="40"/>
            </w:pPr>
            <w:r>
              <w:rPr>
                <w:rFonts w:ascii="Calibri" w:cs="Calibri" w:eastAsia="Calibri" w:hAnsi="Calibri"/>
                <w:sz w:val="20"/>
                <w:szCs w:val="20"/>
              </w:rPr>
              <w:t xml:space="preserve">After Phase 1 exit</w:t>
            </w:r>
          </w:p>
        </w:tc>
        <w:tc>
          <w:tcPr>
            <w:tcW w:type="dxa" w:w="5160"/>
            <w:tcMar>
              <w:top w:type="dxa" w:w="60"/>
              <w:left w:type="dxa" w:w="100"/>
              <w:bottom w:type="dxa" w:w="60"/>
              <w:right w:type="dxa" w:w="100"/>
            </w:tcMar>
          </w:tcPr>
          <w:p>
            <w:pPr>
              <w:spacing w:after="40" w:before="40"/>
            </w:pPr>
            <w:r>
              <w:rPr>
                <w:rFonts w:ascii="Calibri" w:cs="Calibri" w:eastAsia="Calibri" w:hAnsi="Calibri"/>
                <w:sz w:val="20"/>
                <w:szCs w:val="20"/>
              </w:rPr>
              <w:t xml:space="preserve">Validate current Anthropic 3P/Vertex support articles; deploy MDM profile (Vertex provider, model allowlist, managed MCP, signed extensions only, WebSearch/Bash disabled initially); same Vertex project + OTel pipeline; small cohort within SMD IQ.</w:t>
            </w:r>
          </w:p>
        </w:tc>
      </w:tr>
      <w:tr>
        <w:tc>
          <w:tcPr>
            <w:tcW w:type="dxa" w:w="17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Parallel — Cursor decision</w:t>
            </w:r>
          </w:p>
        </w:tc>
        <w:tc>
          <w:tcPr>
            <w:tcW w:type="dxa" w:w="245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30–60 days</w:t>
            </w:r>
          </w:p>
        </w:tc>
        <w:tc>
          <w:tcPr>
            <w:tcW w:type="dxa" w:w="5160"/>
            <w:shd w:fill="F2F2F2" w:val="clear"/>
            <w:tcMar>
              <w:top w:type="dxa" w:w="60"/>
              <w:left w:type="dxa" w:w="100"/>
              <w:bottom w:type="dxa" w:w="60"/>
              <w:right w:type="dxa" w:w="100"/>
            </w:tcMar>
          </w:tcPr>
          <w:p>
            <w:pPr>
              <w:spacing w:after="40" w:before="40"/>
            </w:pPr>
            <w:r>
              <w:rPr>
                <w:rFonts w:ascii="Calibri" w:cs="Calibri" w:eastAsia="Calibri" w:hAnsi="Calibri"/>
                <w:sz w:val="20"/>
                <w:szCs w:val="20"/>
              </w:rPr>
              <w:t xml:space="preserve">TPRM assessment against Section 3.3 requirements; business-case review with SMD IQ. Default outcome: defer to Gateway timeframe; document as a named exception if accepted earlier.</w:t>
            </w:r>
          </w:p>
        </w:tc>
      </w:tr>
      <w:tr>
        <w:tc>
          <w:tcPr>
            <w:tcW w:type="dxa" w:w="1750"/>
            <w:tcMar>
              <w:top w:type="dxa" w:w="60"/>
              <w:left w:type="dxa" w:w="100"/>
              <w:bottom w:type="dxa" w:w="60"/>
              <w:right w:type="dxa" w:w="100"/>
            </w:tcMar>
          </w:tcPr>
          <w:p>
            <w:pPr>
              <w:spacing w:after="40" w:before="40"/>
            </w:pPr>
            <w:r>
              <w:rPr>
                <w:rFonts w:ascii="Calibri" w:cs="Calibri" w:eastAsia="Calibri" w:hAnsi="Calibri"/>
                <w:sz w:val="20"/>
                <w:szCs w:val="20"/>
              </w:rPr>
              <w:t xml:space="preserve">Convergence</w:t>
            </w:r>
          </w:p>
        </w:tc>
        <w:tc>
          <w:tcPr>
            <w:tcW w:type="dxa" w:w="2450"/>
            <w:tcMar>
              <w:top w:type="dxa" w:w="60"/>
              <w:left w:type="dxa" w:w="100"/>
              <w:bottom w:type="dxa" w:w="60"/>
              <w:right w:type="dxa" w:w="100"/>
            </w:tcMar>
          </w:tcPr>
          <w:p>
            <w:pPr>
              <w:spacing w:after="40" w:before="40"/>
            </w:pPr>
            <w:r>
              <w:rPr>
                <w:rFonts w:ascii="Calibri" w:cs="Calibri" w:eastAsia="Calibri" w:hAnsi="Calibri"/>
                <w:sz w:val="20"/>
                <w:szCs w:val="20"/>
              </w:rPr>
              <w:t xml:space="preserve">Gateway GA</w:t>
            </w:r>
          </w:p>
        </w:tc>
        <w:tc>
          <w:tcPr>
            <w:tcW w:type="dxa" w:w="5160"/>
            <w:tcMar>
              <w:top w:type="dxa" w:w="60"/>
              <w:left w:type="dxa" w:w="100"/>
              <w:bottom w:type="dxa" w:w="60"/>
              <w:right w:type="dxa" w:w="100"/>
            </w:tcMar>
          </w:tcPr>
          <w:p>
            <w:pPr>
              <w:spacing w:after="40" w:before="40"/>
            </w:pPr>
            <w:r>
              <w:rPr>
                <w:rFonts w:ascii="Calibri" w:cs="Calibri" w:eastAsia="Calibri" w:hAnsi="Calibri"/>
                <w:sz w:val="20"/>
                <w:szCs w:val="20"/>
              </w:rPr>
              <w:t xml:space="preserve">Re-point Claude Code/Cowork managed configs from direct Vertex to Gateway endpoints; retire interim network exceptions; onboarding criteria in Section 5 become the standing procurement gate.</w:t>
            </w:r>
          </w:p>
        </w:tc>
      </w:tr>
    </w:tbl>
    <w:p>
      <w:pPr>
        <w:spacing w:after="120" w:before="0"/>
      </w:pPr>
      <w:r>
        <w:rPr>
          <w:rFonts w:ascii="Calibri" w:cs="Calibri" w:eastAsia="Calibri" w:hAnsi="Calibri"/>
          <w:sz w:val="22"/>
          <w:szCs w:val="22"/>
        </w:rPr>
        <w:t xml:space="preserve"/>
      </w:r>
    </w:p>
    <w:p>
      <w:pPr>
        <w:pStyle w:val="Heading2"/>
        <w:spacing w:after="120" w:before="260"/>
      </w:pPr>
      <w:r>
        <w:rPr>
          <w:rFonts w:ascii="Calibri" w:cs="Calibri" w:eastAsia="Calibri" w:hAnsi="Calibri"/>
        </w:rPr>
        <w:t xml:space="preserve">6.1 Direct answers to the questions raised in the thread</w:t>
      </w:r>
    </w:p>
    <w:p>
      <w:pPr>
        <w:spacing w:after="160" w:before="0"/>
      </w:pPr>
      <w:r>
        <w:rPr>
          <w:rFonts w:ascii="Calibri" w:cs="Calibri" w:eastAsia="Calibri" w:hAnsi="Calibri"/>
          <w:sz w:val="22"/>
          <w:szCs w:val="22"/>
        </w:rPr>
        <w:t xml:space="preserve">Vulnerability scanning / approved state: AI coding tools enter the standard endpoint-software lifecycle — internal distribution, pinned versions, vulnerability scanning and advisory tracking (CC-13). Their approval, however, is gated on the controls above, not on a scan alone, because the dominant risks (R1–R3, R5–R6) are not CVE-shaped.</w:t>
      </w:r>
    </w:p>
    <w:p>
      <w:pPr>
        <w:spacing w:after="160" w:before="0"/>
      </w:pPr>
      <w:r>
        <w:rPr>
          <w:rFonts w:ascii="Calibri" w:cs="Calibri" w:eastAsia="Calibri" w:hAnsi="Calibri"/>
          <w:sz w:val="22"/>
          <w:szCs w:val="22"/>
        </w:rPr>
        <w:t xml:space="preserve">Procurement and licensing: in Vertex mode, Claude Code and Cowork model usage is metered and billed through SMD’s existing GCP agreement (no separate Anthropic inference contract required); confirm desktop/client licensing terms with Anthropic for Cowork and any seat requirements during Phase 2 planning. VS Code is free under Microsoft’s license. Cursor would require a commercial Teams/Enterprise agreement and a DPA — part of the TPRM track. Vertex model access itself requires one-time enablement per model in Model Garden with 24–48h lead time; capacity is managed via per-region quotas.</w:t>
      </w:r>
    </w:p>
    <w:p>
      <w:pPr>
        <w:spacing w:after="160" w:before="0"/>
      </w:pPr>
      <w:r>
        <w:rPr>
          <w:rFonts w:ascii="Calibri" w:cs="Calibri" w:eastAsia="Calibri" w:hAnsi="Calibri"/>
          <w:sz w:val="22"/>
          <w:szCs w:val="22"/>
        </w:rPr>
        <w:t xml:space="preserve">Compliance and governance of third-party processing: for Claude Code/Cowork on Vertex, processing stays under the SMD–Google agreement (partner models do not train on our inputs; regional pinning; IAM audit). Cursor is the only tool in the request that would add a new third-party processor of source code; that is exactly why it is sequenced behind a TPRM decision rather than a technical configuration.</w:t>
      </w:r>
    </w:p>
    <w:p>
      <w:pPr>
        <w:pStyle w:val="Heading1"/>
        <w:spacing w:after="160" w:before="320"/>
      </w:pPr>
      <w:r>
        <w:rPr>
          <w:rFonts w:ascii="Calibri" w:cs="Calibri" w:eastAsia="Calibri" w:hAnsi="Calibri"/>
        </w:rPr>
        <w:t xml:space="preserve">7. Facts to re-verify at rollout (fast-moving vendor behavior)</w:t>
      </w:r>
    </w:p>
    <w:p>
      <w:pPr>
        <w:pStyle w:val="ListParagraph"/>
        <w:numPr>
          <w:ilvl w:val="0"/>
          <w:numId w:val="2"/>
        </w:numPr>
        <w:spacing w:after="80"/>
      </w:pPr>
      <w:r>
        <w:rPr>
          <w:rFonts w:ascii="Calibri" w:cs="Calibri" w:eastAsia="Calibri" w:hAnsi="Calibri"/>
          <w:sz w:val="22"/>
          <w:szCs w:val="22"/>
        </w:rPr>
        <w:t xml:space="preserve">Claude Code: enforcement of permissions.disableBypassPermissionsMode on the pinned version (GitHub issue #44642); current managed-settings schema; sandbox availability on our OS mix.</w:t>
      </w:r>
    </w:p>
    <w:p>
      <w:pPr>
        <w:pStyle w:val="ListParagraph"/>
        <w:numPr>
          <w:ilvl w:val="0"/>
          <w:numId w:val="2"/>
        </w:numPr>
        <w:spacing w:after="80"/>
      </w:pPr>
      <w:r>
        <w:rPr>
          <w:rFonts w:ascii="Calibri" w:cs="Calibri" w:eastAsia="Calibri" w:hAnsi="Calibri"/>
          <w:sz w:val="22"/>
          <w:szCs w:val="22"/>
        </w:rPr>
        <w:t xml:space="preserve">Cowork: current state of the third-party deployment articles (gateway/inference, plugins/MCP, MDM reference — April 2026 series), exact MDM key names from the current reference table, Windows Virtual Machine Platform prerequisite, and OTel event coverage.</w:t>
      </w:r>
    </w:p>
    <w:p>
      <w:pPr>
        <w:pStyle w:val="ListParagraph"/>
        <w:numPr>
          <w:ilvl w:val="0"/>
          <w:numId w:val="2"/>
        </w:numPr>
        <w:spacing w:after="80"/>
      </w:pPr>
      <w:r>
        <w:rPr>
          <w:rFonts w:ascii="Calibri" w:cs="Calibri" w:eastAsia="Calibri" w:hAnsi="Calibri"/>
          <w:sz w:val="22"/>
          <w:szCs w:val="22"/>
        </w:rPr>
        <w:t xml:space="preserve">Cursor: whether Vertex has shipped as a first-party provider; whether backend transit for BYOK has changed; current Privacy Mode contractual language and subprocessor list.</w:t>
      </w:r>
    </w:p>
    <w:p>
      <w:pPr>
        <w:pStyle w:val="ListParagraph"/>
        <w:numPr>
          <w:ilvl w:val="0"/>
          <w:numId w:val="2"/>
        </w:numPr>
        <w:spacing w:after="80"/>
      </w:pPr>
      <w:r>
        <w:rPr>
          <w:rFonts w:ascii="Calibri" w:cs="Calibri" w:eastAsia="Calibri" w:hAnsi="Calibri"/>
          <w:sz w:val="22"/>
          <w:szCs w:val="22"/>
        </w:rPr>
        <w:t xml:space="preserve">VS Code: AllowedExtensions syntax on the deployed version; macOS profile support status; exact marketplace ID of the Claude Code extension; Copilot/chat/MCP policy names on current release.</w:t>
      </w:r>
    </w:p>
    <w:p>
      <w:pPr>
        <w:pStyle w:val="ListParagraph"/>
        <w:numPr>
          <w:ilvl w:val="0"/>
          <w:numId w:val="2"/>
        </w:numPr>
        <w:spacing w:after="80"/>
      </w:pPr>
      <w:r>
        <w:rPr>
          <w:rFonts w:ascii="Calibri" w:cs="Calibri" w:eastAsia="Calibri" w:hAnsi="Calibri"/>
          <w:sz w:val="22"/>
          <w:szCs w:val="22"/>
        </w:rPr>
        <w:t xml:space="preserve">Vertex: request/response logging options for partner models; org-policy defaults for partner model features (web search default-deny enforcement timing); VPC-SC interactions.</w:t>
      </w:r>
    </w:p>
    <w:p>
      <w:pPr>
        <w:pStyle w:val="Heading1"/>
        <w:spacing w:after="160" w:before="320"/>
      </w:pPr>
      <w:r>
        <w:rPr>
          <w:rFonts w:ascii="Calibri" w:cs="Calibri" w:eastAsia="Calibri" w:hAnsi="Calibri"/>
        </w:rPr>
        <w:t xml:space="preserve">8. Template index and references</w:t>
      </w:r>
    </w:p>
    <w:p>
      <w:pPr>
        <w:pStyle w:val="Heading2"/>
        <w:spacing w:after="120" w:before="260"/>
      </w:pPr>
      <w:r>
        <w:rPr>
          <w:rFonts w:ascii="Calibri" w:cs="Calibri" w:eastAsia="Calibri" w:hAnsi="Calibri"/>
        </w:rPr>
        <w:t xml:space="preserve">8.1 Accompanying templates</w:t>
      </w:r>
    </w:p>
    <w:p>
      <w:pPr>
        <w:pStyle w:val="ListParagraph"/>
        <w:numPr>
          <w:ilvl w:val="0"/>
          <w:numId w:val="2"/>
        </w:numPr>
        <w:spacing w:after="80"/>
      </w:pPr>
      <w:r>
        <w:rPr>
          <w:rFonts w:ascii="Calibri" w:cs="Calibri" w:eastAsia="Calibri" w:hAnsi="Calibri"/>
          <w:sz w:val="22"/>
          <w:szCs w:val="22"/>
        </w:rPr>
        <w:t xml:space="preserve">templates/claude-code-managed-settings.json — enforced org policy for Claude Code (routing, permissions, telemetry).</w:t>
      </w:r>
    </w:p>
    <w:p>
      <w:pPr>
        <w:pStyle w:val="ListParagraph"/>
        <w:numPr>
          <w:ilvl w:val="0"/>
          <w:numId w:val="2"/>
        </w:numPr>
        <w:spacing w:after="80"/>
      </w:pPr>
      <w:r>
        <w:rPr>
          <w:rFonts w:ascii="Calibri" w:cs="Calibri" w:eastAsia="Calibri" w:hAnsi="Calibri"/>
          <w:sz w:val="22"/>
          <w:szCs w:val="22"/>
        </w:rPr>
        <w:t xml:space="preserve">templates/claude-code-vertex-pilot.env — environment file for pilot/CI use mirroring the managed policy.</w:t>
      </w:r>
    </w:p>
    <w:p>
      <w:pPr>
        <w:pStyle w:val="ListParagraph"/>
        <w:numPr>
          <w:ilvl w:val="0"/>
          <w:numId w:val="2"/>
        </w:numPr>
        <w:spacing w:after="80"/>
      </w:pPr>
      <w:r>
        <w:rPr>
          <w:rFonts w:ascii="Calibri" w:cs="Calibri" w:eastAsia="Calibri" w:hAnsi="Calibri"/>
          <w:sz w:val="22"/>
          <w:szCs w:val="22"/>
        </w:rPr>
        <w:t xml:space="preserve">templates/cowork-3p-vertex-policy.md — MDM policy checklist for Cowork on Vertex (verified keys + pointers to the authoritative reference).</w:t>
      </w:r>
    </w:p>
    <w:p>
      <w:pPr>
        <w:pStyle w:val="ListParagraph"/>
        <w:numPr>
          <w:ilvl w:val="0"/>
          <w:numId w:val="2"/>
        </w:numPr>
        <w:spacing w:after="80"/>
      </w:pPr>
      <w:r>
        <w:rPr>
          <w:rFonts w:ascii="Calibri" w:cs="Calibri" w:eastAsia="Calibri" w:hAnsi="Calibri"/>
          <w:sz w:val="22"/>
          <w:szCs w:val="22"/>
        </w:rPr>
        <w:t xml:space="preserve">templates/vscode-policy-baseline.json — VS Code enterprise policy values (telemetry, updates, extension allowlist) with per-OS deployment notes.</w:t>
      </w:r>
    </w:p>
    <w:p>
      <w:pPr>
        <w:pStyle w:val="ListParagraph"/>
        <w:numPr>
          <w:ilvl w:val="0"/>
          <w:numId w:val="2"/>
        </w:numPr>
        <w:spacing w:after="80"/>
      </w:pPr>
      <w:r>
        <w:rPr>
          <w:rFonts w:ascii="Calibri" w:cs="Calibri" w:eastAsia="Calibri" w:hAnsi="Calibri"/>
          <w:sz w:val="22"/>
          <w:szCs w:val="22"/>
        </w:rPr>
        <w:t xml:space="preserve">templates/cursor-conditional-controls.md — conditional-approval requirements and hardening checklist if Cursor proceeds via TPRM.</w:t>
      </w:r>
    </w:p>
    <w:p>
      <w:pPr>
        <w:pStyle w:val="ListParagraph"/>
        <w:numPr>
          <w:ilvl w:val="0"/>
          <w:numId w:val="2"/>
        </w:numPr>
        <w:spacing w:after="80"/>
      </w:pPr>
      <w:r>
        <w:rPr>
          <w:rFonts w:ascii="Calibri" w:cs="Calibri" w:eastAsia="Calibri" w:hAnsi="Calibri"/>
          <w:sz w:val="22"/>
          <w:szCs w:val="22"/>
        </w:rPr>
        <w:t xml:space="preserve">templates/egress-allowlist.md — per-tool network allow/deny list with verification notes.</w:t>
      </w:r>
    </w:p>
    <w:p>
      <w:pPr>
        <w:pStyle w:val="ListParagraph"/>
        <w:numPr>
          <w:ilvl w:val="0"/>
          <w:numId w:val="2"/>
        </w:numPr>
        <w:spacing w:after="80"/>
      </w:pPr>
      <w:r>
        <w:rPr>
          <w:rFonts w:ascii="Calibri" w:cs="Calibri" w:eastAsia="Calibri" w:hAnsi="Calibri"/>
          <w:sz w:val="22"/>
          <w:szCs w:val="22"/>
        </w:rPr>
        <w:t xml:space="preserve">templates/README.md — deployment paths, file-permission hardening, and the enforcement verification test plan.</w:t>
      </w:r>
    </w:p>
    <w:p>
      <w:pPr>
        <w:pStyle w:val="Heading2"/>
        <w:spacing w:after="120" w:before="260"/>
      </w:pPr>
      <w:r>
        <w:rPr>
          <w:rFonts w:ascii="Calibri" w:cs="Calibri" w:eastAsia="Calibri" w:hAnsi="Calibri"/>
        </w:rPr>
        <w:t xml:space="preserve">8.2 Primary references</w:t>
      </w:r>
    </w:p>
    <w:p>
      <w:pPr>
        <w:pStyle w:val="ListParagraph"/>
        <w:numPr>
          <w:ilvl w:val="0"/>
          <w:numId w:val="2"/>
        </w:numPr>
        <w:spacing w:after="80"/>
      </w:pPr>
      <w:r>
        <w:rPr>
          <w:rFonts w:ascii="Calibri" w:cs="Calibri" w:eastAsia="Calibri" w:hAnsi="Calibri"/>
          <w:sz w:val="20"/>
          <w:szCs w:val="20"/>
        </w:rPr>
        <w:t xml:space="preserve">Claude Code on Google Cloud’s Agent Platform (Vertex AI) — code.claude.com/docs/en/google-vertex-ai</w:t>
      </w:r>
    </w:p>
    <w:p>
      <w:pPr>
        <w:pStyle w:val="ListParagraph"/>
        <w:numPr>
          <w:ilvl w:val="0"/>
          <w:numId w:val="2"/>
        </w:numPr>
        <w:spacing w:after="80"/>
      </w:pPr>
      <w:r>
        <w:rPr>
          <w:rFonts w:ascii="Calibri" w:cs="Calibri" w:eastAsia="Calibri" w:hAnsi="Calibri"/>
          <w:sz w:val="20"/>
          <w:szCs w:val="20"/>
        </w:rPr>
        <w:t xml:space="preserve">Claude Code permissions and managed settings precedence — code.claude.com/docs/en/permissions</w:t>
      </w:r>
    </w:p>
    <w:p>
      <w:pPr>
        <w:pStyle w:val="ListParagraph"/>
        <w:numPr>
          <w:ilvl w:val="0"/>
          <w:numId w:val="2"/>
        </w:numPr>
        <w:spacing w:after="80"/>
      </w:pPr>
      <w:r>
        <w:rPr>
          <w:rFonts w:ascii="Calibri" w:cs="Calibri" w:eastAsia="Calibri" w:hAnsi="Calibri"/>
          <w:sz w:val="20"/>
          <w:szCs w:val="20"/>
        </w:rPr>
        <w:t xml:space="preserve">Claude Code monitoring (OpenTelemetry) — code.claude.com/docs/en/monitoring-usage</w:t>
      </w:r>
    </w:p>
    <w:p>
      <w:pPr>
        <w:pStyle w:val="ListParagraph"/>
        <w:numPr>
          <w:ilvl w:val="0"/>
          <w:numId w:val="2"/>
        </w:numPr>
        <w:spacing w:after="80"/>
      </w:pPr>
      <w:r>
        <w:rPr>
          <w:rFonts w:ascii="Calibri" w:cs="Calibri" w:eastAsia="Calibri" w:hAnsi="Calibri"/>
          <w:sz w:val="20"/>
          <w:szCs w:val="20"/>
        </w:rPr>
        <w:t xml:space="preserve">Anthropic Help Center: Extend Claude Cowork with third-party platforms (article 14680753); Install and configure Claude Cowork with third-party platforms (article 14680741) — support.claude.com</w:t>
      </w:r>
    </w:p>
    <w:p>
      <w:pPr>
        <w:pStyle w:val="ListParagraph"/>
        <w:numPr>
          <w:ilvl w:val="0"/>
          <w:numId w:val="2"/>
        </w:numPr>
        <w:spacing w:after="80"/>
      </w:pPr>
      <w:r>
        <w:rPr>
          <w:rFonts w:ascii="Calibri" w:cs="Calibri" w:eastAsia="Calibri" w:hAnsi="Calibri"/>
          <w:sz w:val="20"/>
          <w:szCs w:val="20"/>
        </w:rPr>
        <w:t xml:space="preserve">Deploy Cowork on 3P with Google Cloud’s Vertex AI — claude.com/docs/cowork/3p/vertex</w:t>
      </w:r>
    </w:p>
    <w:p>
      <w:pPr>
        <w:pStyle w:val="ListParagraph"/>
        <w:numPr>
          <w:ilvl w:val="0"/>
          <w:numId w:val="2"/>
        </w:numPr>
        <w:spacing w:after="80"/>
      </w:pPr>
      <w:r>
        <w:rPr>
          <w:rFonts w:ascii="Calibri" w:cs="Calibri" w:eastAsia="Calibri" w:hAnsi="Calibri"/>
          <w:sz w:val="20"/>
          <w:szCs w:val="20"/>
        </w:rPr>
        <w:t xml:space="preserve">Enterprise configuration for Claude Desktop — support.claude.com article 12622667</w:t>
      </w:r>
    </w:p>
    <w:p>
      <w:pPr>
        <w:pStyle w:val="ListParagraph"/>
        <w:numPr>
          <w:ilvl w:val="0"/>
          <w:numId w:val="2"/>
        </w:numPr>
        <w:spacing w:after="80"/>
      </w:pPr>
      <w:r>
        <w:rPr>
          <w:rFonts w:ascii="Calibri" w:cs="Calibri" w:eastAsia="Calibri" w:hAnsi="Calibri"/>
          <w:sz w:val="20"/>
          <w:szCs w:val="20"/>
        </w:rPr>
        <w:t xml:space="preserve">Cursor documentation: Custom API Keys (backend routing statement); Cursor security page (Privacy Mode, indexing); community feature requests for Vertex AI support (forum.cursor.com)</w:t>
      </w:r>
    </w:p>
    <w:p>
      <w:pPr>
        <w:pStyle w:val="ListParagraph"/>
        <w:numPr>
          <w:ilvl w:val="0"/>
          <w:numId w:val="2"/>
        </w:numPr>
        <w:spacing w:after="80"/>
      </w:pPr>
      <w:r>
        <w:rPr>
          <w:rFonts w:ascii="Calibri" w:cs="Calibri" w:eastAsia="Calibri" w:hAnsi="Calibri"/>
          <w:sz w:val="20"/>
          <w:szCs w:val="20"/>
        </w:rPr>
        <w:t xml:space="preserve">Cursor hardening reference — howtoharden.com/guides/cursor (incl. 2025 CVE history, .cursorignore limitations)</w:t>
      </w:r>
    </w:p>
    <w:p>
      <w:pPr>
        <w:pStyle w:val="ListParagraph"/>
        <w:numPr>
          <w:ilvl w:val="0"/>
          <w:numId w:val="2"/>
        </w:numPr>
        <w:spacing w:after="80"/>
      </w:pPr>
      <w:r>
        <w:rPr>
          <w:rFonts w:ascii="Calibri" w:cs="Calibri" w:eastAsia="Calibri" w:hAnsi="Calibri"/>
          <w:sz w:val="20"/>
          <w:szCs w:val="20"/>
        </w:rPr>
        <w:t xml:space="preserve">VS Code enterprise: policies overview and reference; Manage extensions in enterprise environments (AllowedExtensions, private marketplace); Manage telemetry — code.visualstudio.com/docs/enterprise</w:t>
      </w:r>
    </w:p>
    <w:p>
      <w:pPr>
        <w:pStyle w:val="ListParagraph"/>
        <w:numPr>
          <w:ilvl w:val="0"/>
          <w:numId w:val="2"/>
        </w:numPr>
        <w:spacing w:after="80"/>
      </w:pPr>
      <w:r>
        <w:rPr>
          <w:rFonts w:ascii="Calibri" w:cs="Calibri" w:eastAsia="Calibri" w:hAnsi="Calibri"/>
          <w:sz w:val="20"/>
          <w:szCs w:val="20"/>
        </w:rPr>
        <w:t xml:space="preserve">Vertex AI: partner model web-search org policy constraint and VPC-SC note (Google Cloud documentation / community guidance, Apr 2026)</w:t>
      </w:r>
    </w:p>
    <w:p>
      <w:pPr>
        <w:pStyle w:val="ListParagraph"/>
        <w:numPr>
          <w:ilvl w:val="0"/>
          <w:numId w:val="2"/>
        </w:numPr>
        <w:spacing w:after="80"/>
      </w:pPr>
      <w:r>
        <w:rPr>
          <w:rFonts w:ascii="Calibri" w:cs="Calibri" w:eastAsia="Calibri" w:hAnsi="Calibri"/>
          <w:sz w:val="20"/>
          <w:szCs w:val="20"/>
        </w:rPr>
        <w:t xml:space="preserve">anthropics/claude-code GitHub issue #44642 — disableBypassPermissionsMode enforcement report</w:t>
      </w:r>
    </w:p>
    <w:p>
      <w:pPr>
        <w:pStyle w:val="ListParagraph"/>
        <w:numPr>
          <w:ilvl w:val="0"/>
          <w:numId w:val="2"/>
        </w:numPr>
        <w:spacing w:after="80"/>
      </w:pPr>
      <w:r>
        <w:rPr>
          <w:rFonts w:ascii="Calibri" w:cs="Calibri" w:eastAsia="Calibri" w:hAnsi="Calibri"/>
          <w:sz w:val="20"/>
          <w:szCs w:val="20"/>
        </w:rPr>
        <w:t xml:space="preserve">Elastic Security Labs: Claude Code/Cowork monitoring at scale with OTel (telemetry schema and SIEM pipeline pattern)</w:t>
      </w:r>
    </w:p>
    <w:p>
      <w:pPr>
        <w:pStyle w:val="ListParagraph"/>
        <w:numPr>
          <w:ilvl w:val="0"/>
          <w:numId w:val="2"/>
        </w:numPr>
        <w:spacing w:after="80"/>
      </w:pPr>
      <w:r>
        <w:rPr>
          <w:rFonts w:ascii="Calibri" w:cs="Calibri" w:eastAsia="Calibri" w:hAnsi="Calibri"/>
          <w:sz w:val="20"/>
          <w:szCs w:val="20"/>
        </w:rPr>
        <w:t xml:space="preserve">Palantir InfoSec: Managing and securing VS Code extensions at scale (allowlist-as-code pattern)</w:t>
      </w:r>
    </w:p>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color w:val="595959"/>
          <w:sz w:val="18"/>
          <w:szCs w:val="18"/>
        </w:rPr>
        <w:t xml:space="preserve">Prepared by SMD Information Security (Security Architecture). Distribution: D. Brett, E. Knowles, P. Thompson, S. Edupuganti, A. Rodriguez; SMD IQ: R. Arutla. SMD – Confidential.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SMD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8A0F1B"/>
      <w:sz w:val="32"/>
      <w:szCs w:val="32"/>
    </w:rPr>
  </w:style>
  <w:style w:type="paragraph" w:styleId="Heading2">
    <w:name w:val="Heading 2"/>
    <w:basedOn w:val="Normal"/>
    <w:next w:val="Normal"/>
    <w:qFormat/>
    <w:pPr>
      <w:spacing w:after="120" w:before="260"/>
    </w:pPr>
    <w:rPr>
      <w:rFonts w:ascii="Calibri" w:cs="Calibri" w:eastAsia="Calibri" w:hAnsi="Calibri"/>
      <w:b/>
      <w:bCs/>
      <w:color w:val="333333"/>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2026-07-13T15:34:53.183Z</dcterms:created>
  <dcterms:modified xsi:type="dcterms:W3CDTF">2026-07-13T15:34:53.195Z</dcterms:modified>
</cp:coreProperties>
</file>

<file path=docProps/custom.xml><?xml version="1.0" encoding="utf-8"?>
<Properties xmlns="http://schemas.openxmlformats.org/officeDocument/2006/custom-properties" xmlns:vt="http://schemas.openxmlformats.org/officeDocument/2006/docPropsVTypes"/>
</file>