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GCVE Migration: Firewall Micro-Segmentation Sign-Off Form</w:t>
      </w:r>
    </w:p>
    <w:p>
      <w:r>
        <w:rPr>
          <w:b/>
        </w:rPr>
        <w:t xml:space="preserve">Migration Wave / Move Group: </w:t>
      </w:r>
      <w:r>
        <w:t>[e.g., QA13]</w:t>
      </w:r>
    </w:p>
    <w:p>
      <w:r>
        <w:rPr>
          <w:b/>
        </w:rPr>
        <w:t xml:space="preserve">Environment: </w:t>
      </w:r>
      <w:r>
        <w:t>TSG to GCVE</w:t>
      </w:r>
    </w:p>
    <w:p>
      <w:r>
        <w:rPr>
          <w:b/>
        </w:rPr>
        <w:t xml:space="preserve">Enforcement Point: </w:t>
      </w:r>
      <w:r>
        <w:t>NSX (East/Central)</w:t>
      </w:r>
    </w:p>
    <w:p>
      <w:r>
        <w:rPr>
          <w:b/>
        </w:rPr>
        <w:t xml:space="preserve">Date of Review: </w:t>
      </w:r>
      <w:r>
        <w:t>________________</w:t>
      </w:r>
    </w:p>
    <w:p/>
    <w:p>
      <w:pPr>
        <w:pStyle w:val="Heading1"/>
      </w:pPr>
      <w:r>
        <w:t>1. Scope of Review</w:t>
      </w:r>
    </w:p>
    <w:p>
      <w:r>
        <w:t>This document serves as formal confirmation that the network security micro-segmentation rules for the specified Move Group have been reviewed, tested, and finalized.</w:t>
      </w:r>
    </w:p>
    <w:p>
      <w:r>
        <w:t>The rule validation process ensures that:</w:t>
      </w:r>
    </w:p>
    <w:p>
      <w:pPr>
        <w:pStyle w:val="ListBullet"/>
      </w:pPr>
      <w:r>
        <w:t>Unnecessary or overly permissive access (e.g., massive port ranges, Telnet) has been restricted.</w:t>
      </w:r>
    </w:p>
    <w:p>
      <w:pPr>
        <w:pStyle w:val="ListBullet"/>
      </w:pPr>
      <w:r>
        <w:t>Standard global baseline rules (CrowdStrike, Qualys, Domain Controllers, NTP) are correctly applied.</w:t>
      </w:r>
    </w:p>
    <w:p>
      <w:pPr>
        <w:pStyle w:val="ListBullet"/>
      </w:pPr>
      <w:r>
        <w:t>The default "Deny All" / Block rule is active at the bottom of the rule set.</w:t>
      </w:r>
    </w:p>
    <w:p>
      <w:pPr>
        <w:pStyle w:val="ListBullet"/>
      </w:pPr>
      <w:r>
        <w:t>Explicit pinhole rules required for application functionality and client access have been defined and validated.</w:t>
      </w:r>
    </w:p>
    <w:p>
      <w:pPr>
        <w:pStyle w:val="Heading1"/>
      </w:pPr>
      <w:r>
        <w:t>2. Technical Validation (Network Security)</w:t>
      </w:r>
    </w:p>
    <w:p>
      <w:r>
        <w:t>Completed by the reviewing Security/Cloud Architect.</w:t>
      </w:r>
    </w:p>
    <w:p>
      <w:r>
        <w:t>[ ] Global Rules Verified: Access to baseline platforms (CrowdStrike, Qualys, AD/DC, NTP) is confirmed.</w:t>
      </w:r>
    </w:p>
    <w:p>
      <w:r>
        <w:t>[ ] App-Specific Rules Verified: Specific source/destination ports and protocols for the Move Group are accurate and adhere to least-privilege principles.</w:t>
      </w:r>
    </w:p>
    <w:p>
      <w:r>
        <w:t>[ ] Block Rule Active: The temporary permissive rules have been removed, and the block rule is actively dropping undefined traffic.</w:t>
      </w:r>
    </w:p>
    <w:p>
      <w:r>
        <w:rPr>
          <w:b/>
        </w:rPr>
        <w:br/>
        <w:t xml:space="preserve">Reviewing Architect(s): </w:t>
      </w:r>
      <w:r>
        <w:t xml:space="preserve">___________________________    </w:t>
      </w:r>
      <w:r>
        <w:rPr>
          <w:b/>
        </w:rPr>
        <w:t xml:space="preserve">Date: </w:t>
      </w:r>
      <w:r>
        <w:t>_______________</w:t>
      </w:r>
    </w:p>
    <w:p>
      <w:pPr>
        <w:pStyle w:val="Heading1"/>
      </w:pPr>
      <w:r>
        <w:t>3. Application Owner Sign-Off</w:t>
      </w:r>
    </w:p>
    <w:p>
      <w:r>
        <w:t>Completed by the Application/Service Owner.</w:t>
      </w:r>
    </w:p>
    <w:p>
      <w:r>
        <w:t>By signing below, I confirm that:</w:t>
      </w:r>
    </w:p>
    <w:p>
      <w:pPr>
        <w:pStyle w:val="ListNumber"/>
      </w:pPr>
      <w:r>
        <w:t>All application stack communications, including required client access, have been fully tested under the current firewall rule set.</w:t>
      </w:r>
    </w:p>
    <w:p>
      <w:pPr>
        <w:pStyle w:val="ListNumber"/>
      </w:pPr>
      <w:r>
        <w:t>The application is functioning as expected in the GCVE environment.</w:t>
      </w:r>
    </w:p>
    <w:p>
      <w:pPr>
        <w:pStyle w:val="ListNumber"/>
      </w:pPr>
      <w:r>
        <w:t>The current firewall rules are complete and require no further modifications.</w:t>
      </w:r>
    </w:p>
    <w:p>
      <w:r>
        <w:rPr>
          <w:b/>
        </w:rPr>
        <w:br/>
        <w:t xml:space="preserve">Application Owner Name: </w:t>
      </w:r>
      <w:r>
        <w:t>___________________________</w:t>
      </w:r>
    </w:p>
    <w:p>
      <w:r>
        <w:rPr>
          <w:b/>
        </w:rPr>
        <w:br/>
        <w:t xml:space="preserve">Application Owner Signature: </w:t>
      </w:r>
      <w:r>
        <w:t xml:space="preserve">________________________    </w:t>
      </w:r>
      <w:r>
        <w:rPr>
          <w:b/>
        </w:rPr>
        <w:t xml:space="preserve">Date: </w:t>
      </w:r>
      <w:r>
        <w:t>_______________</w:t>
      </w:r>
    </w:p>
    <w:p>
      <w:pPr>
        <w:pStyle w:val="Heading2"/>
      </w:pPr>
      <w:r>
        <w:t>Notes / Exceptions (If Any):</w:t>
      </w:r>
    </w:p>
    <w:p>
      <w:r>
        <w:t>[Leave blank or add specific notes regarding RPC dynamic ports, etc.]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