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2F9CC291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18A0E333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874886">
        <w:rPr>
          <w:rFonts w:hint="cs"/>
          <w:sz w:val="32"/>
          <w:szCs w:val="32"/>
          <w:rtl/>
          <w:lang w:bidi="ar-AE"/>
        </w:rPr>
        <w:t>دائرة البلديات والنقل</w:t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1221BD">
        <w:rPr>
          <w:rFonts w:hint="cs"/>
          <w:sz w:val="32"/>
          <w:szCs w:val="32"/>
          <w:rtl/>
          <w:lang w:bidi="ar-AE"/>
        </w:rPr>
        <w:t xml:space="preserve">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3CD89D3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63A29470" w:rsidR="00FF4EFC" w:rsidRPr="007C636F" w:rsidRDefault="00BE627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Simplified Arabic" w:ascii="Simplified Arabic" w:hAnsi="Simplified Arabic" w:eastAsia="Simplified Arabic"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43A1045F" w:rsidR="001221BD" w:rsidRPr="00566AF2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D5E5811" w:rsidR="001221BD" w:rsidRPr="007C636F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180953BB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 ل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لمشروع المذكور أعلاه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هو 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QZ6ZQ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QZ7ZQ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