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val="de-DE" w:eastAsia="de-DE"/>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Antragst</w:t>
      </w:r>
      <w:r w:rsidR="001B0398">
        <w:rPr>
          <w:b/>
          <w:sz w:val="28"/>
          <w:szCs w:val="28"/>
        </w:rPr>
        <w:t xml:space="preserve">ellende Institution </w:t>
      </w:r>
      <w:r w:rsidRPr="00142C15">
        <w:t xml:space="preserve">→ vollständiger Name der </w:t>
      </w:r>
      <w:r w:rsidR="001B0398">
        <w:t>Einrichtung</w:t>
      </w:r>
    </w:p>
    <w:p w:rsidR="00110374" w:rsidRDefault="00C069A6"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Karl-Franzens-</w:t>
      </w:r>
      <w:r w:rsidR="00022162">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940EEC">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4A181F" w:rsidRPr="00940EEC">
        <w:rPr>
          <w:rFonts w:cs="Tahoma"/>
          <w:color w:val="181512"/>
          <w:sz w:val="20"/>
          <w:szCs w:val="20"/>
          <w:lang w:val="en-US"/>
        </w:rPr>
      </w:r>
      <w:r w:rsidR="00940EEC">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940EEC"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4A181F" w:rsidRPr="00940EEC">
        <w:rPr>
          <w:rFonts w:cs="Tahoma"/>
          <w:color w:val="181512"/>
          <w:sz w:val="20"/>
          <w:szCs w:val="20"/>
          <w:lang w:val="en-US"/>
        </w:rPr>
      </w:r>
      <w:r w:rsidR="00940EEC"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940EEC">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4A181F" w:rsidRPr="00940EEC">
        <w:rPr>
          <w:rFonts w:cs="Tahoma"/>
          <w:color w:val="181512"/>
          <w:sz w:val="20"/>
          <w:szCs w:val="20"/>
          <w:lang w:val="en-US"/>
        </w:rPr>
      </w:r>
      <w:r w:rsidR="00940EEC">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F716CE">
        <w:rPr>
          <w:rFonts w:cs="Tahoma"/>
          <w:color w:val="181512"/>
        </w:rPr>
        <w:t>8010, Graz, 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940EEC"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4A181F" w:rsidRPr="00940EEC">
        <w:rPr>
          <w:rFonts w:cs="Tahoma"/>
          <w:color w:val="181512"/>
          <w:lang w:val="en-US"/>
        </w:rPr>
      </w:r>
      <w:r w:rsidR="00940EEC" w:rsidRPr="00066B38">
        <w:rPr>
          <w:rFonts w:cs="Tahoma"/>
          <w:color w:val="181512"/>
          <w:lang w:val="en-US"/>
        </w:rPr>
        <w:fldChar w:fldCharType="end"/>
      </w:r>
      <w:r w:rsidR="00066B38" w:rsidRPr="00022162">
        <w:rPr>
          <w:rFonts w:cs="Tahoma"/>
          <w:color w:val="181512"/>
        </w:rPr>
        <w:t xml:space="preserve"> Ja</w:t>
      </w:r>
    </w:p>
    <w:p w:rsidR="00636D29" w:rsidRPr="00022162" w:rsidRDefault="00940EEC"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4A181F" w:rsidRPr="00940EEC">
        <w:rPr>
          <w:rFonts w:cs="Tahoma"/>
          <w:color w:val="181512"/>
          <w:sz w:val="24"/>
          <w:szCs w:val="24"/>
          <w:lang w:val="en-US"/>
        </w:rPr>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C069A6" w:rsidRDefault="00C069A6">
      <w:pPr>
        <w:spacing w:before="0" w:after="200"/>
        <w:ind w:left="0"/>
        <w:jc w:val="left"/>
        <w:rPr>
          <w:b/>
          <w:sz w:val="28"/>
          <w:szCs w:val="28"/>
        </w:rPr>
      </w:pP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F716CE">
        <w:rPr>
          <w:rFonts w:cs="Tahoma"/>
          <w:color w:val="181512"/>
        </w:rPr>
        <w:t xml:space="preserve"> +</w:t>
      </w:r>
      <w:r w:rsidR="009728BF">
        <w:rPr>
          <w:rFonts w:cs="Tahoma"/>
          <w:color w:val="181512"/>
        </w:rPr>
        <w:t>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C069A6" w:rsidRPr="00022162" w:rsidRDefault="00C069A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Univ.-Prof. Dipl.-Ing. Dr.techn.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940EEC"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4A181F" w:rsidRPr="00940EEC">
        <w:rPr>
          <w:rFonts w:cs="Tahoma"/>
          <w:color w:val="181512"/>
          <w:sz w:val="20"/>
          <w:szCs w:val="20"/>
          <w:lang w:val="en-US"/>
        </w:rPr>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940EEC"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F716CE"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Pr>
          <w:rFonts w:cs="Tahoma"/>
          <w:color w:val="181512"/>
          <w:lang w:val="nb-NO"/>
        </w:rPr>
        <w:t xml:space="preserve">8010, Graz, </w:t>
      </w:r>
      <w:r w:rsidR="00BF457B" w:rsidRPr="003A73C0">
        <w:rPr>
          <w:rFonts w:cs="Tahoma"/>
          <w:color w:val="181512"/>
          <w:lang w:val="nb-NO"/>
        </w:rPr>
        <w:t>Kronesgasse</w:t>
      </w:r>
      <w:r>
        <w:rPr>
          <w:rFonts w:cs="Tahoma"/>
          <w:color w:val="181512"/>
          <w:lang w:val="nb-NO"/>
        </w:rPr>
        <w:t>,</w:t>
      </w:r>
      <w:r w:rsidR="00BF457B" w:rsidRPr="003A73C0">
        <w:rPr>
          <w:rFonts w:cs="Tahoma"/>
          <w:color w:val="181512"/>
          <w:lang w:val="nb-NO"/>
        </w:rPr>
        <w:t xml:space="preserv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r w:rsidR="00110374" w:rsidRPr="003C55B5">
        <w:rPr>
          <w:rFonts w:cs="Tahoma"/>
          <w:color w:val="181512"/>
        </w:rPr>
        <w:t>mstavric@tugraz.at</w:t>
      </w:r>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4A181F" w:rsidRPr="00940EEC">
        <w:rPr>
          <w:rFonts w:cs="Tahoma"/>
          <w:color w:val="181512"/>
          <w:sz w:val="20"/>
          <w:szCs w:val="20"/>
          <w:lang w:val="en-US"/>
        </w:rPr>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8010, Graz, Mozartgasse, </w:t>
      </w:r>
      <w:r w:rsidR="00AA673C">
        <w:rPr>
          <w:rFonts w:cs="Tahoma"/>
          <w:color w:val="181512"/>
        </w:rPr>
        <w:t>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C069A6" w:rsidRPr="00022162" w:rsidRDefault="00C069A6">
      <w:pPr>
        <w:spacing w:before="0" w:after="200"/>
        <w:ind w:left="0"/>
        <w:jc w:val="left"/>
        <w:rPr>
          <w:rFonts w:ascii="Tahoma" w:hAnsi="Tahoma" w:cs="Tahoma"/>
          <w:color w:val="181512"/>
          <w:sz w:val="20"/>
          <w:szCs w:val="20"/>
        </w:rPr>
      </w:pP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4A181F" w:rsidRPr="00940EEC">
        <w:rPr>
          <w:rFonts w:cs="Tahoma"/>
          <w:color w:val="181512"/>
          <w:sz w:val="20"/>
          <w:szCs w:val="20"/>
          <w:lang w:val="en-US"/>
        </w:rPr>
      </w:r>
      <w:r>
        <w:rPr>
          <w:rFonts w:cs="Tahoma"/>
          <w:color w:val="181512"/>
          <w:sz w:val="20"/>
          <w:szCs w:val="20"/>
          <w:lang w:val="en-US"/>
        </w:rPr>
        <w:fldChar w:fldCharType="end"/>
      </w:r>
      <w:r w:rsidR="00147E19" w:rsidRPr="003C55B5">
        <w:rPr>
          <w:rFonts w:cs="Tahoma"/>
          <w:color w:val="181512"/>
          <w:sz w:val="20"/>
          <w:szCs w:val="20"/>
        </w:rPr>
        <w:t xml:space="preserve"> </w:t>
      </w:r>
      <w:r w:rsidR="009D6FD5" w:rsidRPr="00022162">
        <w:rPr>
          <w:rFonts w:cs="Tahoma"/>
          <w:color w:val="181512"/>
        </w:rPr>
        <w:t>Universität / Fachhochschule / Hochschule</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940EE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4A181F" w:rsidRPr="00940EEC">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F716CE"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 xml:space="preserve">01219, </w:t>
      </w:r>
      <w:r w:rsidR="003A73C0">
        <w:rPr>
          <w:rFonts w:cs="Tahoma"/>
          <w:color w:val="181512"/>
        </w:rPr>
        <w:t>Dresden</w:t>
      </w:r>
      <w:r>
        <w:rPr>
          <w:rFonts w:cs="Tahoma"/>
          <w:color w:val="181512"/>
        </w:rPr>
        <w:t xml:space="preserve">, August-Bebelstraße, </w:t>
      </w:r>
      <w:r w:rsidR="0002297F">
        <w:rPr>
          <w:rFonts w:cs="Tahoma"/>
          <w:color w:val="181512"/>
        </w:rPr>
        <w:t>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7A5F63">
        <w:rPr>
          <w:sz w:val="24"/>
          <w:szCs w:val="24"/>
        </w:rPr>
        <w:t xml:space="preserve">und -technologien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hier beantragte Förderung wird zur Weiterverarbeitung und Kontextualisierung von Forschungsergebnissen herangezogen, die sich aus dem seit Dezember 2014 laufenden Projekt </w:t>
      </w:r>
      <w:r w:rsidRPr="0020338F">
        <w:rPr>
          <w:rFonts w:eastAsia="Arial Unicode MS" w:cs="Arial Unicode MS"/>
          <w:i/>
          <w:iCs/>
          <w:color w:val="000000"/>
          <w:sz w:val="24"/>
          <w:szCs w:val="24"/>
          <w:u w:color="000000"/>
          <w:bdr w:val="nil"/>
          <w:lang w:val="de-DE" w:eastAsia="de-DE"/>
        </w:rPr>
        <w:t xml:space="preserve">„Renaissance Architecture – A Digital Anthology of Heinrich von Geymüller“ </w:t>
      </w:r>
      <w:r w:rsidRPr="0020338F">
        <w:rPr>
          <w:rFonts w:eastAsia="Arial Unicode MS" w:cs="Arial Unicode MS"/>
          <w:color w:val="000000"/>
          <w:sz w:val="24"/>
          <w:szCs w:val="24"/>
          <w:u w:color="000000"/>
          <w:bdr w:val="nil"/>
          <w:lang w:val="de-DE" w:eastAsia="de-DE"/>
        </w:rPr>
        <w:t xml:space="preserve">ergeben haben. Das vom Institut für Kunstgeschichte an der Karl-Franzens Universität Graz eingereichte und von der Österreichischen Akademie der Wissenschaften finanzierte Projekt sah zunächst die Digitalisierung und Bearbeitung wichtiger Teile des wissenschaftlichen Nachlasses des Architekturhistorikers Heinrich von Geymüller (1839–1909) vor. Die inhaltliche Bearbeitung der sich seit 1927 am Institut befindlichen Materialien erbrachte vielfältige Erkenntnisse zur innovativen Methodik von Geymüllers Arbeitsweisen, mit welchen er die Disziplin im 19. Jahrhundert wesentlich mitgeprägt hatte. Geymüllers ausgeprägt vernetzende Denkweise sowie auch erste Anwendungsversuche von Datenvisualisierungsmodellen in der Architektur waren schließlich ausschlaggebend für die Erstellung einer eigenen Datenbank und Web-Repräsentation. </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In Kooperation mit Simone De Angelis vom Zentrum für Wissenschaftsgeschichte an der Karl-Franzens Universität Graz und Henrik Karge von der Technischen Universität Dresden soll nun in einem nächsten Schritt an der Einordnung dieses Wissensspeichers gearbeitet werden, hinsichtlich seiner gesamteuropäischen wissenschaftsgeschichtlichen Bedeutung. Der Fokus wird dabei speziell auf Geymüllers langes und aufwendig vorbereitetes, aber nie umgesetztes Vorhaben eines </w:t>
      </w:r>
      <w:r w:rsidRPr="0020338F">
        <w:rPr>
          <w:rFonts w:eastAsia="Arial Unicode MS" w:cs="Arial Unicode MS"/>
          <w:i/>
          <w:iCs/>
          <w:color w:val="000000"/>
          <w:sz w:val="24"/>
          <w:szCs w:val="24"/>
          <w:u w:color="000000"/>
          <w:bdr w:val="nil"/>
          <w:lang w:val="de-DE" w:eastAsia="de-DE"/>
        </w:rPr>
        <w:t>„Thesaurus on Architecture“</w:t>
      </w:r>
      <w:r w:rsidRPr="0020338F">
        <w:rPr>
          <w:rFonts w:eastAsia="Arial Unicode MS" w:cs="Arial Unicode MS"/>
          <w:color w:val="000000"/>
          <w:sz w:val="24"/>
          <w:szCs w:val="24"/>
          <w:u w:color="000000"/>
          <w:bdr w:val="nil"/>
          <w:lang w:val="de-DE" w:eastAsia="de-DE"/>
        </w:rPr>
        <w:t xml:space="preserve"> gerichtet sein. Gerade das Zentrum für Wissenschaftsgeschichte, namentlich in der Person von Simone De Angelis, zeichnet sich durch einen Forschungsschwerpunkt in der Renaissanceforschung und -rezeption aus, sodass sich die Kooperation hinsichtlich der Einbettung dieses Thesaurus-Projekts in den wissenschaftsgeschichtlichen Kontext des späten 19. und frühen 20. Jahrhundert besonders einschlägig erweist. Parallel dazu soll, in Zusammenarbeit mit Milena Stravic vom Institut für Architektur und Medien der Technischen Universität Graz, an der Weiterentwicklung des Datenmodells </w:t>
      </w:r>
      <w:r w:rsidR="00F716CE">
        <w:rPr>
          <w:rFonts w:eastAsia="Arial Unicode MS" w:cs="Arial Unicode MS"/>
          <w:color w:val="000000"/>
          <w:sz w:val="24"/>
          <w:szCs w:val="24"/>
          <w:u w:color="000000"/>
          <w:bdr w:val="nil"/>
          <w:lang w:val="de-DE" w:eastAsia="de-DE"/>
        </w:rPr>
        <w:t xml:space="preserve">zur Integration in das BIM (Building Information Model) auf Basis des IFC-Standards (Industry Foundation Classes) </w:t>
      </w:r>
      <w:r w:rsidRPr="0020338F">
        <w:rPr>
          <w:rFonts w:eastAsia="Arial Unicode MS" w:cs="Arial Unicode MS"/>
          <w:color w:val="000000"/>
          <w:sz w:val="24"/>
          <w:szCs w:val="24"/>
          <w:u w:color="000000"/>
          <w:bdr w:val="nil"/>
          <w:lang w:val="de-DE" w:eastAsia="de-DE"/>
        </w:rPr>
        <w:t xml:space="preserve">gearbeitet werden sowie auch an einem Visualisierungsmodell, welches die innovativen historiographischen Intentionen Geymüllers zum Ausdruck bringen </w:t>
      </w:r>
      <w:r w:rsidR="00F716CE">
        <w:rPr>
          <w:rFonts w:eastAsia="Arial Unicode MS" w:cs="Arial Unicode MS"/>
          <w:color w:val="000000"/>
          <w:sz w:val="24"/>
          <w:szCs w:val="24"/>
          <w:u w:color="000000"/>
          <w:bdr w:val="nil"/>
          <w:lang w:val="de-DE" w:eastAsia="de-DE"/>
        </w:rPr>
        <w:t xml:space="preserve">soll </w:t>
      </w:r>
      <w:r w:rsidRPr="0020338F">
        <w:rPr>
          <w:rFonts w:eastAsia="Arial Unicode MS" w:cs="Arial Unicode MS"/>
          <w:color w:val="000000"/>
          <w:sz w:val="24"/>
          <w:szCs w:val="24"/>
          <w:u w:color="000000"/>
          <w:bdr w:val="nil"/>
          <w:lang w:val="de-DE" w:eastAsia="de-DE"/>
        </w:rPr>
        <w:t xml:space="preserve">und gleichermaßen heutigen fachlichen Anforderungen gerecht </w:t>
      </w:r>
      <w:r w:rsidR="00F716CE">
        <w:rPr>
          <w:rFonts w:eastAsia="Arial Unicode MS" w:cs="Arial Unicode MS"/>
          <w:color w:val="000000"/>
          <w:sz w:val="24"/>
          <w:szCs w:val="24"/>
          <w:u w:color="000000"/>
          <w:bdr w:val="nil"/>
          <w:lang w:val="de-DE" w:eastAsia="de-DE"/>
        </w:rPr>
        <w:t>wird.</w:t>
      </w:r>
      <w:r w:rsidRPr="0020338F">
        <w:rPr>
          <w:rFonts w:eastAsia="Arial Unicode MS" w:cs="Arial Unicode MS"/>
          <w:color w:val="000000"/>
          <w:sz w:val="24"/>
          <w:szCs w:val="24"/>
          <w:u w:color="000000"/>
          <w:bdr w:val="nil"/>
          <w:lang w:val="de-DE" w:eastAsia="de-DE"/>
        </w:rPr>
        <w:t xml:space="preserve"> </w:t>
      </w:r>
    </w:p>
    <w:p w:rsidR="00F56A89" w:rsidRPr="0020338F" w:rsidRDefault="00F56A89"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Ausgangslage:</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Heinrich von Geymüller (1839–1909) zählt zu den bedeutenden Architekturforschern des 19. und beginnenden 20. Jahrhunderts. Der größte Teil seines wissenschaftlichen Nachlasses befindet sich seit 1927 am Institut für Kunstgeschichte der Karl-Franzens Universität in Graz. Ausschlaggebend  dafür war, dass Geymüller in seinen letzten Lebensjahren in dem jungen Wiener Architekturforscher Hermann Egger (ab 1911 Ordinarius für Kunstgeschichte in Graz) einen Schüler und potentiellen Nachfolger sah. Die beabsichtigte Zusammenarbeit Geymüllers mit Egger bezog sich in erster Linie auf das von Geymüller schon über Jahrzehnte verfolgte Projekt eines Architektur-Thesaurus, der in 10.000 qualitätsvollen Reproduktionen eine alle Darstellungsmedien umfassende Dokumentation von architekturbezogenen Darstellungen versammeln sollte.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Der sich am Institut befindliche wissenschaftliche Nachlass umfasst eine umfangreiche Sammlung von über 74.000 Objekten. Sie belegen Geymüllers enormen Wissensumfang und seine umfassende Quellenkenntnis zu speziellen Themen der Renaissanceforschung. In erster Linie zum Neubau von St. Peter in Rom, aber auch zu den architektonischen Arbeiten namhafter Renaissancekünstler wie Raffael, Leonardo und Michelangelo, sowie zu Du Cerceau und der Architektur der Renaissance in Frankreich. Darüber hinaus hat sich Geymüller intensiv mit Fragen der Restaurierung und Denkmalpflege (speziell im Schweizer Kanton Waadt) auseinandergesetzt. Die  breit gestreuten Materialien des Nachlasses bieten in einzigartiger Weise Einblick in seine Arbeitsmethoden. Geymüller war beispielsweise einer der Ersten, der dem Studium von Architekturzeichnungen spezielle Aufmerksamkeit widmete und damit auch die Erforschung von Entwurfsprozessen als Teil der Baugeschichte etablierte. Bei der Anwendung graphischer Visualisierungen ließ sich Geymüller von Visualisierungsmodellen der damals schon systematisch entwickelten Naturwissenschaften anregen. Es handelte sich dabei durchaus um einen charakteristischen Zug der sog. „positivistischen Ära“ (1860-1900), dass sich gerade auch philologisch-historiographische Unternehmen mit umfassendem systematischem Anspruch bei den Praktiken der Naturwissenschaften bedienten, auch um von deren zunehmenden Ansehen in der Öffentlichkeit zu profitieren und das eigene Tun zu legitimieren. Als ausgebildeter Architekt versuchte Geymüller durch so genannte Restaurationen und Rekonstruktionen (eigentlich Vervollständigungsprojektionen) Visualisierungen von nicht ausgeführten Architekturprojekten zu erstellen, Entwürfe und Projekte somit quasi „fertig zu stellen“.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Obwohl sich gelegentlich Nutzungen und Benutzungen des Materials nachweisen lassen, unterblieb eine systematische Bearbeitung des Gesamtnachlasses bis in die 90er Jahre des vergangenen Jahrhunderts. Nach und neben bisherigen Veröffentlichungen wird nun gegenwärtig im Rahmen eines durch die Österreichische Akademie der Wissenschaften finanzierten Digitalisierungsprojekts eine Auswahl von wichtigsten Materialien in neue Zusammenhänge gestellt sowie einer breiteren Öffentlichkeit zugänglich gemacht. Durch das Digitalisierungsprojekt </w:t>
      </w:r>
      <w:r w:rsidRPr="0020338F">
        <w:rPr>
          <w:rFonts w:eastAsia="Arial Unicode MS" w:cs="Arial Unicode MS"/>
          <w:i/>
          <w:iCs/>
          <w:color w:val="000000"/>
          <w:sz w:val="24"/>
          <w:szCs w:val="24"/>
          <w:u w:color="000000"/>
          <w:bdr w:val="nil"/>
          <w:lang w:val="de-DE" w:eastAsia="de-DE"/>
        </w:rPr>
        <w:t xml:space="preserve">„Renaissance Architecture – A Digital Anthology of Heinrich von Geymüller“ </w:t>
      </w:r>
      <w:r w:rsidRPr="0020338F">
        <w:rPr>
          <w:rFonts w:eastAsia="Arial Unicode MS" w:cs="Arial Unicode MS"/>
          <w:color w:val="000000"/>
          <w:sz w:val="24"/>
          <w:szCs w:val="24"/>
          <w:u w:color="000000"/>
          <w:bdr w:val="nil"/>
          <w:lang w:val="de-DE" w:eastAsia="de-DE"/>
        </w:rPr>
        <w:t xml:space="preserve">konnten bereits bedeutende Archivquellen zu speziellen Themen der Renaissanceforschung sowie zu Arbeiten namhafter Architekten (Raffael, Leonardo, Michelangelo, Du Cerceau), zu ausgewählten Arbeiten zu St. Peter in Rom und zur Denkmalpflege gesichert und bearbeitet werden. Der Umgang mit den semantisch unterschiedlichen handschriftlichen Notizen und Skizzen, Manuskripten, Architekturzeichnungen, Exzerpten aus Publikationen und Archiven, Fotografien und Negative, Druckgraphiken, Korrekturfahnen sowie die umfangreiche Sammlung an Korrespondenzen (u.a. mit prominenten Brief-Partnern wie Jakob Burckhardt, Aby Warburg, Heinrich Wölfflin, Gustave Moreau u.s.w.) stellte eine erste große Herausforderung dar. Um Informationsverluste möglichst gering zu halten wurde an einem speziellen semantischen Datenmodell gearbeitet. Dieses basiert nicht nur auf der Grundlage von Metadaten, sondern auch auf Beziehungen zwischen der Archivquelle zu anderen Entitäten (Entwurfs- bzw. Forschungsideen, gebauten Architekturen, etc.). Das Produkt dieses Projektes ist schließlich eine ‚open-access’ Web-Applikation für eine verbesserte Zugänglichkeit zum Nachlass, sowie eine Visualisierung der Datenstruktur zur erleichternden Beantwortung von vernetzenden Fragestellungen – unter Berücksichtigung biographischer, chronologischer, topographischer und forschungsgeschichtlicher Zusammenhänge.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Die Projektarbeiten waren von einer interdisziplinären Zusammenarbeit zwischen den beiden Disziplinen der Architekturgeschichte (Christoph Breser) und der Informationsvisualisierung (Stefan Zedlacher) geprägt. Die semantische Datenbank und dessen Web-Applikation, als Produkte dieser Arbeiten, bringen den gegenseitigen Nutzen zwischen „agiler Softwareentwicklung“ und der Vielfältigkeit und Informationsdichte historischen Materials zum Ausdruck. Durch die Anwendung von Graphendatenbanken zeigten sich beispielsweise inhaltliche Vernetzungen zwischen Geymüllers Wissensbereichen sowie auch europaweite Vernetzungen mit diversen Institutionen und Personen. Die unterschiedlichen Voraussetzungen des umfangreichen Materials führten hingegen zu jenem semantischen Datenmodell, welches eine Suche und die Kontextualisierung von Daten sowohl in der historischen Ordnungssystematik erlaubt als auch darüber hinaus erkenntnisreiche Verknüpfungen ermöglicht. </w:t>
      </w: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p>
    <w:p w:rsidR="0020338F" w:rsidRPr="0020338F" w:rsidRDefault="0020338F" w:rsidP="00F56A89">
      <w:pPr>
        <w:pBdr>
          <w:top w:val="nil"/>
          <w:left w:val="nil"/>
          <w:bottom w:val="nil"/>
          <w:right w:val="nil"/>
          <w:between w:val="nil"/>
          <w:bar w:val="nil"/>
        </w:pBdr>
        <w:spacing w:before="0" w:after="0"/>
        <w:ind w:left="0"/>
        <w:rPr>
          <w:rFonts w:eastAsia="Arial Unicode MS" w:cs="Arial Unicode MS"/>
          <w:b/>
          <w:bCs/>
          <w:color w:val="000000"/>
          <w:sz w:val="24"/>
          <w:szCs w:val="24"/>
          <w:u w:color="000000"/>
          <w:bdr w:val="nil"/>
          <w:lang w:val="de-DE" w:eastAsia="de-DE"/>
        </w:rPr>
      </w:pPr>
      <w:r w:rsidRPr="0020338F">
        <w:rPr>
          <w:rFonts w:eastAsia="Arial Unicode MS" w:cs="Arial Unicode MS"/>
          <w:b/>
          <w:bCs/>
          <w:color w:val="000000"/>
          <w:sz w:val="24"/>
          <w:szCs w:val="24"/>
          <w:u w:color="000000"/>
          <w:bdr w:val="nil"/>
          <w:lang w:val="de-DE" w:eastAsia="de-DE"/>
        </w:rPr>
        <w:t>Zielsetzung:</w:t>
      </w:r>
    </w:p>
    <w:p w:rsidR="0020338F" w:rsidRDefault="0020338F" w:rsidP="00F56A89">
      <w:pPr>
        <w:pBdr>
          <w:top w:val="nil"/>
          <w:left w:val="nil"/>
          <w:bottom w:val="nil"/>
          <w:right w:val="nil"/>
          <w:between w:val="nil"/>
          <w:bar w:val="nil"/>
        </w:pBdr>
        <w:spacing w:before="0" w:after="0"/>
        <w:ind w:left="0"/>
        <w:rPr>
          <w:rFonts w:eastAsia="Arial Unicode MS" w:cs="Arial Unicode MS"/>
          <w:color w:val="000000"/>
          <w:sz w:val="24"/>
          <w:szCs w:val="24"/>
          <w:u w:color="000000"/>
          <w:bdr w:val="nil"/>
          <w:lang w:val="de-DE" w:eastAsia="de-DE"/>
        </w:rPr>
      </w:pPr>
      <w:r w:rsidRPr="0020338F">
        <w:rPr>
          <w:rFonts w:eastAsia="Arial Unicode MS" w:cs="Arial Unicode MS"/>
          <w:color w:val="000000"/>
          <w:sz w:val="24"/>
          <w:szCs w:val="24"/>
          <w:u w:color="000000"/>
          <w:bdr w:val="nil"/>
          <w:lang w:val="de-DE" w:eastAsia="de-DE"/>
        </w:rPr>
        <w:t xml:space="preserve">Das hier beantragte Vorhaben sieht zunächst die weitere systematische Bearbeitung, Digitalisierung und Überführung jenes einschlägigen Materials in die Web-Repräsentation vor, das von Geymüller über Jahrzehnte zur Erstellung eines ersten </w:t>
      </w:r>
      <w:r w:rsidRPr="0020338F">
        <w:rPr>
          <w:rFonts w:eastAsia="Arial Unicode MS" w:cs="Arial Unicode MS"/>
          <w:i/>
          <w:iCs/>
          <w:color w:val="000000"/>
          <w:sz w:val="24"/>
          <w:szCs w:val="24"/>
          <w:u w:color="000000"/>
          <w:bdr w:val="nil"/>
          <w:lang w:val="de-DE" w:eastAsia="de-DE"/>
        </w:rPr>
        <w:t>„Thesaurus of Architecture“</w:t>
      </w:r>
      <w:r w:rsidRPr="0020338F">
        <w:rPr>
          <w:rFonts w:eastAsia="Arial Unicode MS" w:cs="Arial Unicode MS"/>
          <w:color w:val="000000"/>
          <w:sz w:val="24"/>
          <w:szCs w:val="24"/>
          <w:u w:color="000000"/>
          <w:bdr w:val="nil"/>
          <w:lang w:val="de-DE" w:eastAsia="de-DE"/>
        </w:rPr>
        <w:t xml:space="preserve"> zusammen getragen wurde. Dieser Architektur-Thesaurus sollte in 10.000 Abbildungen eine enzyklopädische Sammlung von Architekturzeichnungen, fotografischen Abbildungen, Modellen, Skizzen und Illustrationen in Traktaten und Handschriften sowie Architekturdarstellungen auf Gemälden beinhalten. Das Projekt sollte – jenseits von konkreten Forschungsfragen – eine Summa des architekturhistorischen Wissens und der lebenslangen Forschungserfahrungen Geymüllers darstellen. Diese Herausgabe einer umfangreichen und möglichst repräsentativen Sammlung architekturbezogener Darstellungen mit methodisch-systematischen Ansprüchen in möglichst guter Reproduktion (Faksimile) lässt sich durchaus im historiographischen Denken des 19. Jahrhunderts verankern. Bei der von Geymüller angestrebten Umsetzung ging es jedoch nicht nur um die Erstellung eines  umfangreichen Corpus an Darstellungen, sondern auch um eine vielfach vernetzte Visualisierung innerhalb einer differenzierten hierarchischen Gliederung, welche bei deren Benutzung nicht auf Anhieb evidente Zusammenhänge herstellen und sichtbar machen kann. Dieses methodische Vorhaben gilt es nun einerseits aus wissenschaftsgeschichtlicher Sicht weiter auszuarbeiten und andererseits mittels aktueller technologischer Möglichkeiten neu zu reflektieren. Erste Bemühungen der eingesetzten Nachlassverwalter (Josef Durm, Emanuel LaRoche, Paul Tiocca und Hermann Egger) konzentrierten sich vorerst auf die sogenannten „Bramante-Studien“. Darüber hinaus verhinderte der Erste Weltkrieg die als internationale Zusammenarbeit geplante Herausgabe des nachgelassenen Materials. Abgesehen von einem bescheidenen Wiederbelebungsversuch durch Hermann Egger geriet das ambitionierte Projekt in Vergessenheit. Dieses Vorhaben Geymüllers sollte nun rekonstruiert und in das wissenschaftliche Panorama des späten 19. Jahrhundert eingebettet werden. Darüber hinaus sollte die visuelle Umsetzung dieses umfassenden architektonischen Kompendiums durch zeitgenössische Informationssysteme und Visualisierungsmodellen angeregt werden. Diese sollten über reine Vergleiche hinaus einen transdisziplinären Wissenstransfer ermöglichen und</w:t>
      </w:r>
      <w:r>
        <w:rPr>
          <w:rFonts w:eastAsia="Arial Unicode MS" w:cs="Arial Unicode MS"/>
          <w:color w:val="000000"/>
          <w:sz w:val="24"/>
          <w:szCs w:val="24"/>
          <w:u w:color="000000"/>
          <w:bdr w:val="nil"/>
          <w:lang w:val="de-DE" w:eastAsia="de-DE"/>
        </w:rPr>
        <w:t xml:space="preserve"> beispielsweise europäischen Museen und Sammlungen neue Einblicksmöglichkeiten bieten.</w:t>
      </w:r>
    </w:p>
    <w:p w:rsidR="00392EB3" w:rsidRDefault="0020338F"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r>
        <w:rPr>
          <w:rFonts w:eastAsia="Arial Unicode MS" w:cs="Arial Unicode MS"/>
          <w:color w:val="000000"/>
          <w:sz w:val="24"/>
          <w:szCs w:val="24"/>
          <w:u w:color="000000"/>
          <w:bdr w:val="nil"/>
          <w:lang w:val="de-DE" w:eastAsia="de-DE"/>
        </w:rPr>
        <w:t>Die Arbeiten in dem hier zur Finanzierung beantragten Projekt zielen daraufhin ab zeitgenössische Datenmodelle und Visualisierungsmethoden zum erweiterten Verständnis historischer Wissensspeicher und Arbeitsweisen bzw. historische Denkmuster als Innovationen für heutige Informationsvisualisierungen anzuwenden sowie</w:t>
      </w:r>
      <w:r>
        <w:rPr>
          <w:rFonts w:eastAsia="Arial Unicode MS" w:cs="Arial Unicode MS"/>
          <w:sz w:val="24"/>
          <w:szCs w:val="24"/>
          <w:u w:color="000000"/>
          <w:bdr w:val="nil"/>
          <w:lang w:val="de-DE" w:eastAsia="de-DE"/>
        </w:rPr>
        <w:t xml:space="preserve"> </w:t>
      </w:r>
      <w:r w:rsidRPr="0020338F">
        <w:rPr>
          <w:rFonts w:eastAsia="Arial Unicode MS" w:cs="Arial Unicode MS"/>
          <w:sz w:val="24"/>
          <w:szCs w:val="24"/>
          <w:u w:color="000000"/>
          <w:bdr w:val="nil"/>
          <w:lang w:val="de-DE" w:eastAsia="de-DE"/>
        </w:rPr>
        <w:t xml:space="preserve">klassische Ansätze der Wissensvisualisierung als innovative Erweiterung technologie-getriebener Darstellungsformen zu verstehen. Über die Web-Repräsentation hinaus sollte zudem, in Zusammenarbeit mit dem Institut für Architektur und Medien der Technischen Universität Graz, der Versuch unternommen werden, die Inhalte des Thesaurus auch an historischen Gebäuden bzw. deren Ausstattungen sichtbar zu machen. Die neuen technischen Methoden der </w:t>
      </w:r>
      <w:r w:rsidRPr="0020338F">
        <w:rPr>
          <w:rFonts w:eastAsia="Arial Unicode MS" w:cs="Arial Unicode MS"/>
          <w:i/>
          <w:iCs/>
          <w:sz w:val="24"/>
          <w:szCs w:val="24"/>
          <w:u w:color="000000"/>
          <w:bdr w:val="nil"/>
          <w:lang w:val="de-DE" w:eastAsia="de-DE"/>
        </w:rPr>
        <w:t>augmented reality</w:t>
      </w:r>
      <w:r w:rsidRPr="0020338F">
        <w:rPr>
          <w:rFonts w:eastAsia="Arial Unicode MS" w:cs="Arial Unicode MS"/>
          <w:sz w:val="24"/>
          <w:szCs w:val="24"/>
          <w:u w:color="000000"/>
          <w:bdr w:val="nil"/>
          <w:lang w:val="de-DE" w:eastAsia="de-DE"/>
        </w:rPr>
        <w:t xml:space="preserve"> und die inzwischen relativ preiswerte Verfügbarkeit der damit verbundenen Geräte sollen auf das Datenmodell und die vernetzten Inhalte angewandt werden. Ziel ist es, die Systematisierung, Klassifikation und die Topologie eines architektonischen Thesaurus auf reale Objekte anzuwenden und für die Benutzer/innen historischer Gebäude sichtbar zu machen. </w:t>
      </w:r>
    </w:p>
    <w:p w:rsidR="00F54942" w:rsidRPr="00F54942" w:rsidRDefault="00F54942" w:rsidP="00F54942">
      <w:pPr>
        <w:pBdr>
          <w:top w:val="nil"/>
          <w:left w:val="nil"/>
          <w:bottom w:val="nil"/>
          <w:right w:val="nil"/>
          <w:between w:val="nil"/>
          <w:bar w:val="nil"/>
        </w:pBdr>
        <w:spacing w:before="0" w:after="0"/>
        <w:ind w:left="0"/>
        <w:rPr>
          <w:rFonts w:eastAsia="Arial Unicode MS" w:cs="Arial Unicode MS"/>
          <w:sz w:val="24"/>
          <w:szCs w:val="24"/>
          <w:u w:color="000000"/>
          <w:bdr w:val="nil"/>
          <w:lang w:val="de-DE" w:eastAsia="de-DE"/>
        </w:rPr>
      </w:pPr>
    </w:p>
    <w:p w:rsidR="00611D8A" w:rsidRDefault="00AC62B0" w:rsidP="003B4D78">
      <w:pPr>
        <w:widowControl w:val="0"/>
        <w:shd w:val="clear" w:color="auto" w:fill="F2F2F2" w:themeFill="background1" w:themeFillShade="F2"/>
        <w:ind w:left="0"/>
        <w:rPr>
          <w:sz w:val="24"/>
          <w:szCs w:val="24"/>
        </w:rPr>
      </w:pPr>
      <w:r w:rsidRPr="003C55B5">
        <w:rPr>
          <w:sz w:val="24"/>
          <w:szCs w:val="24"/>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D97A8B">
      <w:pPr>
        <w:widowControl w:val="0"/>
        <w:ind w:left="0"/>
        <w:rPr>
          <w:sz w:val="24"/>
          <w:szCs w:val="24"/>
        </w:rPr>
      </w:pPr>
      <w:r w:rsidRPr="003B4D78">
        <w:rPr>
          <w:sz w:val="24"/>
          <w:szCs w:val="24"/>
        </w:rPr>
        <w:t xml:space="preserve">Neben </w:t>
      </w:r>
      <w:r w:rsidR="00D97A8B">
        <w:rPr>
          <w:sz w:val="24"/>
          <w:szCs w:val="24"/>
        </w:rPr>
        <w:t xml:space="preserve">dem </w:t>
      </w:r>
      <w:r w:rsidRPr="003B4D78">
        <w:rPr>
          <w:sz w:val="24"/>
          <w:szCs w:val="24"/>
        </w:rPr>
        <w:t>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w:t>
      </w:r>
      <w:r w:rsidR="00D97A8B">
        <w:rPr>
          <w:sz w:val="24"/>
          <w:szCs w:val="24"/>
        </w:rPr>
        <w:t>, Institut für Kunst- und Musikwissenschaft - Abteilung für Kunstgeschichte</w:t>
      </w:r>
      <w:r w:rsidRPr="003B4D78">
        <w:rPr>
          <w:sz w:val="24"/>
          <w:szCs w:val="24"/>
        </w:rPr>
        <w:t>)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D97A8B" w:rsidP="00437B3E">
      <w:pPr>
        <w:widowControl w:val="0"/>
        <w:ind w:left="0"/>
        <w:rPr>
          <w:sz w:val="24"/>
          <w:szCs w:val="24"/>
        </w:rPr>
      </w:pPr>
      <w:r>
        <w:rPr>
          <w:sz w:val="24"/>
          <w:szCs w:val="24"/>
        </w:rPr>
        <w:t xml:space="preserve">Die </w:t>
      </w:r>
      <w:r w:rsidR="0032082B" w:rsidRPr="003B4D78">
        <w:rPr>
          <w:sz w:val="24"/>
          <w:szCs w:val="24"/>
        </w:rPr>
        <w:t xml:space="preserve">Interdisziplinarität </w:t>
      </w:r>
      <w:r>
        <w:rPr>
          <w:sz w:val="24"/>
          <w:szCs w:val="24"/>
        </w:rPr>
        <w:t>ergibt sich aus der Zusammenarbeit des Fachs Kunstgeschichte (KFU</w:t>
      </w:r>
      <w:r w:rsidR="00437B3E">
        <w:rPr>
          <w:sz w:val="24"/>
          <w:szCs w:val="24"/>
        </w:rPr>
        <w:t xml:space="preserve"> Graz, TU Dresden</w:t>
      </w:r>
      <w:r>
        <w:rPr>
          <w:sz w:val="24"/>
          <w:szCs w:val="24"/>
        </w:rPr>
        <w:t xml:space="preserve">) mit der übergeordenten </w:t>
      </w:r>
      <w:r w:rsidR="00437B3E">
        <w:rPr>
          <w:sz w:val="24"/>
          <w:szCs w:val="24"/>
        </w:rPr>
        <w:t xml:space="preserve">Disziplin der </w:t>
      </w:r>
      <w:r>
        <w:rPr>
          <w:sz w:val="24"/>
          <w:szCs w:val="24"/>
        </w:rPr>
        <w:t>Wissenschaftsgeschichte (</w:t>
      </w:r>
      <w:r w:rsidR="0032082B" w:rsidRPr="003B4D78">
        <w:rPr>
          <w:sz w:val="24"/>
          <w:szCs w:val="24"/>
        </w:rPr>
        <w:t>Zentrum für Wissenschaftsgeschichte</w:t>
      </w:r>
      <w:r>
        <w:rPr>
          <w:sz w:val="24"/>
          <w:szCs w:val="24"/>
        </w:rPr>
        <w:t>, KFU)</w:t>
      </w:r>
      <w:r w:rsidR="0032082B" w:rsidRPr="003B4D78">
        <w:rPr>
          <w:sz w:val="24"/>
          <w:szCs w:val="24"/>
        </w:rPr>
        <w:t xml:space="preserve"> </w:t>
      </w:r>
      <w:r>
        <w:rPr>
          <w:sz w:val="24"/>
          <w:szCs w:val="24"/>
        </w:rPr>
        <w:t xml:space="preserve">sowie </w:t>
      </w:r>
      <w:r w:rsidR="00437B3E">
        <w:rPr>
          <w:sz w:val="24"/>
          <w:szCs w:val="24"/>
        </w:rPr>
        <w:t>auch mit einem Lehr- und Forschungsbereich der Architekturausbildung an der TU Graz (Institut für Architektur und Medien).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437B3E" w:rsidRDefault="00437B3E" w:rsidP="007A5F63">
      <w:pPr>
        <w:widowControl w:val="0"/>
        <w:ind w:left="0"/>
        <w:rPr>
          <w:sz w:val="24"/>
          <w:szCs w:val="24"/>
        </w:rPr>
      </w:pPr>
      <w:r>
        <w:rPr>
          <w:sz w:val="24"/>
          <w:szCs w:val="24"/>
        </w:rPr>
        <w:t xml:space="preserve">Zum </w:t>
      </w:r>
      <w:r w:rsidR="00C069A6">
        <w:rPr>
          <w:sz w:val="24"/>
          <w:szCs w:val="24"/>
        </w:rPr>
        <w:t>einen</w:t>
      </w:r>
      <w:r>
        <w:rPr>
          <w:sz w:val="24"/>
          <w:szCs w:val="24"/>
        </w:rPr>
        <w:t xml:space="preserve"> wird der am Institut für Kunstgeschichte (KFU Graz) befindliche wissenschaftliche Nachlassbestand Heinrich von Geymüllers systematisch weiterbearbeitet, erschlossen und für eine breitere Öffentlichkeit zugänglich gemacht. Zum </w:t>
      </w:r>
      <w:r w:rsidR="00C069A6">
        <w:rPr>
          <w:sz w:val="24"/>
          <w:szCs w:val="24"/>
        </w:rPr>
        <w:t>anderen</w:t>
      </w:r>
      <w:r>
        <w:rPr>
          <w:sz w:val="24"/>
          <w:szCs w:val="24"/>
        </w:rPr>
        <w:t xml:space="preserve"> wird </w:t>
      </w:r>
      <w:r w:rsidR="007A5F63">
        <w:rPr>
          <w:sz w:val="24"/>
          <w:szCs w:val="24"/>
        </w:rPr>
        <w:t>damit ein historiographischer</w:t>
      </w:r>
      <w:r>
        <w:rPr>
          <w:sz w:val="24"/>
          <w:szCs w:val="24"/>
        </w:rPr>
        <w:t xml:space="preserve"> </w:t>
      </w:r>
      <w:r w:rsidR="007A5F63">
        <w:rPr>
          <w:sz w:val="24"/>
          <w:szCs w:val="24"/>
        </w:rPr>
        <w:t>Gegenstand mittels zeitgenössischen Informationstechnologien und Informationssystemen für aktuelle Umsetzungsstrategien nutzbar gemacht.</w:t>
      </w:r>
    </w:p>
    <w:p w:rsidR="003118AE" w:rsidRDefault="003118AE" w:rsidP="007A5F63">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7A5F63" w:rsidRDefault="007A5F63" w:rsidP="00BC27F3">
      <w:pPr>
        <w:widowControl w:val="0"/>
        <w:ind w:left="0"/>
        <w:rPr>
          <w:sz w:val="24"/>
          <w:szCs w:val="24"/>
        </w:rPr>
      </w:pPr>
      <w:r>
        <w:rPr>
          <w:sz w:val="24"/>
          <w:szCs w:val="24"/>
        </w:rPr>
        <w:t>Die Ergebnisse der inhaltlichen Bearbeitung des Th</w:t>
      </w:r>
      <w:r w:rsidR="00F922C2">
        <w:rPr>
          <w:sz w:val="24"/>
          <w:szCs w:val="24"/>
        </w:rPr>
        <w:t>e</w:t>
      </w:r>
      <w:r>
        <w:rPr>
          <w:sz w:val="24"/>
          <w:szCs w:val="24"/>
        </w:rPr>
        <w:t xml:space="preserve">saurus-Materials sowie jene der </w:t>
      </w:r>
      <w:r w:rsidRPr="0085277D">
        <w:rPr>
          <w:sz w:val="24"/>
          <w:szCs w:val="24"/>
        </w:rPr>
        <w:t>visuellen Umsetzung</w:t>
      </w:r>
      <w:r w:rsidR="0085277D" w:rsidRPr="0085277D">
        <w:rPr>
          <w:sz w:val="24"/>
          <w:szCs w:val="24"/>
        </w:rPr>
        <w:t>en</w:t>
      </w:r>
      <w:r w:rsidR="0085277D">
        <w:rPr>
          <w:sz w:val="24"/>
          <w:szCs w:val="24"/>
        </w:rPr>
        <w:t xml:space="preserve"> können </w:t>
      </w:r>
      <w:r w:rsidR="00F922C2">
        <w:rPr>
          <w:sz w:val="24"/>
          <w:szCs w:val="24"/>
        </w:rPr>
        <w:t xml:space="preserve">mit Hilfe aktueller technologischer Unterstützung in der umfassenden Konzeption Geymüllers erfahrbar werden. </w:t>
      </w:r>
      <w:r w:rsidR="00CE0D05">
        <w:rPr>
          <w:sz w:val="24"/>
          <w:szCs w:val="24"/>
        </w:rPr>
        <w:t xml:space="preserve">Die interdisziplinäre Einbindung </w:t>
      </w:r>
      <w:r w:rsidR="00F922C2">
        <w:rPr>
          <w:sz w:val="24"/>
          <w:szCs w:val="24"/>
        </w:rPr>
        <w:t xml:space="preserve">des konzeptuellen Gehaltes des projektierten Architektur-Thesaurus </w:t>
      </w:r>
      <w:r w:rsidR="00CE0D05">
        <w:rPr>
          <w:sz w:val="24"/>
          <w:szCs w:val="24"/>
        </w:rPr>
        <w:t xml:space="preserve">in den wissenschaftsgeschichtlichen Kontext legt nahe, </w:t>
      </w:r>
      <w:r w:rsidR="0085277D">
        <w:rPr>
          <w:sz w:val="24"/>
          <w:szCs w:val="24"/>
        </w:rPr>
        <w:t xml:space="preserve">dass hier ein allgemeines Modell historischer Denkweise des späten 19. Jahrhudnerts vorliegt. Neben der Zugänglichmachung für ein interessiertes Fachpublikum wird die Möglichkeit einer direkten Übertragbarkeit in aktuelle Informationssyteme eröffnet. </w:t>
      </w:r>
      <w:r w:rsidR="00BC27F3">
        <w:rPr>
          <w:sz w:val="24"/>
          <w:szCs w:val="24"/>
        </w:rPr>
        <w:t xml:space="preserve">Die </w:t>
      </w:r>
      <w:r w:rsidR="0085277D">
        <w:rPr>
          <w:sz w:val="24"/>
          <w:szCs w:val="24"/>
        </w:rPr>
        <w:t>durch das Projekt generierte</w:t>
      </w:r>
      <w:r w:rsidR="00BC27F3">
        <w:rPr>
          <w:sz w:val="24"/>
          <w:szCs w:val="24"/>
        </w:rPr>
        <w:t>n</w:t>
      </w:r>
      <w:r w:rsidR="0085277D">
        <w:rPr>
          <w:sz w:val="24"/>
          <w:szCs w:val="24"/>
        </w:rPr>
        <w:t xml:space="preserve"> </w:t>
      </w:r>
      <w:r w:rsidR="00BC27F3">
        <w:rPr>
          <w:sz w:val="24"/>
          <w:szCs w:val="24"/>
        </w:rPr>
        <w:t xml:space="preserve">Erkenntnisse </w:t>
      </w:r>
      <w:r w:rsidR="0085277D">
        <w:rPr>
          <w:sz w:val="24"/>
          <w:szCs w:val="24"/>
        </w:rPr>
        <w:t xml:space="preserve">über Datenmodelle und das </w:t>
      </w:r>
      <w:r w:rsidR="00BC27F3">
        <w:rPr>
          <w:sz w:val="24"/>
          <w:szCs w:val="24"/>
        </w:rPr>
        <w:t xml:space="preserve">frühe </w:t>
      </w:r>
      <w:r w:rsidR="0085277D">
        <w:rPr>
          <w:sz w:val="24"/>
          <w:szCs w:val="24"/>
        </w:rPr>
        <w:t xml:space="preserve">Netzwerkdenken im 19. </w:t>
      </w:r>
      <w:r w:rsidR="00BC27F3">
        <w:rPr>
          <w:sz w:val="24"/>
          <w:szCs w:val="24"/>
        </w:rPr>
        <w:t xml:space="preserve">und beginnenden 20. </w:t>
      </w:r>
      <w:r w:rsidR="0085277D">
        <w:rPr>
          <w:sz w:val="24"/>
          <w:szCs w:val="24"/>
        </w:rPr>
        <w:t xml:space="preserve">Jahrhundert </w:t>
      </w:r>
      <w:r w:rsidR="00BC27F3">
        <w:rPr>
          <w:sz w:val="24"/>
          <w:szCs w:val="24"/>
        </w:rPr>
        <w:t xml:space="preserve">soll </w:t>
      </w:r>
      <w:r w:rsidR="0085277D">
        <w:rPr>
          <w:sz w:val="24"/>
          <w:szCs w:val="24"/>
        </w:rPr>
        <w:t xml:space="preserve">als Ergebnis in die Produktenwicklung </w:t>
      </w:r>
      <w:r w:rsidR="00BC27F3">
        <w:rPr>
          <w:sz w:val="24"/>
          <w:szCs w:val="24"/>
        </w:rPr>
        <w:t xml:space="preserve">der beiden Unternehmen „inari-Software GmbH“ und „complement GmbH“ mit einfließen. </w:t>
      </w:r>
    </w:p>
    <w:p w:rsidR="00B73616" w:rsidRDefault="00B73616" w:rsidP="007A5F63">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Christoph Breser und</w:t>
      </w:r>
      <w:r w:rsidR="003B4D78">
        <w:rPr>
          <w:sz w:val="24"/>
          <w:szCs w:val="24"/>
        </w:rPr>
        <w:t xml:space="preserve"> </w:t>
      </w:r>
      <w:r>
        <w:rPr>
          <w:sz w:val="24"/>
          <w:szCs w:val="24"/>
        </w:rPr>
        <w:t xml:space="preserve">Stefan Zedlacher)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C55B5" w:rsidRPr="004B5053" w:rsidRDefault="00365E9B" w:rsidP="004B5053">
      <w:pPr>
        <w:widowControl w:val="0"/>
        <w:ind w:left="0"/>
        <w:rPr>
          <w:sz w:val="24"/>
          <w:szCs w:val="24"/>
        </w:rPr>
      </w:pPr>
      <w:r w:rsidRPr="00365E9B">
        <w:rPr>
          <w:sz w:val="24"/>
          <w:szCs w:val="24"/>
        </w:rPr>
        <w:t>Christoph Breser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Architecture – A Digital Anthology of Heinrich von Geymüller“</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Breser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C55B5" w:rsidRPr="003C55B5" w:rsidRDefault="003C55B5" w:rsidP="004B5053">
      <w:pPr>
        <w:widowControl w:val="0"/>
        <w:ind w:left="0"/>
        <w:rPr>
          <w:sz w:val="24"/>
          <w:szCs w:val="24"/>
          <w:lang w:val="de-DE"/>
        </w:rPr>
      </w:pPr>
      <w:r w:rsidRPr="003C55B5">
        <w:rPr>
          <w:sz w:val="24"/>
          <w:szCs w:val="24"/>
          <w:lang w:val="de-DE"/>
        </w:rPr>
        <w:t>Stefan Zedlacher ist selbstständiger Software Entwickler im Bereich von Gebäude und Rauminteraktions</w:t>
      </w:r>
      <w:r w:rsidR="004B5053">
        <w:rPr>
          <w:sz w:val="24"/>
          <w:szCs w:val="24"/>
          <w:lang w:val="de-DE"/>
        </w:rPr>
        <w:t>systemen in Graz. A</w:t>
      </w:r>
      <w:r w:rsidRPr="003C55B5">
        <w:rPr>
          <w:sz w:val="24"/>
          <w:szCs w:val="24"/>
          <w:lang w:val="de-DE"/>
        </w:rPr>
        <w:t>ls Projektmitarbeiter am Forschungsprojekt „Renaissance Architecture – A Digital Anthology of Heinrich von Geymüller“ ist er für die technische Umsetzung der Forschungsergebnisse als interaktive, mobile Cloud Anwendung verantwortlich. Am Institut für Architektur und Medien der Technischen Universität Graz war er als Wissenschaftlicher Assistent in der Lehre (Informationsvisualisierung, digitales Design und Methoden in der Architektur, Grundlagen) und Forschung (Rauminteraktion, Medienlabor) gleichermaßen mit dem Spannungsfeld zwischen Architektur und digitalen Medien beschäftigt. Er arbeitet derzeit an seiner Dissertation zum Thema „Informationssyteme für historischen Gebäude und Architekturen“ was die Arbeit am beantragten Projekt inhaltlich ergänzen würde.</w:t>
      </w:r>
    </w:p>
    <w:p w:rsidR="00392EB3" w:rsidRPr="003C55B5" w:rsidRDefault="00392EB3" w:rsidP="003118AE">
      <w:pPr>
        <w:widowControl w:val="0"/>
        <w:ind w:left="0"/>
        <w:jc w:val="left"/>
        <w:rPr>
          <w:sz w:val="24"/>
          <w:szCs w:val="24"/>
          <w:lang w:val="de-DE"/>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C069A6" w:rsidRDefault="00C069A6"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6E5A9F" w:rsidRDefault="00BD681B" w:rsidP="003118AE">
      <w:pPr>
        <w:widowControl w:val="0"/>
        <w:ind w:left="0"/>
        <w:jc w:val="left"/>
        <w:rPr>
          <w:sz w:val="24"/>
          <w:szCs w:val="24"/>
        </w:rPr>
      </w:pPr>
      <w:r>
        <w:rPr>
          <w:sz w:val="24"/>
          <w:szCs w:val="24"/>
        </w:rPr>
        <w:t>3</w:t>
      </w: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sidR="00C069A6">
        <w:rPr>
          <w:sz w:val="24"/>
          <w:szCs w:val="24"/>
        </w:rPr>
        <w:t>Zurzeit</w:t>
      </w:r>
      <w:r>
        <w:rPr>
          <w:sz w:val="24"/>
          <w:szCs w:val="24"/>
        </w:rPr>
        <w:t xml:space="preserve">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437B3E">
        <w:rPr>
          <w:sz w:val="24"/>
          <w:szCs w:val="24"/>
        </w:rPr>
        <w:t xml:space="preserve"> und Datenmodellierung</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392EB3" w:rsidRPr="00C069A6" w:rsidRDefault="004B5053" w:rsidP="00C069A6">
      <w:pPr>
        <w:widowControl w:val="0"/>
        <w:ind w:left="0"/>
        <w:rPr>
          <w:sz w:val="24"/>
          <w:szCs w:val="24"/>
        </w:rPr>
      </w:pPr>
      <w:r>
        <w:rPr>
          <w:sz w:val="24"/>
          <w:szCs w:val="24"/>
        </w:rPr>
        <w:t xml:space="preserve">Der Forschungsschwerpunkt „Argumented Architecture“ am Institut für Architektur und Medien (TUG) wird durch Teilnahme an diesem Projekt weiter befördert und erweitert. Der </w:t>
      </w:r>
      <w:r w:rsidR="003C55B5" w:rsidRPr="003C55B5">
        <w:rPr>
          <w:sz w:val="24"/>
          <w:szCs w:val="24"/>
          <w:lang w:val="de-DE"/>
        </w:rPr>
        <w:t>bisher</w:t>
      </w:r>
      <w:r>
        <w:rPr>
          <w:sz w:val="24"/>
          <w:szCs w:val="24"/>
          <w:lang w:val="de-DE"/>
        </w:rPr>
        <w:t>ige Schwerpunkt auf c</w:t>
      </w:r>
      <w:r w:rsidR="003C55B5" w:rsidRPr="003C55B5">
        <w:rPr>
          <w:sz w:val="24"/>
          <w:szCs w:val="24"/>
          <w:lang w:val="de-DE"/>
        </w:rPr>
        <w:t>omputerunterstützte A</w:t>
      </w:r>
      <w:r>
        <w:rPr>
          <w:sz w:val="24"/>
          <w:szCs w:val="24"/>
          <w:lang w:val="de-DE"/>
        </w:rPr>
        <w:t>nimation, c</w:t>
      </w:r>
      <w:r w:rsidR="003C55B5" w:rsidRPr="003C55B5">
        <w:rPr>
          <w:sz w:val="24"/>
          <w:szCs w:val="24"/>
          <w:lang w:val="de-DE"/>
        </w:rPr>
        <w:t>o</w:t>
      </w:r>
      <w:r>
        <w:rPr>
          <w:sz w:val="24"/>
          <w:szCs w:val="24"/>
          <w:lang w:val="de-DE"/>
        </w:rPr>
        <w:t>mputerunterstützte Simulation, c</w:t>
      </w:r>
      <w:r w:rsidR="003C55B5" w:rsidRPr="003C55B5">
        <w:rPr>
          <w:sz w:val="24"/>
          <w:szCs w:val="24"/>
          <w:lang w:val="de-DE"/>
        </w:rPr>
        <w:t>omputerunterstütztes Entwerfen und Virtual Reality an</w:t>
      </w:r>
      <w:r>
        <w:rPr>
          <w:sz w:val="24"/>
          <w:szCs w:val="24"/>
          <w:lang w:val="de-DE"/>
        </w:rPr>
        <w:t xml:space="preserve"> zeitgemäßen Architekturen wird durch deren </w:t>
      </w:r>
      <w:r w:rsidR="003C55B5" w:rsidRPr="003C55B5">
        <w:rPr>
          <w:sz w:val="24"/>
          <w:szCs w:val="24"/>
          <w:lang w:val="de-DE"/>
        </w:rPr>
        <w:t>Anwendung an historisc</w:t>
      </w:r>
      <w:r>
        <w:rPr>
          <w:sz w:val="24"/>
          <w:szCs w:val="24"/>
          <w:lang w:val="de-DE"/>
        </w:rPr>
        <w:t xml:space="preserve">hen Bauwerken erstmals erprobt. </w:t>
      </w:r>
      <w:r w:rsidR="003C55B5" w:rsidRPr="003C55B5">
        <w:rPr>
          <w:sz w:val="24"/>
          <w:szCs w:val="24"/>
          <w:lang w:val="de-DE"/>
        </w:rPr>
        <w:t xml:space="preserve">Zudem </w:t>
      </w:r>
      <w:r>
        <w:rPr>
          <w:sz w:val="24"/>
          <w:szCs w:val="24"/>
          <w:lang w:val="de-DE"/>
        </w:rPr>
        <w:t xml:space="preserve">sollen </w:t>
      </w:r>
      <w:r w:rsidR="003C55B5" w:rsidRPr="003C55B5">
        <w:rPr>
          <w:sz w:val="24"/>
          <w:szCs w:val="24"/>
          <w:lang w:val="de-DE"/>
        </w:rPr>
        <w:t>die Lehrveranstaltungen „Informationsvisualisie</w:t>
      </w:r>
      <w:r>
        <w:rPr>
          <w:sz w:val="24"/>
          <w:szCs w:val="24"/>
          <w:lang w:val="de-DE"/>
        </w:rPr>
        <w:t>rung“, „</w:t>
      </w:r>
      <w:r w:rsidR="003C55B5" w:rsidRPr="003C55B5">
        <w:rPr>
          <w:sz w:val="24"/>
          <w:szCs w:val="24"/>
          <w:lang w:val="de-DE"/>
        </w:rPr>
        <w:t>Architekturvisualisierung</w:t>
      </w:r>
      <w:r>
        <w:rPr>
          <w:sz w:val="24"/>
          <w:szCs w:val="24"/>
          <w:lang w:val="de-DE"/>
        </w:rPr>
        <w:t>“</w:t>
      </w:r>
      <w:r w:rsidR="003C55B5" w:rsidRPr="003C55B5">
        <w:rPr>
          <w:sz w:val="24"/>
          <w:szCs w:val="24"/>
          <w:lang w:val="de-DE"/>
        </w:rPr>
        <w:t xml:space="preserve"> und </w:t>
      </w:r>
      <w:r>
        <w:rPr>
          <w:sz w:val="24"/>
          <w:szCs w:val="24"/>
          <w:lang w:val="de-DE"/>
        </w:rPr>
        <w:t>„</w:t>
      </w:r>
      <w:r w:rsidR="003C55B5" w:rsidRPr="003C55B5">
        <w:rPr>
          <w:sz w:val="24"/>
          <w:szCs w:val="24"/>
          <w:lang w:val="de-DE"/>
        </w:rPr>
        <w:t xml:space="preserve">Simulationstechnik“ </w:t>
      </w:r>
      <w:r>
        <w:rPr>
          <w:sz w:val="24"/>
          <w:szCs w:val="24"/>
          <w:lang w:val="de-DE"/>
        </w:rPr>
        <w:t xml:space="preserve">im Studienjahr 2016/17 </w:t>
      </w:r>
      <w:r w:rsidR="003C55B5" w:rsidRPr="003C55B5">
        <w:rPr>
          <w:sz w:val="24"/>
          <w:szCs w:val="24"/>
          <w:lang w:val="de-DE"/>
        </w:rPr>
        <w:t xml:space="preserve">als forschungsgeleitete Lehrveranstaltungen </w:t>
      </w:r>
      <w:r>
        <w:rPr>
          <w:sz w:val="24"/>
          <w:szCs w:val="24"/>
          <w:lang w:val="de-DE"/>
        </w:rPr>
        <w:t xml:space="preserve">mit </w:t>
      </w:r>
      <w:r w:rsidR="003C55B5" w:rsidRPr="003C55B5">
        <w:rPr>
          <w:sz w:val="24"/>
          <w:szCs w:val="24"/>
          <w:lang w:val="de-DE"/>
        </w:rPr>
        <w:t xml:space="preserve">eingebunden werden. </w:t>
      </w: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392EB3" w:rsidRDefault="00BD681B" w:rsidP="0068331D">
      <w:pPr>
        <w:widowControl w:val="0"/>
        <w:ind w:left="0"/>
        <w:jc w:val="left"/>
        <w:rPr>
          <w:sz w:val="24"/>
          <w:szCs w:val="24"/>
        </w:rPr>
      </w:pPr>
      <w:r>
        <w:rPr>
          <w:sz w:val="24"/>
          <w:szCs w:val="24"/>
        </w:rPr>
        <w:t>Graz</w:t>
      </w: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392EB3" w:rsidRDefault="00BD681B" w:rsidP="0068331D">
      <w:pPr>
        <w:widowControl w:val="0"/>
        <w:ind w:left="0"/>
        <w:jc w:val="left"/>
        <w:rPr>
          <w:sz w:val="24"/>
          <w:szCs w:val="24"/>
        </w:rPr>
      </w:pPr>
      <w:r>
        <w:rPr>
          <w:sz w:val="24"/>
          <w:szCs w:val="24"/>
        </w:rPr>
        <w:t>01. 12. 2016 – 28. 02. 2018 (studentische Mitarbeiterin bis 09. 2018)</w:t>
      </w:r>
    </w:p>
    <w:p w:rsidR="00C069A6" w:rsidRDefault="00C069A6"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3C55B5" w:rsidRDefault="00003697" w:rsidP="00E15F3E">
      <w:pPr>
        <w:ind w:left="0"/>
        <w:rPr>
          <w:sz w:val="24"/>
          <w:szCs w:val="24"/>
          <w:lang w:val="it-IT"/>
        </w:rPr>
      </w:pPr>
      <w:r w:rsidRPr="00E15F3E">
        <w:rPr>
          <w:sz w:val="24"/>
          <w:szCs w:val="24"/>
        </w:rPr>
        <w:t xml:space="preserve">Die ursprünglichen Entwürfe für St. Peter in Rom von Bramante, Raphael Santi, Fra Giocondo, den Sangallo’s u. a. m. nebst zahlreichen Ergänzungen, und einem Texte zum ersten Mal herausgegeben. Wien/Paris 1875 – 1880. 2 Bde. </w:t>
      </w:r>
      <w:r w:rsidRPr="003C55B5">
        <w:rPr>
          <w:sz w:val="24"/>
          <w:szCs w:val="24"/>
          <w:lang w:val="it-IT"/>
        </w:rPr>
        <w:t>(Text deutsch und französisch).</w:t>
      </w:r>
    </w:p>
    <w:p w:rsidR="00003697" w:rsidRPr="003C55B5" w:rsidRDefault="00003697" w:rsidP="00E15F3E">
      <w:pPr>
        <w:ind w:left="0"/>
        <w:rPr>
          <w:sz w:val="24"/>
          <w:szCs w:val="24"/>
          <w:lang w:val="en-US"/>
        </w:rPr>
      </w:pPr>
      <w:r w:rsidRPr="003C55B5">
        <w:rPr>
          <w:sz w:val="24"/>
          <w:szCs w:val="24"/>
          <w:lang w:val="it-IT"/>
        </w:rPr>
        <w:t xml:space="preserve">Cento disegni di architettura d’ornato e di figura di Fra Giocondo. </w:t>
      </w:r>
      <w:r w:rsidRPr="003C55B5">
        <w:rPr>
          <w:sz w:val="24"/>
          <w:szCs w:val="24"/>
          <w:lang w:val="en-US"/>
        </w:rPr>
        <w:t>Florenz 1882.</w:t>
      </w:r>
    </w:p>
    <w:p w:rsidR="00003697" w:rsidRPr="0020338F" w:rsidRDefault="00003697" w:rsidP="00E15F3E">
      <w:pPr>
        <w:ind w:left="0"/>
        <w:rPr>
          <w:sz w:val="24"/>
          <w:szCs w:val="24"/>
          <w:lang w:val="it-IT"/>
        </w:rPr>
      </w:pPr>
      <w:r w:rsidRPr="003C55B5">
        <w:rPr>
          <w:sz w:val="24"/>
          <w:szCs w:val="24"/>
          <w:lang w:val="en-US"/>
        </w:rPr>
        <w:t xml:space="preserve">Leonardo da Vinci as Architect. In: Jean Paul Richter, The Literary Works of Leonardo da Vinci. </w:t>
      </w:r>
      <w:r w:rsidRPr="0020338F">
        <w:rPr>
          <w:sz w:val="24"/>
          <w:szCs w:val="24"/>
          <w:lang w:val="it-IT"/>
        </w:rPr>
        <w:t>London 1883. 2 Bde., Bd. II, 25 – 104, Pl. LXXVII – CVI.</w:t>
      </w:r>
    </w:p>
    <w:p w:rsidR="00003697" w:rsidRPr="003C55B5" w:rsidRDefault="00003697" w:rsidP="00E15F3E">
      <w:pPr>
        <w:ind w:left="0"/>
        <w:rPr>
          <w:sz w:val="24"/>
          <w:szCs w:val="24"/>
          <w:lang w:val="fr-FR"/>
        </w:rPr>
      </w:pPr>
      <w:r w:rsidRPr="003C55B5">
        <w:rPr>
          <w:sz w:val="24"/>
          <w:szCs w:val="24"/>
          <w:lang w:val="it-IT"/>
        </w:rPr>
        <w:t xml:space="preserve">Raffaello Sanzio studiato come architetto. </w:t>
      </w:r>
      <w:r w:rsidRPr="003C55B5">
        <w:rPr>
          <w:sz w:val="24"/>
          <w:szCs w:val="24"/>
          <w:lang w:val="fr-FR"/>
        </w:rPr>
        <w:t>Mailand 1884.</w:t>
      </w:r>
    </w:p>
    <w:p w:rsidR="00003697" w:rsidRPr="00E15F3E" w:rsidRDefault="00003697" w:rsidP="00E15F3E">
      <w:pPr>
        <w:ind w:left="0"/>
        <w:rPr>
          <w:sz w:val="24"/>
          <w:szCs w:val="24"/>
        </w:rPr>
      </w:pPr>
      <w:r w:rsidRPr="003C55B5">
        <w:rPr>
          <w:sz w:val="24"/>
          <w:szCs w:val="24"/>
          <w:lang w:val="fr-FR"/>
        </w:rPr>
        <w:t xml:space="preserve">Les Du Cerceau. Leur vie et leur oevre d’apres nouvelles recherches. </w:t>
      </w:r>
      <w:r w:rsidRPr="00E15F3E">
        <w:rPr>
          <w:sz w:val="24"/>
          <w:szCs w:val="24"/>
        </w:rPr>
        <w:t>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4B5053" w:rsidRDefault="004B5053" w:rsidP="00E15F3E">
      <w:pPr>
        <w:ind w:left="0"/>
        <w:rPr>
          <w:sz w:val="24"/>
          <w:szCs w:val="24"/>
          <w:u w:val="single"/>
        </w:rPr>
      </w:pPr>
    </w:p>
    <w:p w:rsidR="0034618D" w:rsidRDefault="0034618D" w:rsidP="00E15F3E">
      <w:pPr>
        <w:ind w:left="0"/>
        <w:rPr>
          <w:sz w:val="24"/>
          <w:szCs w:val="24"/>
          <w:u w:val="single"/>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3C55B5">
        <w:rPr>
          <w:sz w:val="24"/>
          <w:szCs w:val="24"/>
          <w:lang w:val="fr-FR"/>
        </w:rPr>
        <w:t xml:space="preserve">Josef Ploder, La Collection Geymüller-Campello aux Offices. In: Henri de Geymüller. Architecte et historien de l’art. Un novateur dans l’approche de la restauration et de la conservation du patrimoine architectural. </w:t>
      </w:r>
      <w:r w:rsidRPr="00E15F3E">
        <w:rPr>
          <w:sz w:val="24"/>
          <w:szCs w:val="24"/>
        </w:rPr>
        <w:t>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3C55B5" w:rsidRDefault="00003697" w:rsidP="00E15F3E">
      <w:pPr>
        <w:ind w:left="0"/>
        <w:rPr>
          <w:sz w:val="24"/>
          <w:szCs w:val="24"/>
          <w:lang w:val="it-IT"/>
        </w:rPr>
      </w:pPr>
      <w:r w:rsidRPr="00E15F3E">
        <w:rPr>
          <w:sz w:val="24"/>
          <w:szCs w:val="24"/>
        </w:rPr>
        <w:t xml:space="preserve">Georg Germann, Henry de Geymüller, un expert polyglotte et cosmopolite. In : R. Recht (Hg.), Victor Hugo et le débat patrimonial. </w:t>
      </w:r>
      <w:r w:rsidRPr="003C55B5">
        <w:rPr>
          <w:sz w:val="24"/>
          <w:szCs w:val="24"/>
          <w:lang w:val="it-IT"/>
        </w:rPr>
        <w:t>Paris 2003, 102 – 120.</w:t>
      </w:r>
    </w:p>
    <w:p w:rsidR="00003697" w:rsidRPr="00E15F3E" w:rsidRDefault="00003697" w:rsidP="00E15F3E">
      <w:pPr>
        <w:ind w:left="0"/>
        <w:rPr>
          <w:sz w:val="24"/>
          <w:szCs w:val="24"/>
        </w:rPr>
      </w:pPr>
      <w:r w:rsidRPr="003C55B5">
        <w:rPr>
          <w:sz w:val="24"/>
          <w:szCs w:val="24"/>
          <w:lang w:val="it-IT"/>
        </w:rPr>
        <w:t xml:space="preserve">Josef Ploder, Bramante e gli altri. Storia di tre codici e di un collezionista. </w:t>
      </w:r>
      <w:r w:rsidRPr="00E15F3E">
        <w:rPr>
          <w:sz w:val="24"/>
          <w:szCs w:val="24"/>
        </w:rPr>
        <w:t>Florenz 2006. (Gabinetto disegni e stampe degli Uffizi XCIII).</w:t>
      </w:r>
    </w:p>
    <w:p w:rsidR="00003697" w:rsidRPr="003C55B5" w:rsidRDefault="00003697" w:rsidP="00E15F3E">
      <w:pPr>
        <w:ind w:left="0"/>
        <w:rPr>
          <w:sz w:val="24"/>
          <w:szCs w:val="24"/>
          <w:lang w:val="it-IT"/>
        </w:rPr>
      </w:pPr>
      <w:r w:rsidRPr="00E15F3E">
        <w:rPr>
          <w:sz w:val="24"/>
          <w:szCs w:val="24"/>
        </w:rPr>
        <w:t xml:space="preserve">Josef Ploder, Geymüller, Heinrich (Heinrich Adolf; Henri) von. In Allgemeines Künstler-Lexikon. Die Bildenden Künstler aller Zeiten und Völker. </w:t>
      </w:r>
      <w:r w:rsidRPr="003C55B5">
        <w:rPr>
          <w:sz w:val="24"/>
          <w:szCs w:val="24"/>
          <w:lang w:val="it-IT"/>
        </w:rPr>
        <w:t>Band 52 Gerard – Gheuse. München/Leipzig 2006, 464.</w:t>
      </w:r>
    </w:p>
    <w:p w:rsidR="00003697" w:rsidRPr="0020338F" w:rsidRDefault="00003697" w:rsidP="00E15F3E">
      <w:pPr>
        <w:ind w:left="0"/>
        <w:rPr>
          <w:sz w:val="24"/>
          <w:szCs w:val="24"/>
          <w:lang w:val="it-IT"/>
        </w:rPr>
      </w:pPr>
      <w:r w:rsidRPr="003C55B5">
        <w:rPr>
          <w:sz w:val="24"/>
          <w:szCs w:val="24"/>
          <w:lang w:val="it-IT"/>
        </w:rPr>
        <w:t xml:space="preserve">Josef Ploder, Il cosidetto Codice Vignola della Raccolta Geymüller. </w:t>
      </w:r>
      <w:r w:rsidRPr="0020338F">
        <w:rPr>
          <w:sz w:val="24"/>
          <w:szCs w:val="24"/>
          <w:lang w:val="it-IT"/>
        </w:rPr>
        <w:t>In: OPUS INCERTUM 5. Disegni rinascimentale di architettura, 2008, 86 – 91.</w:t>
      </w:r>
    </w:p>
    <w:p w:rsidR="00003697" w:rsidRPr="0020338F" w:rsidRDefault="00003697" w:rsidP="00E15F3E">
      <w:pPr>
        <w:ind w:left="0"/>
        <w:rPr>
          <w:sz w:val="24"/>
          <w:szCs w:val="24"/>
          <w:lang w:val="it-IT"/>
        </w:rPr>
      </w:pPr>
      <w:r w:rsidRPr="0020338F">
        <w:rPr>
          <w:sz w:val="24"/>
          <w:szCs w:val="24"/>
          <w:lang w:val="it-IT"/>
        </w:rPr>
        <w:t>Josef Ploder/G. Germann (Hg.), HEINRICH VON GEYMÜLLER (1839-1909). Architekturforscher und Architekturzeichner. Katalog Basel/Graz 2009.</w:t>
      </w:r>
    </w:p>
    <w:p w:rsidR="00003697" w:rsidRPr="00E15F3E" w:rsidRDefault="00003697" w:rsidP="00E15F3E">
      <w:pPr>
        <w:ind w:left="0"/>
        <w:rPr>
          <w:sz w:val="24"/>
          <w:szCs w:val="24"/>
        </w:rPr>
      </w:pPr>
      <w:r w:rsidRPr="0020338F">
        <w:rPr>
          <w:sz w:val="24"/>
          <w:szCs w:val="24"/>
          <w:lang w:val="it-IT"/>
        </w:rPr>
        <w:t xml:space="preserve">Josef Ploder, Heinrich von Geymüller. Die ursprünglichen Entwürfe für Sanct Peter in Rom von Bramante, Raphael Santi, Fra Giocondo, den Sangallo’s u. a. m. 2 Bde., Wien/Paris 1875-80. </w:t>
      </w:r>
      <w:r w:rsidRPr="00E15F3E">
        <w:rPr>
          <w:sz w:val="24"/>
          <w:szCs w:val="24"/>
        </w:rPr>
        <w:t xml:space="preserve">In: Paul von Naredi-Rainer (Hg.), Hauptwerke der Kunstgeschichtsschreibung. Stuttgart 2010, 149-151. </w:t>
      </w:r>
    </w:p>
    <w:p w:rsidR="00003697" w:rsidRPr="00E15F3E" w:rsidRDefault="00003697" w:rsidP="00E15F3E">
      <w:pPr>
        <w:ind w:left="0"/>
        <w:rPr>
          <w:sz w:val="24"/>
          <w:szCs w:val="24"/>
        </w:rPr>
      </w:pPr>
      <w:r w:rsidRPr="00E15F3E">
        <w:rPr>
          <w:sz w:val="24"/>
          <w:szCs w:val="24"/>
        </w:rPr>
        <w:t>Karsten Heck, Formen des Stils. Heinrich von Geymüllers grafische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4B5053" w:rsidRDefault="004B5053" w:rsidP="0068331D">
      <w:pPr>
        <w:widowControl w:val="0"/>
        <w:ind w:left="0"/>
        <w:jc w:val="left"/>
        <w:rPr>
          <w:sz w:val="24"/>
          <w:szCs w:val="24"/>
        </w:rPr>
      </w:pPr>
    </w:p>
    <w:p w:rsidR="004B5053" w:rsidRDefault="004B505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4D6285" w:rsidRPr="004D6285" w:rsidRDefault="004D6285" w:rsidP="004D6285">
      <w:pPr>
        <w:widowControl w:val="0"/>
        <w:ind w:left="0"/>
        <w:rPr>
          <w:rFonts w:eastAsia="Times New Roman"/>
          <w:sz w:val="24"/>
        </w:rPr>
      </w:pPr>
      <w:r w:rsidRPr="004D6285">
        <w:rPr>
          <w:rFonts w:eastAsia="Times New Roman"/>
          <w:sz w:val="24"/>
        </w:rPr>
        <w:t xml:space="preserve">Die interdisziplinäre Arbeitsweise des Instituts für Kunstgeschichte wird durch Einbeziehung des Zentrums für Wissenschaftsgeschichte (KFU) und des Instituts für Architektur und Medien (TUG) weiter noch ausgebaut. Die Zusammenarbeit mit dem Institut für Kunst- und Musikwissenschaft (TUD) befördert zudem die weitere Vernetzung im Fachbereich Kunstgeschichte. Im Bereich der Wissenschaftsgeschichte wird der Blick auf die Verortung von Beständen und Aktivitäten im europäischen und internationalen Kontext gelegt sowie parallel dazu die Bedeutung von wissenschaftlichen Initiativen des 19. Jahrhunderts aus Sicht aktueller Datensysteme unter Beweis gestellt. </w:t>
      </w:r>
    </w:p>
    <w:p w:rsidR="004D6285" w:rsidRPr="004D6285" w:rsidRDefault="004D6285" w:rsidP="004D6285">
      <w:pPr>
        <w:widowControl w:val="0"/>
        <w:ind w:left="0"/>
        <w:rPr>
          <w:rFonts w:eastAsia="Times New Roman"/>
        </w:rPr>
      </w:pPr>
      <w:r w:rsidRPr="004D6285">
        <w:rPr>
          <w:rFonts w:eastAsia="Times New Roman"/>
          <w:sz w:val="24"/>
          <w:lang w:val="de-DE"/>
        </w:rPr>
        <w:t>Des Weiteren werden Methoden entwickelt bzw. geprüft, die das vorhandene, reichhaltige architektonische Erbe des Landes nicht nur den Wissenschaftler/innen und Student/innen, sondern der gesamten Bevölkerung zugänglich machen</w:t>
      </w:r>
      <w:r w:rsidR="004A181F">
        <w:rPr>
          <w:rFonts w:eastAsia="Times New Roman"/>
          <w:sz w:val="24"/>
          <w:lang w:val="de-DE"/>
        </w:rPr>
        <w:t xml:space="preserve"> (Repositorium Sterisches Wissenschaftserbe)</w:t>
      </w:r>
      <w:r w:rsidRPr="004D6285">
        <w:rPr>
          <w:rFonts w:eastAsia="Times New Roman"/>
          <w:sz w:val="24"/>
          <w:lang w:val="de-DE"/>
        </w:rPr>
        <w:t>. Die Entwicklung webbasierter Informationssysteme und damit das Sichtbarmachen einer Fülle an historischen Informationen an Gebäuden (bzw. darüber hinaus) ist ein integraler Bestandteil des beantragten Projekts.</w:t>
      </w:r>
    </w:p>
    <w:p w:rsidR="00392EB3" w:rsidRPr="003C55B5" w:rsidRDefault="00392EB3" w:rsidP="0068331D">
      <w:pPr>
        <w:widowControl w:val="0"/>
        <w:ind w:left="0"/>
        <w:jc w:val="left"/>
        <w:rPr>
          <w:sz w:val="24"/>
          <w:szCs w:val="24"/>
          <w:lang w:val="de-DE"/>
        </w:rPr>
      </w:pP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bookmarkStart w:id="1" w:name="_GoBack"/>
      <w:bookmarkEnd w:id="1"/>
      <w:r w:rsidRPr="00392EB3">
        <w:rPr>
          <w:b/>
          <w:sz w:val="24"/>
          <w:szCs w:val="24"/>
          <w:u w:val="single"/>
        </w:rPr>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425"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91C" w:rsidRDefault="004B091C" w:rsidP="00100B67">
      <w:r>
        <w:separator/>
      </w:r>
    </w:p>
  </w:endnote>
  <w:endnote w:type="continuationSeparator" w:id="0">
    <w:p w:rsidR="004B091C" w:rsidRDefault="004B091C" w:rsidP="00100B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2402406"/>
      <w:docPartObj>
        <w:docPartGallery w:val="Page Numbers (Bottom of Page)"/>
        <w:docPartUnique/>
      </w:docPartObj>
    </w:sdtPr>
    <w:sdtContent>
      <w:p w:rsidR="0085277D" w:rsidRDefault="00940EEC">
        <w:pPr>
          <w:pStyle w:val="Fuzeile"/>
          <w:jc w:val="center"/>
        </w:pPr>
        <w:fldSimple w:instr="PAGE   \* MERGEFORMAT">
          <w:r w:rsidR="004A181F" w:rsidRPr="004A181F">
            <w:rPr>
              <w:noProof/>
              <w:lang w:val="de-DE"/>
            </w:rPr>
            <w:t>17</w:t>
          </w:r>
        </w:fldSimple>
      </w:p>
    </w:sdtContent>
  </w:sdt>
  <w:p w:rsidR="0085277D" w:rsidRDefault="0085277D" w:rsidP="00667893">
    <w:pPr>
      <w:pStyle w:val="Fuzeile"/>
      <w:jc w:val="cen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91C" w:rsidRDefault="004B091C" w:rsidP="00100B67">
      <w:r>
        <w:separator/>
      </w:r>
    </w:p>
  </w:footnote>
  <w:footnote w:type="continuationSeparator" w:id="0">
    <w:p w:rsidR="004B091C" w:rsidRDefault="004B091C" w:rsidP="00100B6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77D" w:rsidRDefault="0085277D">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oNotTrackMoves/>
  <w:defaultTabStop w:val="709"/>
  <w:hyphenationZone w:val="425"/>
  <w:characterSpacingControl w:val="doNotCompress"/>
  <w:hdrShapeDefaults>
    <o:shapedefaults v:ext="edit" spidmax="2050"/>
  </w:hdrShapeDefaults>
  <w:footnotePr>
    <w:footnote w:id="-1"/>
    <w:footnote w:id="0"/>
  </w:footnotePr>
  <w:endnotePr>
    <w:endnote w:id="-1"/>
    <w:endnote w:id="0"/>
  </w:endnotePr>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46F"/>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0338F"/>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618D"/>
    <w:rsid w:val="003474F0"/>
    <w:rsid w:val="003648EE"/>
    <w:rsid w:val="00365E9B"/>
    <w:rsid w:val="00367217"/>
    <w:rsid w:val="00376B5B"/>
    <w:rsid w:val="003913E7"/>
    <w:rsid w:val="00392EB3"/>
    <w:rsid w:val="003963AB"/>
    <w:rsid w:val="00397492"/>
    <w:rsid w:val="003A6503"/>
    <w:rsid w:val="003A73C0"/>
    <w:rsid w:val="003B4D78"/>
    <w:rsid w:val="003C438C"/>
    <w:rsid w:val="003C55B5"/>
    <w:rsid w:val="003D566C"/>
    <w:rsid w:val="003E4201"/>
    <w:rsid w:val="003E65A1"/>
    <w:rsid w:val="003F52AF"/>
    <w:rsid w:val="003F5A4F"/>
    <w:rsid w:val="004204EC"/>
    <w:rsid w:val="00433A0E"/>
    <w:rsid w:val="004378B0"/>
    <w:rsid w:val="00437B3E"/>
    <w:rsid w:val="00440A99"/>
    <w:rsid w:val="00453A7D"/>
    <w:rsid w:val="00467F82"/>
    <w:rsid w:val="004900B1"/>
    <w:rsid w:val="004901AC"/>
    <w:rsid w:val="00493314"/>
    <w:rsid w:val="004A00FC"/>
    <w:rsid w:val="004A181F"/>
    <w:rsid w:val="004A7F1B"/>
    <w:rsid w:val="004B091C"/>
    <w:rsid w:val="004B5053"/>
    <w:rsid w:val="004B64FB"/>
    <w:rsid w:val="004C24FE"/>
    <w:rsid w:val="004C3309"/>
    <w:rsid w:val="004D0951"/>
    <w:rsid w:val="004D2720"/>
    <w:rsid w:val="004D6285"/>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06DAB"/>
    <w:rsid w:val="00710997"/>
    <w:rsid w:val="00711D83"/>
    <w:rsid w:val="00712503"/>
    <w:rsid w:val="00726033"/>
    <w:rsid w:val="00726B9C"/>
    <w:rsid w:val="007516F2"/>
    <w:rsid w:val="00754548"/>
    <w:rsid w:val="00755C40"/>
    <w:rsid w:val="00763880"/>
    <w:rsid w:val="0076642F"/>
    <w:rsid w:val="00772EE1"/>
    <w:rsid w:val="0078425B"/>
    <w:rsid w:val="007A5F63"/>
    <w:rsid w:val="007A612D"/>
    <w:rsid w:val="007D1E52"/>
    <w:rsid w:val="007D22CC"/>
    <w:rsid w:val="007D3FE6"/>
    <w:rsid w:val="007E538F"/>
    <w:rsid w:val="007E7876"/>
    <w:rsid w:val="008073E8"/>
    <w:rsid w:val="00821629"/>
    <w:rsid w:val="00826711"/>
    <w:rsid w:val="00834837"/>
    <w:rsid w:val="0085277D"/>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0EEC"/>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27F3"/>
    <w:rsid w:val="00BC5CD3"/>
    <w:rsid w:val="00BD2C54"/>
    <w:rsid w:val="00BD681B"/>
    <w:rsid w:val="00BD766C"/>
    <w:rsid w:val="00BE026B"/>
    <w:rsid w:val="00BF1A40"/>
    <w:rsid w:val="00BF3858"/>
    <w:rsid w:val="00BF457B"/>
    <w:rsid w:val="00BF5CB2"/>
    <w:rsid w:val="00BF6F63"/>
    <w:rsid w:val="00C069A6"/>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E0D05"/>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97A8B"/>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4942"/>
    <w:rsid w:val="00F56A89"/>
    <w:rsid w:val="00F56CB1"/>
    <w:rsid w:val="00F631AA"/>
    <w:rsid w:val="00F64832"/>
    <w:rsid w:val="00F64AC7"/>
    <w:rsid w:val="00F67B34"/>
    <w:rsid w:val="00F716CE"/>
    <w:rsid w:val="00F71A31"/>
    <w:rsid w:val="00F8016B"/>
    <w:rsid w:val="00F821C7"/>
    <w:rsid w:val="00F84AE4"/>
    <w:rsid w:val="00F922C2"/>
    <w:rsid w:val="00FA225E"/>
    <w:rsid w:val="00FB1C41"/>
    <w:rsid w:val="00FC604D"/>
    <w:rsid w:val="00FD0E62"/>
    <w:rsid w:val="00FD1571"/>
    <w:rsid w:val="00FF03BC"/>
    <w:rsid w:val="00FF0BB5"/>
    <w:rsid w:val="00FF17DE"/>
    <w:rsid w:val="00FF651E"/>
    <w:rsid w:val="00FF7A26"/>
  </w:rsids>
  <m:mathPr>
    <m:mathFont m:val="Century Schoolbook"/>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1C57C1"/>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C57C1"/>
    <w:rPr>
      <w:rFonts w:ascii="Tahoma" w:hAnsi="Tahoma" w:cs="Tahoma"/>
      <w:sz w:val="16"/>
      <w:szCs w:val="16"/>
    </w:rPr>
  </w:style>
  <w:style w:type="character" w:styleId="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eichen"/>
    <w:uiPriority w:val="99"/>
    <w:unhideWhenUsed/>
    <w:rsid w:val="0071099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10997"/>
  </w:style>
  <w:style w:type="paragraph" w:styleId="Fuzeile">
    <w:name w:val="footer"/>
    <w:basedOn w:val="Standard"/>
    <w:link w:val="FuzeileZeichen"/>
    <w:uiPriority w:val="99"/>
    <w:unhideWhenUsed/>
    <w:rsid w:val="0071099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10997"/>
  </w:style>
  <w:style w:type="character" w:styleId="Herausstellen">
    <w:name w:val="Emphasis"/>
    <w:basedOn w:val="Absatzstandardschriftart"/>
    <w:uiPriority w:val="20"/>
    <w:qFormat/>
    <w:rsid w:val="00CA3A81"/>
    <w:rPr>
      <w:i/>
      <w:iCs/>
    </w:rPr>
  </w:style>
  <w:style w:type="character" w:styleId="Beton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eichen"/>
    <w:uiPriority w:val="99"/>
    <w:semiHidden/>
    <w:unhideWhenUsed/>
    <w:rsid w:val="00F44181"/>
    <w:pPr>
      <w:spacing w:before="0" w:after="0" w:line="240" w:lineRule="auto"/>
    </w:pPr>
    <w:rPr>
      <w:sz w:val="20"/>
      <w:szCs w:val="20"/>
    </w:rPr>
  </w:style>
  <w:style w:type="character" w:customStyle="1" w:styleId="FunotentextZeichen">
    <w:name w:val="Fußnotentext Zeiche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r="http://schemas.openxmlformats.org/officeDocument/2006/relationships" xmlns:w="http://schemas.openxmlformats.org/wordprocessingml/2006/main">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152B4-607A-604C-B201-256C83D5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4662</Words>
  <Characters>26576</Characters>
  <Application>Microsoft Macintosh Word</Application>
  <DocSecurity>0</DocSecurity>
  <Lines>221</Lines>
  <Paragraphs>53</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32637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Christoph Breser</cp:lastModifiedBy>
  <cp:revision>17</cp:revision>
  <cp:lastPrinted>2016-04-20T04:46:00Z</cp:lastPrinted>
  <dcterms:created xsi:type="dcterms:W3CDTF">2016-06-21T16:10:00Z</dcterms:created>
  <dcterms:modified xsi:type="dcterms:W3CDTF">2016-06-23T08:33:00Z</dcterms:modified>
</cp:coreProperties>
</file>