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>COMPITO 1</w:t>
      </w:r>
      <w:r>
        <w:rPr>
          <w:rFonts w:ascii="Arial" w:hAnsi="Arial" w:cs="Arial"/>
          <w:b/>
          <w:bCs/>
          <w:sz w:val="36"/>
          <w:szCs w:val="36"/>
        </w:rPr>
        <w:t xml:space="preserve"> E 2</w:t>
      </w:r>
    </w:p>
    <w:p w:rsidR="003E1712" w:rsidRDefault="003E1712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130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</w:t>
            </w:r>
            <w:r w:rsidRPr="003E1712">
              <w:rPr>
                <w:rFonts w:ascii="Arial" w:eastAsia="Arial" w:hAnsi="Arial" w:cs="Arial"/>
              </w:rPr>
              <w:t>, definita come la percentuale dei quadrati target verdi (D4) toccati nel tempo concesso (Treact),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AccDay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la percentuale di quadrati target verdi (D4) toccati nel tempo concesso Treact (AccTrial).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dell’AccTrial per tutte le prove previste dalla sessione (AccSession).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dell’AccSession per tutte le sessioni svolte (AccDay).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>, definito come il tempo di reazione per toccare i quadrati target verdi (D4) nel tempo concesso (Treact),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ReactTimeDay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il tempo di reazione per toccare i quadrati target verdi (D4) nel tempo concesso Treact (ReactTimeTrial).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 ReactTimeTrial per tutte le prove previste dalla sessione (ReactTimeSession).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>3) Per ogni giornata, si calcola la media del ReactTimeSession per tutte le sessioni svolte (ReactTimeDay).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Indica l'andamento medio del valore rispetto alle 30 giornate di lavoro precedenti </w:t>
            </w:r>
          </w:p>
        </w:tc>
      </w:tr>
    </w:tbl>
    <w:p w:rsidR="003E1712" w:rsidRPr="00797404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0436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AccNoAlertDay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non preceduti da segnale di allerta</w:t>
            </w:r>
            <w:r w:rsidRPr="003E1712">
              <w:rPr>
                <w:rFonts w:ascii="Arial" w:eastAsia="Arial" w:hAnsi="Arial" w:cs="Arial"/>
              </w:rPr>
              <w:t xml:space="preserve"> (AccDay), definita come la percentuale dei quadrati target verdi D4 toccati nel tempo concesso (Treact) </w:t>
            </w:r>
            <w:r w:rsidRPr="003E1712">
              <w:rPr>
                <w:rFonts w:ascii="Arial" w:eastAsia="Arial" w:hAnsi="Arial" w:cs="Arial"/>
                <w:b/>
                <w:bCs/>
              </w:rPr>
              <w:t>non 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AccDay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la percentuale di quadrati target verdi D4 toccati nel tempo concesso Treact (AccTrial).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dell’AccTrial per tutte le prove previste dalla sessione (AccSession).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dell’AccSession per tutte le sessioni svolte (AccDay).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preceduti da segnale di allerta</w:t>
            </w:r>
            <w:r w:rsidRPr="003E1712">
              <w:rPr>
                <w:rFonts w:ascii="Arial" w:eastAsia="Arial" w:hAnsi="Arial" w:cs="Arial"/>
              </w:rPr>
              <w:t xml:space="preserve">, definita come la percentuale dei quadrati target verdi D4 toccati nel tempo concesso (Treact)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 Procedura come sopra per i quadrati target preceduti da segnale di allerta.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ReactTimeNoAlertDay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non preceduti da segnale di allerta</w:t>
            </w:r>
            <w:r w:rsidRPr="003E1712">
              <w:rPr>
                <w:rFonts w:ascii="Arial" w:eastAsia="Arial" w:hAnsi="Arial" w:cs="Arial"/>
              </w:rPr>
              <w:t xml:space="preserve"> (ReactTimeDay), definito come il tempo di reazione per toccare i quadrati target verdi D4 nel tempo concesso (Treact) </w:t>
            </w:r>
            <w:r w:rsidRPr="003E1712">
              <w:rPr>
                <w:rFonts w:ascii="Arial" w:eastAsia="Arial" w:hAnsi="Arial" w:cs="Arial"/>
                <w:b/>
                <w:bCs/>
              </w:rPr>
              <w:t>non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ReactTimeDay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il tempo di reazione per toccare i quadrati target verdi D4 nel tempo concesso Treact (ReactTimeTrial).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dell’ReactTimeTrial per tutte le prove previste dalla sessione (ReactTimeSession).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dell’ReactTimeSession per tutte le sessioni svolte (ReactTimeDay).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preceduti da segnale di allerta</w:t>
            </w:r>
            <w:r w:rsidRPr="003E1712">
              <w:rPr>
                <w:rFonts w:ascii="Arial" w:eastAsia="Arial" w:hAnsi="Arial" w:cs="Arial"/>
              </w:rPr>
              <w:t xml:space="preserve">, definito come il tempo di reazione per toccare i quadrati target verdi D4 nel tempo concesso (Treact) </w:t>
            </w:r>
            <w:r w:rsidRPr="003E1712">
              <w:rPr>
                <w:rFonts w:ascii="Arial" w:eastAsia="Arial" w:hAnsi="Arial" w:cs="Arial"/>
                <w:b/>
                <w:bCs/>
              </w:rPr>
              <w:t>preceduti da segnale di allerta</w:t>
            </w:r>
            <w:r w:rsidRPr="003E1712">
              <w:rPr>
                <w:rFonts w:ascii="Arial" w:eastAsia="Arial" w:hAnsi="Arial" w:cs="Arial"/>
              </w:rPr>
              <w:t>, in una giornata di lavoro. Procedura come sopra per i quadrati target preceduti da segnale di allerta.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30 giornate di lavoro precedenti</w:t>
            </w:r>
          </w:p>
        </w:tc>
      </w:tr>
    </w:tbl>
    <w:p w:rsidR="003E1712" w:rsidRPr="00797404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3E1712" w:rsidRPr="003E1712" w:rsidRDefault="003E1712" w:rsidP="003E1712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0422"/>
      </w:tblGrid>
      <w:tr w:rsidR="007D272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DEFINIZIONE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non preceduti dai quadrati cue</w:t>
            </w:r>
            <w:r w:rsidRPr="003E1712">
              <w:rPr>
                <w:rFonts w:ascii="Arial" w:eastAsia="Arial" w:hAnsi="Arial" w:cs="Arial"/>
              </w:rPr>
              <w:t xml:space="preserve"> (AccDay), definita come la percentuale dei quadrati target verdi (D2 o D6, complessivamente considerati) toccati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non preceduti dai quadrati cue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AccDay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la percentuale di quadrati target (D2 o D6, complessivamente considerati) toccati nel tempo concesso Treact non preceduti dai quadrati cue (AccTrial).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dell’AccTrial per tutte le prove previste dalla sessione (AccSession).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dell’AccSession per tutte le sessioni svolte (AccDay).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AccCueDay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target preceduti dai quadrati cue</w:t>
            </w:r>
            <w:r w:rsidRPr="003E1712">
              <w:rPr>
                <w:rFonts w:ascii="Arial" w:eastAsia="Arial" w:hAnsi="Arial" w:cs="Arial"/>
              </w:rPr>
              <w:t xml:space="preserve"> (AccCueDay), definita come la percentuale dei quadrati target verdi (D2 o D6, complessivamente considerati) toccati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preceduti dai quadrati cue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>AccCueDay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la percentuale di quadrati target (D2 o D6, complessivamente considerati) toccati nel tempo concesso Treact preceduti dai quadrati cue (AccCueTrial).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dell’AccTrial per tutte le prove previste dalla sessione (AccCueSession).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dell’AccSession per tutte le sessioni svolte (AccCueDay)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AccStayDay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Accuratezza media di giornata per i quadrati stay target</w:t>
            </w:r>
            <w:r w:rsidRPr="003E1712">
              <w:rPr>
                <w:rFonts w:ascii="Arial" w:eastAsia="Arial" w:hAnsi="Arial" w:cs="Arial"/>
              </w:rPr>
              <w:t xml:space="preserve"> (AccStayDay), definita come la percentuale dei quadrati stay target verdi (D2 o D6, complessivamente considerati) toccati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cue</w:t>
            </w:r>
            <w:r w:rsidRPr="003E1712">
              <w:rPr>
                <w:rFonts w:ascii="Arial" w:eastAsia="Arial" w:hAnsi="Arial" w:cs="Arial"/>
              </w:rPr>
              <w:t xml:space="preserve">, 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quadrati stay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 nella sequenza precedente: e.g.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AccStayDay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la percentuale di quadrati stay target (D2 o D6) toccati nel tempo concesso Treact (AccStayTrial).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dell’AccStayTrial per tutte le prove previste dalla sessione (AccStaySession).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dell’AccStaySession per tutte le sessioni svolte (AccStayDay).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AccChangeDay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 xml:space="preserve">Accuratezza media di giornata per i quadrati change target </w:t>
            </w:r>
            <w:r w:rsidRPr="003E1712">
              <w:rPr>
                <w:rFonts w:ascii="Arial" w:eastAsia="Arial" w:hAnsi="Arial" w:cs="Arial"/>
              </w:rPr>
              <w:t>(AccChangeDay), definita come la percentuale dei quadrati change target (D2 o D6, complessivamente considerati) toccati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cue</w:t>
            </w:r>
            <w:r w:rsidRPr="003E1712">
              <w:rPr>
                <w:rFonts w:ascii="Arial" w:eastAsia="Arial" w:hAnsi="Arial" w:cs="Arial"/>
              </w:rPr>
              <w:t xml:space="preserve">, </w:t>
            </w:r>
            <w:r w:rsidRPr="003E1712">
              <w:rPr>
                <w:rFonts w:ascii="Arial" w:eastAsia="Arial" w:hAnsi="Arial" w:cs="Arial"/>
              </w:rPr>
              <w:lastRenderedPageBreak/>
              <w:t xml:space="preserve">in una giornata di lavoro.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quadrati change 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 lato opposto dello schermo: quadrato target D2 preceduto da un quadrato target D6 oppure quadrato target D6 preceduto da un quadrato target D2.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AccChangeDay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la percentuale di quadrati change target (D2 o D6) toccati nel tempo concesso Treact (AccChangeTrial).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dell’AccChangeTrial per tutte le prove previste dalla sessione (AccChangeSession).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dell’AccChangeSession per tutte le sessioni svolte (AccChangeDay).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ReactTimeDay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non preceduti dai quadrati cue</w:t>
            </w:r>
            <w:r w:rsidRPr="003E1712">
              <w:rPr>
                <w:rFonts w:ascii="Arial" w:eastAsia="Arial" w:hAnsi="Arial" w:cs="Arial"/>
              </w:rPr>
              <w:t xml:space="preserve"> (ReactTimeDay), definito come il tempo di reazione per toccare i quadrati target verdi (D2 o D6, complessivamente considerati)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non preceduti dai quadrati cue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ReactTimeDay si ottiene con la seguente procedura.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il tempo di reazione per toccare i quadrati target verdi (D2 o D6) nel tempo concesso Treact (ReactTimeTrial) non preceduti dai quadrati cue.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dell’ReactTimeTrial per tutte le prove previste dalla sessione (ReactTimeSession).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dell’ReactTimeSession per tutte le sessioni svolte (ReactTimeDay).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target preceduti dai quadrati cue</w:t>
            </w:r>
            <w:r w:rsidRPr="003E1712">
              <w:rPr>
                <w:rFonts w:ascii="Arial" w:eastAsia="Arial" w:hAnsi="Arial" w:cs="Arial"/>
              </w:rPr>
              <w:t xml:space="preserve"> (ReactTimeCueDay), definito come il tempo di reazione per toccare i quadrati target verdi (D2 o D6, complessivamente considerati)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preceduti dai quadrati cue</w:t>
            </w:r>
            <w:r w:rsidRPr="003E1712">
              <w:rPr>
                <w:rFonts w:ascii="Arial" w:eastAsia="Arial" w:hAnsi="Arial" w:cs="Arial"/>
              </w:rPr>
              <w:t>, in una giornata di lavoro.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ReactTimeDay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il tempo di reazione per toccare i quadrati target verdi (D2 o D6) nel tempo concesso Treact (ReactTimeCueTrial) preceduti dai quadrati cue.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dell’ReactTimeTrial per tutte le prove previste dalla sessione (ReactTimeCueSession).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dell’ReactTimeSession per tutte le sessioni svolte (ReactTimeCueDay).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ReactTimeStayDay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per i quadrati stay target </w:t>
            </w:r>
            <w:r w:rsidRPr="003E1712">
              <w:rPr>
                <w:rFonts w:ascii="Arial" w:eastAsia="Arial" w:hAnsi="Arial" w:cs="Arial"/>
              </w:rPr>
              <w:t>(ReactTimeStayDay), definito come il tempo di reazione per toccare i quadrati stay target verdi (D2 o D6, complessivamente considerati)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cue</w:t>
            </w:r>
            <w:r w:rsidRPr="003E1712">
              <w:rPr>
                <w:rFonts w:ascii="Arial" w:eastAsia="Arial" w:hAnsi="Arial" w:cs="Arial"/>
              </w:rPr>
              <w:t xml:space="preserve">, in una giornata di lavoro. Come definito in un 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quadrati stay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schermo: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ReactTimeStayDay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il tempo di reazione per toccare i quadrati stay target verdi (D2 o D6) nel tempo concesso Treact (ReactTimeStayTrial).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dell’ReactTimeStayTrial per tutte le prove previste dalla sessione (ReactTimeStaySession).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>3) Per ogni giornata, si calcola la media dell’ReactTimeStaySession per tutte le sessioni svolte (ReactTimeStayDay).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  <w:b/>
                <w:bCs/>
              </w:rPr>
              <w:t>Tempo di reazione medio di giornata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</w:rPr>
              <w:t>per i quadrati change target</w:t>
            </w:r>
            <w:r w:rsidRPr="003E1712">
              <w:rPr>
                <w:rFonts w:ascii="Arial" w:eastAsia="Arial" w:hAnsi="Arial" w:cs="Arial"/>
              </w:rPr>
              <w:t xml:space="preserve"> (ReactTimeChangeDay), definito come il tempo di reazione per toccare i quadrati change target verdi (D2 o D6, complessivamente considerati) nel tempo concesso (Treact)</w:t>
            </w:r>
            <w:r w:rsidRPr="003E1712">
              <w:rPr>
                <w:rFonts w:ascii="Arial" w:eastAsia="Arial" w:hAnsi="Arial" w:cs="Arial"/>
                <w:b/>
                <w:bCs/>
              </w:rPr>
              <w:t xml:space="preserve"> indipendentemente se seguiti o meno da quadrati cue</w:t>
            </w:r>
            <w:r w:rsidRPr="003E1712">
              <w:rPr>
                <w:rFonts w:ascii="Arial" w:eastAsia="Arial" w:hAnsi="Arial" w:cs="Arial"/>
              </w:rPr>
              <w:t xml:space="preserve">, in una giornata di lavoro. Come definito in un paragrafo precedente, i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>quadrati change</w:t>
            </w:r>
            <w:r w:rsidRPr="003E1712">
              <w:rPr>
                <w:rFonts w:ascii="Arial" w:eastAsia="Arial" w:hAnsi="Arial" w:cs="Arial"/>
              </w:rPr>
              <w:t xml:space="preserve"> </w:t>
            </w:r>
            <w:r w:rsidRPr="003E1712">
              <w:rPr>
                <w:rFonts w:ascii="Arial" w:eastAsia="Arial" w:hAnsi="Arial" w:cs="Arial"/>
                <w:b/>
                <w:bCs/>
                <w:i/>
                <w:iCs/>
              </w:rPr>
              <w:t xml:space="preserve">target </w:t>
            </w:r>
            <w:r w:rsidRPr="003E1712">
              <w:rPr>
                <w:rFonts w:ascii="Arial" w:eastAsia="Arial" w:hAnsi="Arial" w:cs="Arial"/>
              </w:rPr>
              <w:t>sono quelli preceduti da un quadrato target posto nello stesso lato dello schermo: quadrato target D2 preceduto da un quadrato target D2 oppure quadrato target D6 preceduto da un quadrato target D6.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ReactTimeChangeDay si ottiene con la seguente procedura.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Per ogni prova, si calcola il tempo di reazione per toccare i quadrati change target verdi (D2 o D6) nel tempo concesso Treact (ReactTimeChangeTrial).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Per ogni sessione, si calcola la media dell’ReactTimeChangeTrial per tutte le prove previste dalla sessione (ReactTimeChangeSession). </w:t>
            </w:r>
          </w:p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Per ogni giornata, si calcola la media dell’ReactTimeChangeSession per tutte le sessioni svolte (ReactTimeChangeDay).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7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7 giornate di lavoro precedenti</w:t>
            </w:r>
          </w:p>
        </w:tc>
      </w:tr>
      <w:tr w:rsidR="007D272A" w:rsidRPr="0079740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Default="00F76F79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7D272A" w:rsidRPr="003E1712" w:rsidRDefault="00F76F79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Indica l'andamento medio del valore rispetto alle 30 giornate di lavoro precedenti</w:t>
            </w:r>
          </w:p>
        </w:tc>
      </w:tr>
    </w:tbl>
    <w:p w:rsidR="007D272A" w:rsidRPr="00797404" w:rsidRDefault="007D272A" w:rsidP="00B76D48"/>
    <w:p w:rsidR="00797404" w:rsidRPr="00797404" w:rsidRDefault="00797404" w:rsidP="00B76D48"/>
    <w:p w:rsidR="00797404" w:rsidRP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1712">
        <w:rPr>
          <w:rFonts w:ascii="Arial" w:hAnsi="Arial" w:cs="Arial"/>
          <w:b/>
          <w:bCs/>
          <w:sz w:val="36"/>
          <w:szCs w:val="36"/>
        </w:rPr>
        <w:lastRenderedPageBreak/>
        <w:t xml:space="preserve">COMPITO 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:rsidR="00797404" w:rsidRDefault="00797404" w:rsidP="00797404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815"/>
        <w:gridCol w:w="10458"/>
      </w:tblGrid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AccValidDay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“valid” preceduti dai quadrati cue dello stesso lato</w:t>
            </w:r>
            <w:r>
              <w:rPr>
                <w:rFonts w:ascii="Arial" w:hAnsi="Arial" w:cs="Arial"/>
              </w:rPr>
              <w:t xml:space="preserve"> (AccValidDay), definita come la percentuale dei quadrati target verdi (D2 o D6, complessivamente considerati) toccati nel tempo concesso (Treact)</w:t>
            </w:r>
            <w:r>
              <w:rPr>
                <w:rStyle w:val="Enfasigrassetto"/>
                <w:rFonts w:ascii="Arial" w:hAnsi="Arial" w:cs="Arial"/>
              </w:rPr>
              <w:t xml:space="preserve"> preceduti dai quadrati cue dello stesso lato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AccValidDay si ottiene con la seguente procedura.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Per ogni prova, si calcola la percentuale di quadrati target (D2 o D6, complessivamente considerati) toccati nel tempo concesso Treact preceduti dai quadrati cue dello stesso lato (AccValidTrial).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dell’AccValidTrial per tutte le prove previste dalla sessione (AccValidSession).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dell’AccSession per tutte le sessioni svolte (AccValidDay).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AccInvalidDay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 media di giornata per i quadrati target “invalid” preceduti dai quadrati cue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del lato opposto</w:t>
            </w:r>
            <w:r>
              <w:rPr>
                <w:rFonts w:ascii="Arial" w:hAnsi="Arial" w:cs="Arial"/>
              </w:rPr>
              <w:t xml:space="preserve"> (AccInvalidDay), definita come la percentuale dei quadrati target verdi (D2 o D6, complessivamente considerati) toccati nel tempo concesso (Treact)</w:t>
            </w:r>
            <w:r>
              <w:rPr>
                <w:rStyle w:val="Enfasigrassetto"/>
                <w:rFonts w:ascii="Arial" w:hAnsi="Arial" w:cs="Arial"/>
              </w:rPr>
              <w:t xml:space="preserve"> preceduti dai quadrati cue del lato opposto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AccInvalidDay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1) Per ogni prova, si calcola la percentuale di quadrati target (D2 o D6, complessivamente considerati) toccati nel tempo concesso Treact preceduti dai quadrati cue del lato opposto (AccInvalidTrial).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dell’AccTrial per tutte le prove previste dalla sessione (AccInvalidSession).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dell’AccSession per tutte le sessioni svolte (AccInvalidDay).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lastRenderedPageBreak/>
              <w:t>ReactTimeValidDay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target “valid” preceduti dai quadrati cue dello stesso lato</w:t>
            </w:r>
            <w:r>
              <w:rPr>
                <w:rFonts w:ascii="Arial" w:hAnsi="Arial" w:cs="Arial"/>
              </w:rPr>
              <w:t xml:space="preserve"> (ReactTimeValidDay), definito come il tempo di reazione per toccare i quadrati target verdi (D2 o D6, complessivamente considerati) nel tempo concesso (Treact)</w:t>
            </w:r>
            <w:r>
              <w:rPr>
                <w:rStyle w:val="Enfasigrassetto"/>
                <w:rFonts w:ascii="Arial" w:hAnsi="Arial" w:cs="Arial"/>
              </w:rPr>
              <w:t xml:space="preserve"> preceduti dai quadrati cue dello stesso lato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ReactTimeValidDay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Per ogni prova, si calcola il tempo di reazione per toccare i quadrati target verdi (D2 o D6) nel tempo concesso Treact (ReactTimeValidTrial) preceduti dai quadrati cue dello stesso lato.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dell’ReactTimeInvalidTrial per tutte le prove previste dalla sessione (ReactTimeValidSession).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dell’ReactTimeInvalidSession per tutte le sessioni svolte (ReactTimeValidDay).</w:t>
            </w:r>
          </w:p>
        </w:tc>
        <w:bookmarkStart w:id="0" w:name="_GoBack"/>
        <w:bookmarkEnd w:id="0"/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ReactTimeInvalidDay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 medio di giornata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per i quadrati target “invalid” preceduti dai quadrati cue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Enfasigrassetto"/>
                <w:rFonts w:ascii="Arial" w:hAnsi="Arial" w:cs="Arial"/>
              </w:rPr>
              <w:t>del lato opposto</w:t>
            </w:r>
            <w:r>
              <w:rPr>
                <w:rFonts w:ascii="Arial" w:hAnsi="Arial" w:cs="Arial"/>
              </w:rPr>
              <w:t xml:space="preserve"> (ReactTimeInvalidDay), definito come il tempo di reazione per toccare i quadrati target verdi (D2 o D6, complessivamente considerati) nel tempo concesso (Treact)</w:t>
            </w:r>
            <w:r>
              <w:rPr>
                <w:rStyle w:val="Enfasigrassetto"/>
                <w:rFonts w:ascii="Arial" w:hAnsi="Arial" w:cs="Arial"/>
              </w:rPr>
              <w:t xml:space="preserve"> preceduti dai quadrati cue del lato opposto</w:t>
            </w:r>
            <w:r>
              <w:rPr>
                <w:rFonts w:ascii="Arial" w:hAnsi="Arial" w:cs="Arial"/>
              </w:rPr>
              <w:t>, in una giornata di lavoro.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ReactTimeInvalidDay si ottiene con la seguente procedura.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1) Per ogni prova, si calcola il tempo di reazione per toccare i quadrati target verdi (D2 o D6) nel tempo concesso Treact (ReactTimeInvalidTrial) preceduti dai quadrati cue del lato opposto.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Per ogni sessione, si calcola la media dell’ReactTimeInvalidTrial per tutte le prove previste dalla sessione (ReactTimeInvalidSession). </w:t>
            </w:r>
          </w:p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Per ogni giornata, si calcola la media dell’ReactTimeInvalidSession per tutte le sessioni svolte (ReactTimeInvalidDay).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lastRenderedPageBreak/>
              <w:t>Avg 7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797404" w:rsidTr="007974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7404" w:rsidRDefault="0079740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797404" w:rsidRDefault="00797404" w:rsidP="0079740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97404" w:rsidRDefault="00797404" w:rsidP="00B76D48"/>
    <w:sectPr w:rsidR="00797404" w:rsidSect="00B76D48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2A"/>
    <w:rsid w:val="003E1712"/>
    <w:rsid w:val="00797404"/>
    <w:rsid w:val="007D272A"/>
    <w:rsid w:val="00AF3CD4"/>
    <w:rsid w:val="00B76D48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6F3C8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7404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lang w:val="en-US" w:eastAsia="en-US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  <w:lang w:val="en-US" w:eastAsia="en-US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797404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7974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2023-12-05T17:17:00Z</dcterms:created>
  <dcterms:modified xsi:type="dcterms:W3CDTF">2023-12-14T14:37:00Z</dcterms:modified>
</cp:coreProperties>
</file>