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5046" w:rsidRPr="00A8311F" w:rsidRDefault="003F5046" w:rsidP="003F5046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A8311F">
        <w:rPr>
          <w:rFonts w:ascii="Arial" w:hAnsi="Arial" w:cs="Arial"/>
          <w:b/>
          <w:bCs/>
          <w:sz w:val="30"/>
          <w:szCs w:val="30"/>
        </w:rPr>
        <w:t>COMPITO 1 E 2</w:t>
      </w:r>
    </w:p>
    <w:p w:rsidR="003F5046" w:rsidRPr="00A8311F" w:rsidRDefault="003F5046">
      <w:pPr>
        <w:rPr>
          <w:b/>
          <w:bCs/>
          <w:sz w:val="30"/>
          <w:szCs w:val="30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39"/>
        <w:gridCol w:w="10834"/>
      </w:tblGrid>
      <w:tr w:rsidR="00E67D28" w:rsidRPr="00A8311F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VALORE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DEFINIZIONE</w:t>
            </w:r>
          </w:p>
        </w:tc>
      </w:tr>
      <w:tr w:rsidR="00E67D28" w:rsidRPr="004238AA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Accuratezza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Accuratezza media di giornata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, definita come la percentuale dei quadrati target verdi (D4) toccati nel tempo concesso (Treact), in una giornata di lavoro.</w:t>
            </w:r>
          </w:p>
        </w:tc>
      </w:tr>
      <w:tr w:rsidR="00E67D28" w:rsidRPr="004238AA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Tempo di reazione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Tempo di reazione medio di giornata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, definito come il tempo di reazione per toccare i quadrati target verdi (D4) nel tempo concesso (Treact), in una giornata di lavoro.</w:t>
            </w:r>
          </w:p>
        </w:tc>
      </w:tr>
    </w:tbl>
    <w:p w:rsidR="00A8311F" w:rsidRPr="00A8311F" w:rsidRDefault="00A8311F" w:rsidP="00A8311F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:rsidR="00A8311F" w:rsidRPr="004238AA" w:rsidRDefault="00A8311F" w:rsidP="00A8311F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:rsidR="00A8311F" w:rsidRPr="00A8311F" w:rsidRDefault="00A8311F" w:rsidP="00A8311F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A8311F">
        <w:rPr>
          <w:rFonts w:ascii="Arial" w:hAnsi="Arial" w:cs="Arial"/>
          <w:b/>
          <w:bCs/>
          <w:sz w:val="30"/>
          <w:szCs w:val="30"/>
        </w:rPr>
        <w:t>COMPITO 3</w:t>
      </w:r>
    </w:p>
    <w:p w:rsidR="00A8311F" w:rsidRPr="00A8311F" w:rsidRDefault="00A8311F" w:rsidP="00A8311F">
      <w:pPr>
        <w:jc w:val="center"/>
        <w:rPr>
          <w:rFonts w:ascii="Arial" w:hAnsi="Arial" w:cs="Arial"/>
          <w:b/>
          <w:bCs/>
          <w:sz w:val="30"/>
          <w:szCs w:val="30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321"/>
        <w:gridCol w:w="10952"/>
      </w:tblGrid>
      <w:tr w:rsidR="00E67D28" w:rsidRPr="00A8311F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VALORE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DEFINIZIONE</w:t>
            </w:r>
          </w:p>
        </w:tc>
      </w:tr>
      <w:tr w:rsidR="00E67D28" w:rsidRPr="004238AA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Accuratezza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Accuratezza media di giornata per i quadrati target non preceduti e preceduti da segnale di allerta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 xml:space="preserve"> (AccDay), definita come la percentuale dei 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lastRenderedPageBreak/>
              <w:t xml:space="preserve">quadrati target verdi D4 toccati nel tempo concesso (Treact) 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non preceduti e preceduti da segnale di allerta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, in una giornata di lavoro.</w:t>
            </w:r>
          </w:p>
        </w:tc>
      </w:tr>
      <w:tr w:rsidR="00E67D28" w:rsidRPr="004238AA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lastRenderedPageBreak/>
              <w:t>Tempo di reazione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Tempo di reazione medio di giornata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per i quadrati target non preceduti e preceduti da segnale di allerta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 xml:space="preserve"> (ReactTimeDay), definito come il tempo di reazione per toccare i quadrati target verdi D4 nel tempo concesso (Treact) 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non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preceduti e preceduti da segnale di allerta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, in una giornata di lavoro.</w:t>
            </w:r>
          </w:p>
        </w:tc>
      </w:tr>
    </w:tbl>
    <w:p w:rsidR="00A8311F" w:rsidRPr="004238AA" w:rsidRDefault="00A8311F" w:rsidP="00A8311F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:rsidR="00A8311F" w:rsidRDefault="00A8311F" w:rsidP="00A8311F">
      <w:pPr>
        <w:spacing w:before="375" w:after="375"/>
        <w:jc w:val="center"/>
        <w:rPr>
          <w:rFonts w:ascii="Arial" w:hAnsi="Arial" w:cs="Arial"/>
          <w:b/>
          <w:bCs/>
          <w:sz w:val="30"/>
          <w:szCs w:val="30"/>
        </w:rPr>
      </w:pPr>
      <w:r w:rsidRPr="00A8311F">
        <w:rPr>
          <w:rFonts w:ascii="Arial" w:hAnsi="Arial" w:cs="Arial"/>
          <w:b/>
          <w:bCs/>
          <w:sz w:val="30"/>
          <w:szCs w:val="30"/>
        </w:rPr>
        <w:t>COMPITO 4</w:t>
      </w:r>
    </w:p>
    <w:p w:rsidR="00A8311F" w:rsidRPr="00A8311F" w:rsidRDefault="00A8311F" w:rsidP="00A8311F">
      <w:pPr>
        <w:jc w:val="center"/>
        <w:rPr>
          <w:rFonts w:ascii="Arial" w:hAnsi="Arial" w:cs="Arial"/>
          <w:b/>
          <w:bCs/>
          <w:sz w:val="30"/>
          <w:szCs w:val="30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259"/>
        <w:gridCol w:w="11014"/>
      </w:tblGrid>
      <w:tr w:rsidR="00E67D28" w:rsidRPr="00A8311F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VALORE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DEFINIZIONE</w:t>
            </w:r>
          </w:p>
        </w:tc>
      </w:tr>
      <w:tr w:rsidR="00E67D28" w:rsidRPr="004238AA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Accuratezza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Accuratezza media di giornata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 ottenuta dalla media dei seguenti valori:</w:t>
            </w:r>
          </w:p>
          <w:p w:rsidR="00E67D28" w:rsidRPr="00A8311F" w:rsidRDefault="003F5046">
            <w:pPr>
              <w:numPr>
                <w:ilvl w:val="0"/>
                <w:numId w:val="1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Accuratezza media di giornata per i quadrati target non preceduti e preceduti dai quadrati cue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 xml:space="preserve"> (AccDay), definita come la percentuale dei quadrati target verdi (D2 o D6, complessivamente considerati) toccati nel 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lastRenderedPageBreak/>
              <w:t>tempo concesso (Treact)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non preceduti e preceduti dai quadrati cue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, in una giornata di lavoro.</w:t>
            </w:r>
          </w:p>
          <w:p w:rsidR="00E67D28" w:rsidRPr="00A8311F" w:rsidRDefault="003F5046">
            <w:pPr>
              <w:numPr>
                <w:ilvl w:val="0"/>
                <w:numId w:val="2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Accuratezza media di giornata per i quadrati stay target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 (AccStayDay), definita come la percentuale dei quadrati stay target verdi (D2 o D6, complessivamente considerati) toccati nel tempo concesso (Treact)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indipendentemente se seguiti o meno da quadrati cue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, in una giornata di lavoro. I </w:t>
            </w:r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</w:rPr>
              <w:t>quadrati stay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 </w:t>
            </w:r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</w:rPr>
              <w:t>target 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sono quelli preceduti da un quadrato target posto nello stesso lato dello schermo nella sequenza precedente: e.g. quadrato target D2 preceduto da un quadrato target D2 oppure quadrato target D6 preceduto da un quadrato target D6</w:t>
            </w:r>
          </w:p>
          <w:p w:rsidR="00E67D28" w:rsidRPr="00A8311F" w:rsidRDefault="003F5046">
            <w:pPr>
              <w:numPr>
                <w:ilvl w:val="0"/>
                <w:numId w:val="3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Accuratezza media di giornata per i quadrati change target 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(AccChangeDay), definita come la percentuale dei quadrati change target (D2 o D6, complessivamente considerati) toccati nel tempo concesso (Treact)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indipendentemente se seguiti o meno da quadrati cue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, in una giornata di lavoro. I </w:t>
            </w:r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</w:rPr>
              <w:t>quadrati change target 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sono quelli preceduti da un quadrato target posto nel lato opposto dello schermo: quadrato target D2 preceduto da un quadrato target D6 oppure quadrato target D6 preceduto da un quadrato target D2.</w:t>
            </w:r>
          </w:p>
        </w:tc>
      </w:tr>
      <w:tr w:rsidR="00E67D28" w:rsidRPr="004238AA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lastRenderedPageBreak/>
              <w:t>Tempo di reazione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Tempo di reazione medio di giornata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 ottenuto dalla media dei seguenti valori:</w:t>
            </w:r>
          </w:p>
          <w:p w:rsidR="00E67D28" w:rsidRPr="00A8311F" w:rsidRDefault="003F5046">
            <w:pPr>
              <w:numPr>
                <w:ilvl w:val="0"/>
                <w:numId w:val="4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Tempo di reazione medio di giornata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 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per i quadrati target non preceduti e preceduti dai quadrati cue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 xml:space="preserve"> (ReactTimeDay), definito come il 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lastRenderedPageBreak/>
              <w:t>tempo di reazione per toccare i quadrati target verdi (D2 o D6, complessivamente considerati) nel tempo concesso (Treact)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non preceduti e preceduti dai quadrati cue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, in una giornata di lavoro. </w:t>
            </w:r>
          </w:p>
          <w:p w:rsidR="00E67D28" w:rsidRPr="00A8311F" w:rsidRDefault="003F5046">
            <w:pPr>
              <w:numPr>
                <w:ilvl w:val="0"/>
                <w:numId w:val="5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Tempo di reazione medio di giornata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 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per i quadrati stay target 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(ReactTimeStayDay), definito come il tempo di reazione per toccare i quadrati stay target verdi (D2 o D6, complessivamente considerati) nel tempo concesso (Treact)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indipendentemente se seguiti o meno da quadrati cue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, in una giornata di lavoro. Come definito in un paragrafo precedente, i </w:t>
            </w:r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</w:rPr>
              <w:t>quadrati stay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 </w:t>
            </w:r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</w:rPr>
              <w:t>target 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sono quelli preceduti da un quadrato target posto nello stesso lato dello schermo: quadrato target D2 preceduto da un quadrato target D2 oppure quadrato target D6 preceduto da un quadrato target D6. </w:t>
            </w:r>
          </w:p>
          <w:p w:rsidR="00E67D28" w:rsidRPr="00A8311F" w:rsidRDefault="003F5046">
            <w:pPr>
              <w:numPr>
                <w:ilvl w:val="0"/>
                <w:numId w:val="6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Tempo di reazione medio di giornata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 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per i quadrati change target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 (ReactTimeChangeDay), definito come il tempo di reazione per toccare i quadrati change target verdi (D2 o D6, complessivamente considerati) nel tempo concesso (Treact)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indipendentemente se seguiti o meno da quadrati cue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, in una giornata di lavoro. Come definito in un paragrafo precedente, i </w:t>
            </w:r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</w:rPr>
              <w:t>quadrati change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 </w:t>
            </w:r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</w:rPr>
              <w:t>target 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sono quelli preceduti da un quadrato target posto nello stesso lato dello schermo: quadrato target D2 preceduto da un quadrato target D2 oppure quadrato target D6 preceduto da un quadrato target D6</w:t>
            </w:r>
          </w:p>
        </w:tc>
      </w:tr>
    </w:tbl>
    <w:p w:rsidR="00E67D28" w:rsidRDefault="00E67D28">
      <w:pPr>
        <w:rPr>
          <w:sz w:val="30"/>
          <w:szCs w:val="30"/>
        </w:rPr>
      </w:pPr>
    </w:p>
    <w:p w:rsidR="004238AA" w:rsidRPr="004238AA" w:rsidRDefault="004238AA" w:rsidP="004238AA">
      <w:pPr>
        <w:spacing w:before="375" w:after="375"/>
        <w:jc w:val="center"/>
        <w:rPr>
          <w:rFonts w:ascii="Arial" w:hAnsi="Arial" w:cs="Arial"/>
          <w:b/>
          <w:bCs/>
          <w:sz w:val="30"/>
          <w:szCs w:val="30"/>
        </w:rPr>
      </w:pPr>
    </w:p>
    <w:p w:rsidR="004238AA" w:rsidRDefault="004238AA" w:rsidP="004238AA">
      <w:pPr>
        <w:spacing w:before="375" w:after="375"/>
        <w:jc w:val="center"/>
        <w:rPr>
          <w:rFonts w:ascii="Arial" w:hAnsi="Arial" w:cs="Arial"/>
          <w:b/>
          <w:bCs/>
          <w:sz w:val="30"/>
          <w:szCs w:val="30"/>
        </w:rPr>
      </w:pPr>
      <w:r w:rsidRPr="00A8311F">
        <w:rPr>
          <w:rFonts w:ascii="Arial" w:hAnsi="Arial" w:cs="Arial"/>
          <w:b/>
          <w:bCs/>
          <w:sz w:val="30"/>
          <w:szCs w:val="30"/>
        </w:rPr>
        <w:lastRenderedPageBreak/>
        <w:t xml:space="preserve">COMPITO </w:t>
      </w:r>
      <w:r>
        <w:rPr>
          <w:rFonts w:ascii="Arial" w:hAnsi="Arial" w:cs="Arial"/>
          <w:b/>
          <w:bCs/>
          <w:sz w:val="30"/>
          <w:szCs w:val="30"/>
        </w:rPr>
        <w:t>5</w:t>
      </w:r>
    </w:p>
    <w:p w:rsidR="004238AA" w:rsidRDefault="004238AA" w:rsidP="004238AA">
      <w:pPr>
        <w:pStyle w:val="NormaleWeb"/>
      </w:pPr>
      <w: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2365"/>
        <w:gridCol w:w="10908"/>
      </w:tblGrid>
      <w:tr w:rsidR="004238AA" w:rsidTr="004238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8AA" w:rsidRDefault="004238AA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VALORE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8AA" w:rsidRDefault="004238AA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DEFINIZIONE</w:t>
            </w:r>
          </w:p>
        </w:tc>
      </w:tr>
      <w:tr w:rsidR="004238AA" w:rsidTr="004238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8AA" w:rsidRDefault="004238AA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Accuratezza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8AA" w:rsidRDefault="004238AA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Accuratezza media di giornata</w:t>
            </w:r>
            <w:r>
              <w:rPr>
                <w:rFonts w:ascii="Arial" w:hAnsi="Arial" w:cs="Arial"/>
                <w:sz w:val="30"/>
                <w:szCs w:val="30"/>
              </w:rPr>
              <w:t> ottenuta dalla media dei seguenti valori:</w:t>
            </w:r>
          </w:p>
          <w:p w:rsidR="004238AA" w:rsidRDefault="004238AA" w:rsidP="004238A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Accuratezza media di giornata per i quadrati target “valid” preceduti dai quadrati cue dello stesso lato</w:t>
            </w:r>
            <w:r>
              <w:rPr>
                <w:rFonts w:ascii="Arial" w:hAnsi="Arial" w:cs="Arial"/>
                <w:sz w:val="30"/>
                <w:szCs w:val="30"/>
              </w:rPr>
              <w:t xml:space="preserve"> (AccValidDay), definita come la percentuale dei quadrati target verdi (D2 o D6, complessivamente considerati) toccati nel tempo concesso (Treact)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preceduti dai quadrati cue dello stesso lato</w:t>
            </w:r>
            <w:r>
              <w:rPr>
                <w:rFonts w:ascii="Arial" w:hAnsi="Arial" w:cs="Arial"/>
                <w:sz w:val="30"/>
                <w:szCs w:val="30"/>
              </w:rPr>
              <w:t>, in una giornata di lavoro.</w:t>
            </w:r>
          </w:p>
          <w:p w:rsidR="004238AA" w:rsidRDefault="004238AA" w:rsidP="004238A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Accuratezza media di giornata per i quadrati target “invalid” preceduti dai quadrati cue</w:t>
            </w:r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del lato opposto</w:t>
            </w:r>
            <w:r>
              <w:rPr>
                <w:rFonts w:ascii="Arial" w:hAnsi="Arial" w:cs="Arial"/>
                <w:sz w:val="30"/>
                <w:szCs w:val="30"/>
              </w:rPr>
              <w:t xml:space="preserve"> (AccInvalidDay), definita come la percentuale dei quadrati target verdi (D2 o D6, complessivamente considerati) toccati nel tempo concesso (Treact)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preceduti dai quadrati cue del lato opposto</w:t>
            </w:r>
            <w:r>
              <w:rPr>
                <w:rFonts w:ascii="Arial" w:hAnsi="Arial" w:cs="Arial"/>
                <w:sz w:val="30"/>
                <w:szCs w:val="30"/>
              </w:rPr>
              <w:t>, in una giornata di lavoro.</w:t>
            </w:r>
          </w:p>
        </w:tc>
      </w:tr>
      <w:tr w:rsidR="004238AA" w:rsidTr="004238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8AA" w:rsidRDefault="004238AA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Tempo di reazione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8AA" w:rsidRDefault="004238AA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Tempo di reazione medio di giornata</w:t>
            </w:r>
            <w:r>
              <w:rPr>
                <w:rFonts w:ascii="Arial" w:hAnsi="Arial" w:cs="Arial"/>
                <w:sz w:val="30"/>
                <w:szCs w:val="30"/>
              </w:rPr>
              <w:t> ottenuto dalla media dei seguenti valori:</w:t>
            </w:r>
          </w:p>
          <w:p w:rsidR="004238AA" w:rsidRDefault="004238AA" w:rsidP="004238A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Tempo di reazione medio di giornata</w:t>
            </w:r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per i quadrati target “valid” preceduti dai quadrati cue dello stesso lato</w:t>
            </w:r>
            <w:r>
              <w:rPr>
                <w:rFonts w:ascii="Arial" w:hAnsi="Arial" w:cs="Arial"/>
                <w:sz w:val="30"/>
                <w:szCs w:val="30"/>
              </w:rPr>
              <w:t xml:space="preserve"> (ReactTimeValidDay), definito come il tempo di reazione per toccare i quadrati target verdi (D2 o </w:t>
            </w:r>
            <w:r>
              <w:rPr>
                <w:rFonts w:ascii="Arial" w:hAnsi="Arial" w:cs="Arial"/>
                <w:sz w:val="30"/>
                <w:szCs w:val="30"/>
              </w:rPr>
              <w:lastRenderedPageBreak/>
              <w:t>D6, complessivamente considerati) nel tempo concesso (Treact)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preceduti dai quadrati cue dello stesso lato</w:t>
            </w:r>
            <w:r>
              <w:rPr>
                <w:rFonts w:ascii="Arial" w:hAnsi="Arial" w:cs="Arial"/>
                <w:sz w:val="30"/>
                <w:szCs w:val="30"/>
              </w:rPr>
              <w:t>, in una giornata di lavoro.</w:t>
            </w:r>
          </w:p>
          <w:p w:rsidR="004238AA" w:rsidRDefault="004238AA" w:rsidP="004238A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Tempo di reazione medio di giornata</w:t>
            </w:r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per i quadrati target “invalid” preceduti dai quadrati cue</w:t>
            </w:r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del lato opposto</w:t>
            </w:r>
            <w:r>
              <w:rPr>
                <w:rFonts w:ascii="Arial" w:hAnsi="Arial" w:cs="Arial"/>
                <w:sz w:val="30"/>
                <w:szCs w:val="30"/>
              </w:rPr>
              <w:t xml:space="preserve"> (ReactTimeInvalidDay), definito come il tempo di reazione per toccare i quadrati target verdi (D2 o D6, complessivamente considerati) nel tempo concesso (Treact)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preceduti dai quadrati cue del lato opposto</w:t>
            </w:r>
            <w:r>
              <w:rPr>
                <w:rFonts w:ascii="Arial" w:hAnsi="Arial" w:cs="Arial"/>
                <w:sz w:val="30"/>
                <w:szCs w:val="30"/>
              </w:rPr>
              <w:t>, in una giornata di lavoro.</w:t>
            </w:r>
          </w:p>
        </w:tc>
      </w:tr>
    </w:tbl>
    <w:p w:rsidR="004238AA" w:rsidRDefault="004238AA" w:rsidP="004238AA">
      <w:pPr>
        <w:spacing w:before="375" w:after="375"/>
        <w:jc w:val="center"/>
        <w:rPr>
          <w:rFonts w:ascii="Arial" w:hAnsi="Arial" w:cs="Arial"/>
          <w:b/>
          <w:bCs/>
          <w:sz w:val="30"/>
          <w:szCs w:val="30"/>
        </w:rPr>
      </w:pPr>
    </w:p>
    <w:p w:rsidR="00EE1B2F" w:rsidRDefault="00EE1B2F" w:rsidP="00EE1B2F">
      <w:pPr>
        <w:spacing w:before="375" w:after="375"/>
        <w:jc w:val="center"/>
        <w:rPr>
          <w:rFonts w:ascii="Arial" w:hAnsi="Arial" w:cs="Arial"/>
          <w:b/>
          <w:bCs/>
          <w:sz w:val="30"/>
          <w:szCs w:val="30"/>
        </w:rPr>
      </w:pPr>
      <w:r w:rsidRPr="00A8311F">
        <w:rPr>
          <w:rFonts w:ascii="Arial" w:hAnsi="Arial" w:cs="Arial"/>
          <w:b/>
          <w:bCs/>
          <w:sz w:val="30"/>
          <w:szCs w:val="30"/>
        </w:rPr>
        <w:t xml:space="preserve">COMPITO </w:t>
      </w:r>
      <w:r>
        <w:rPr>
          <w:rFonts w:ascii="Arial" w:hAnsi="Arial" w:cs="Arial"/>
          <w:b/>
          <w:bCs/>
          <w:sz w:val="30"/>
          <w:szCs w:val="30"/>
        </w:rPr>
        <w:t>6</w:t>
      </w:r>
    </w:p>
    <w:p w:rsidR="00EE1B2F" w:rsidRDefault="00EE1B2F" w:rsidP="00EE1B2F">
      <w:pPr>
        <w:pStyle w:val="NormaleWeb"/>
      </w:pPr>
      <w: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2368"/>
        <w:gridCol w:w="10905"/>
      </w:tblGrid>
      <w:tr w:rsidR="00EE1B2F" w:rsidTr="00EE1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2F" w:rsidRDefault="00EE1B2F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VALORE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2F" w:rsidRDefault="00EE1B2F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DEFINIZIONE</w:t>
            </w:r>
          </w:p>
        </w:tc>
      </w:tr>
      <w:tr w:rsidR="00EE1B2F" w:rsidTr="00EE1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2F" w:rsidRDefault="00EE1B2F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Accuratezza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2F" w:rsidRDefault="00EE1B2F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Accuratezza media di giornata</w:t>
            </w:r>
            <w:r>
              <w:rPr>
                <w:rFonts w:ascii="Arial" w:hAnsi="Arial" w:cs="Arial"/>
                <w:sz w:val="30"/>
                <w:szCs w:val="30"/>
              </w:rPr>
              <w:t> ottenuta dalla media dei seguenti valori:</w:t>
            </w:r>
          </w:p>
          <w:p w:rsidR="00EE1B2F" w:rsidRDefault="00EE1B2F" w:rsidP="00EE1B2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Accuratezza media di giornata per i quadrati target preceduti dai quadrati “cue” dello stesso lato con tempo pre-trigger max</w:t>
            </w:r>
            <w:r>
              <w:rPr>
                <w:rFonts w:ascii="Arial" w:hAnsi="Arial" w:cs="Arial"/>
                <w:sz w:val="30"/>
                <w:szCs w:val="30"/>
              </w:rPr>
              <w:t xml:space="preserve"> (AccTmaxDay), definita come la percentuale dei quadrati target verdi (D2 o D6, complessivamente considerati) toccati nel tempo concesso (Treact)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preceduti dai quadrati “cue” dello stesso lato con tempo pre-trigger max</w:t>
            </w:r>
            <w:r>
              <w:rPr>
                <w:rFonts w:ascii="Arial" w:hAnsi="Arial" w:cs="Arial"/>
                <w:sz w:val="30"/>
                <w:szCs w:val="30"/>
              </w:rPr>
              <w:t>, in una giornata di lavoro.</w:t>
            </w:r>
          </w:p>
          <w:p w:rsidR="00EE1B2F" w:rsidRDefault="00EE1B2F" w:rsidP="00EE1B2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lastRenderedPageBreak/>
              <w:t>Accuratezza media di giornata per i quadrati target preceduti dai quadrati “cue” dello stesso lato con tempo pre-trigger min</w:t>
            </w:r>
            <w:r>
              <w:rPr>
                <w:rFonts w:ascii="Arial" w:hAnsi="Arial" w:cs="Arial"/>
                <w:sz w:val="30"/>
                <w:szCs w:val="30"/>
              </w:rPr>
              <w:t xml:space="preserve"> (AccTminDay), definita come la percentuale dei quadrati target verdi (D2 o D6, complessivamente considerati) toccati nel tempo concesso (Treact)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preceduti dai quadrati “cue” dello stesso lato con tempo pre-trigger min</w:t>
            </w:r>
            <w:r>
              <w:rPr>
                <w:rFonts w:ascii="Arial" w:hAnsi="Arial" w:cs="Arial"/>
                <w:sz w:val="30"/>
                <w:szCs w:val="30"/>
              </w:rPr>
              <w:t>, in una giornata di lavoro.</w:t>
            </w:r>
          </w:p>
        </w:tc>
      </w:tr>
      <w:tr w:rsidR="00EE1B2F" w:rsidTr="00EE1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2F" w:rsidRDefault="00EE1B2F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lastRenderedPageBreak/>
              <w:t>Tempo di reazione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2F" w:rsidRDefault="00EE1B2F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Tempo di reazione medio di giornata</w:t>
            </w:r>
            <w:r>
              <w:rPr>
                <w:rFonts w:ascii="Arial" w:hAnsi="Arial" w:cs="Arial"/>
                <w:sz w:val="30"/>
                <w:szCs w:val="30"/>
              </w:rPr>
              <w:t> ottenuto dalla media dei seguenti valori:</w:t>
            </w:r>
          </w:p>
          <w:p w:rsidR="00EE1B2F" w:rsidRDefault="00EE1B2F" w:rsidP="00EE1B2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Tempo di reazione medio di giornata</w:t>
            </w:r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per i quadrati “cue” dello stesso lato con tempo pre-trigger max</w:t>
            </w:r>
            <w:r>
              <w:rPr>
                <w:rFonts w:ascii="Arial" w:hAnsi="Arial" w:cs="Arial"/>
                <w:sz w:val="30"/>
                <w:szCs w:val="30"/>
              </w:rPr>
              <w:t xml:space="preserve"> (ReactTimeTmaxDay), definito come il tempo di reazione per toccare i quadrati target verdi (D2 o D6, complessivamente considerati) nel tempo concesso (Treact)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preceduti dai quadrati “cue” dello stesso lato con tempo pre-trigger max</w:t>
            </w:r>
            <w:r>
              <w:rPr>
                <w:rFonts w:ascii="Arial" w:hAnsi="Arial" w:cs="Arial"/>
                <w:sz w:val="30"/>
                <w:szCs w:val="30"/>
              </w:rPr>
              <w:t>, in una giornata di lavoro.</w:t>
            </w:r>
          </w:p>
          <w:p w:rsidR="00EE1B2F" w:rsidRDefault="00EE1B2F" w:rsidP="00EE1B2F">
            <w:pPr>
              <w:pStyle w:val="NormaleWeb"/>
              <w:numPr>
                <w:ilvl w:val="0"/>
                <w:numId w:val="14"/>
              </w:numPr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Tempo di reazione medio di giornata</w:t>
            </w:r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per i quadrati “cue” dello stesso lato con tempo pre-trigger min</w:t>
            </w:r>
            <w:r>
              <w:rPr>
                <w:rFonts w:ascii="Arial" w:hAnsi="Arial" w:cs="Arial"/>
                <w:sz w:val="30"/>
                <w:szCs w:val="30"/>
              </w:rPr>
              <w:t xml:space="preserve"> (ReactTimeTminDay), definito come il tempo di reazione per toccare i quadrati target verdi (D2 o D6, complessivamente considerati) nel tempo concesso (Treact)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preceduti dai quadrati “cue” dello stesso lato con tempo pre-trigger min</w:t>
            </w:r>
            <w:r>
              <w:rPr>
                <w:rFonts w:ascii="Arial" w:hAnsi="Arial" w:cs="Arial"/>
                <w:sz w:val="30"/>
                <w:szCs w:val="30"/>
              </w:rPr>
              <w:t>, in una giornata di lavoro.</w:t>
            </w:r>
          </w:p>
        </w:tc>
      </w:tr>
    </w:tbl>
    <w:p w:rsidR="004238AA" w:rsidRPr="00A8311F" w:rsidRDefault="004238AA">
      <w:pPr>
        <w:rPr>
          <w:sz w:val="30"/>
          <w:szCs w:val="30"/>
        </w:rPr>
      </w:pPr>
      <w:bookmarkStart w:id="0" w:name="_GoBack"/>
      <w:bookmarkEnd w:id="0"/>
    </w:p>
    <w:sectPr w:rsidR="004238AA" w:rsidRPr="00A8311F" w:rsidSect="00EE75AC">
      <w:pgSz w:w="15840" w:h="12240" w:orient="landscape"/>
      <w:pgMar w:top="1134" w:right="1134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6454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82A2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F0B1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E6C8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CEA1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3680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8EED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FACB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DAC7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ABE60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8465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72A0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3EAC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F1E10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6CAC0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86663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B838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8499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652A1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BC3E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B4C1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FE1F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1819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8AD5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3EA2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96616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A844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EA4B4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AEB8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9671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2CAD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F4F9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DA1C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A28B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31A46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7E49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34846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B28C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A283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B2E1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2036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C6C4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2C75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622E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B4A3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CF2E5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207E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FE94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1EAB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9EB3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864C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FCCA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24DE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70CE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21C0CA8"/>
    <w:multiLevelType w:val="multilevel"/>
    <w:tmpl w:val="9C4A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E2558B"/>
    <w:multiLevelType w:val="multilevel"/>
    <w:tmpl w:val="09A0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74646"/>
    <w:multiLevelType w:val="multilevel"/>
    <w:tmpl w:val="47DE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E3F63"/>
    <w:multiLevelType w:val="multilevel"/>
    <w:tmpl w:val="D094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F5D3E"/>
    <w:multiLevelType w:val="multilevel"/>
    <w:tmpl w:val="C2E4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AD19DE"/>
    <w:multiLevelType w:val="multilevel"/>
    <w:tmpl w:val="32D2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B02BC0"/>
    <w:multiLevelType w:val="multilevel"/>
    <w:tmpl w:val="41C4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226A54"/>
    <w:multiLevelType w:val="multilevel"/>
    <w:tmpl w:val="D35A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3"/>
  </w:num>
  <w:num w:numId="8">
    <w:abstractNumId w:val="12"/>
  </w:num>
  <w:num w:numId="9">
    <w:abstractNumId w:val="8"/>
  </w:num>
  <w:num w:numId="10">
    <w:abstractNumId w:val="11"/>
  </w:num>
  <w:num w:numId="11">
    <w:abstractNumId w:val="7"/>
  </w:num>
  <w:num w:numId="12">
    <w:abstractNumId w:val="9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D28"/>
    <w:rsid w:val="003F5046"/>
    <w:rsid w:val="004238AA"/>
    <w:rsid w:val="00A8311F"/>
    <w:rsid w:val="00E67D28"/>
    <w:rsid w:val="00EE1B2F"/>
    <w:rsid w:val="00EE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3BA60A"/>
  <w15:docId w15:val="{FCA407E7-1982-AF4C-BB85-3E1D06D5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E1B2F"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Titolo5">
    <w:name w:val="heading 5"/>
    <w:basedOn w:val="Normale"/>
    <w:next w:val="Normale"/>
    <w:link w:val="Titolo5Carattere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Titolo6">
    <w:name w:val="heading 6"/>
    <w:basedOn w:val="Normale"/>
    <w:next w:val="Normale"/>
    <w:link w:val="Titolo6Carattere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Titolo6Carattere">
    <w:name w:val="Titolo 6 Carattere"/>
    <w:basedOn w:val="Carpredefinitoparagrafo"/>
    <w:link w:val="Titolo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NormaleWeb">
    <w:name w:val="Normal (Web)"/>
    <w:basedOn w:val="Normale"/>
    <w:uiPriority w:val="99"/>
    <w:semiHidden/>
    <w:unhideWhenUsed/>
    <w:rsid w:val="004238AA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4238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1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1092</Words>
  <Characters>6228</Characters>
  <Application>Microsoft Office Word</Application>
  <DocSecurity>0</DocSecurity>
  <Lines>51</Lines>
  <Paragraphs>14</Paragraphs>
  <ScaleCrop>false</ScaleCrop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2023-12-05T17:24:00Z</dcterms:created>
  <dcterms:modified xsi:type="dcterms:W3CDTF">2023-12-20T14:45:00Z</dcterms:modified>
</cp:coreProperties>
</file>