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left"/>
      </w:pPr>
      <w:r>
        <w:rPr>
          <w:rFonts w:ascii="Arial" w:hAnsi="Arial"/>
          <w:b/>
          <w:sz w:val="24"/>
        </w:rPr>
        <w:t>Formato PMI 4B. Issue Log diligenciado - ejemplo simulado</w:t>
      </w:r>
    </w:p>
    <w:p>
      <w:pPr>
        <w:spacing w:after="200"/>
        <w:jc w:val="center"/>
      </w:pPr>
      <w:r>
        <w:rPr>
          <w:rFonts w:ascii="Arial" w:hAnsi="Arial"/>
          <w:b/>
          <w:sz w:val="32"/>
        </w:rPr>
        <w:t>ISSUE 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Project Title: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CeluMarket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Date Prepared: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 w:val="0"/>
                <w:sz w:val="19"/>
              </w:rPr>
              <w:t>26/09/2026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Issue ID</w:t>
            </w:r>
          </w:p>
        </w:tc>
        <w:tc>
          <w:tcPr>
            <w:tcW w:type="dxa" w:w="2040"/>
            <w:vAlign w:val="center"/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Category</w:t>
            </w:r>
          </w:p>
        </w:tc>
        <w:tc>
          <w:tcPr>
            <w:tcW w:type="dxa" w:w="2040"/>
            <w:vAlign w:val="center"/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Issue</w:t>
            </w:r>
          </w:p>
        </w:tc>
        <w:tc>
          <w:tcPr>
            <w:tcW w:type="dxa" w:w="2040"/>
            <w:vAlign w:val="center"/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Impact on Objectives</w:t>
            </w:r>
          </w:p>
        </w:tc>
        <w:tc>
          <w:tcPr>
            <w:tcW w:type="dxa" w:w="2040"/>
            <w:vAlign w:val="center"/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Urgency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ISS-001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Calidad documental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Ejemplo: evidencia sin identificación de versión.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Dificulta trazabilidad y aceptación.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Media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ISS-002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Interfaz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Ejemplo: desplazamiento horizontal general a 360 px.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Afectaría RNF01 y uso móvil.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Alta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ISS-003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Pruebas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Ejemplo: re-prueba no adjunta tras una corrección.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Impide demostrar cierre de defecto.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Alta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ISS-004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Documentación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Ejemplo: nombre de una función no coincide entre modelo y requisito.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Puede crear inconsistencia de alcance/modelos.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Media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Responsible Party</w:t>
            </w:r>
          </w:p>
        </w:tc>
        <w:tc>
          <w:tcPr>
            <w:tcW w:type="dxa" w:w="2040"/>
            <w:vAlign w:val="center"/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Actions</w:t>
            </w:r>
          </w:p>
        </w:tc>
        <w:tc>
          <w:tcPr>
            <w:tcW w:type="dxa" w:w="2040"/>
            <w:vAlign w:val="center"/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2040"/>
            <w:vAlign w:val="center"/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Due Date</w:t>
            </w:r>
          </w:p>
        </w:tc>
        <w:tc>
          <w:tcPr>
            <w:tcW w:type="dxa" w:w="2040"/>
            <w:vAlign w:val="center"/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Comments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QA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Renombrar evidencia y completar versión en registro.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En verificación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Antes del siguiente ciclo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Ejemplo simulado.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UX / DEV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Ajustar CSS, repetir prueba a 360/768/1366.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Asignado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Antes de versión candidata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Ejemplo simulado.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QA / DEV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Ejecutar re-prueba y adjuntar evidencia.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Abierto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Mismo ciclo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Ejemplo simulado.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AN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Unificar nomenclatura y auditar referencias afectadas.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Asignado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Antes de entrega 2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Ejemplo simulado.</w:t>
            </w:r>
          </w:p>
        </w:tc>
      </w:tr>
    </w:tbl>
    <w:p>
      <w:pPr>
        <w:spacing w:before="100"/>
      </w:pPr>
      <w:r>
        <w:rPr>
          <w:rFonts w:ascii="Arial" w:hAnsi="Arial"/>
          <w:b/>
          <w:i/>
          <w:sz w:val="20"/>
        </w:rPr>
        <w:t xml:space="preserve">Nota. </w:t>
      </w:r>
      <w:r>
        <w:rPr>
          <w:rFonts w:ascii="Arial" w:hAnsi="Arial"/>
          <w:sz w:val="20"/>
        </w:rPr>
        <w:t>Los cuatro registros son ejemplos didácticos de diligenciamiento.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