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80"/>
        <w:jc w:val="left"/>
      </w:pPr>
      <w:r>
        <w:rPr>
          <w:rFonts w:ascii="Arial" w:hAnsi="Arial"/>
          <w:b/>
          <w:sz w:val="24"/>
        </w:rPr>
        <w:t>Formato PMI 2B. Quality Metrics diligenciado para CeluMarket</w:t>
      </w:r>
    </w:p>
    <w:p>
      <w:pPr>
        <w:spacing w:after="200"/>
        <w:jc w:val="center"/>
      </w:pPr>
      <w:r>
        <w:rPr>
          <w:rFonts w:ascii="Arial" w:hAnsi="Arial"/>
          <w:b/>
          <w:sz w:val="32"/>
        </w:rPr>
        <w:t>QUALITY METRICS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  <w:vAlign w:val="center"/>
            <w:shd w:fill="E7E6E6"/>
          </w:tcPr>
          <w:p>
            <w:pPr>
              <w:spacing w:after="0" w:before="0"/>
            </w:pPr>
            <w:r>
              <w:rPr>
                <w:rFonts w:ascii="Arial" w:hAnsi="Arial"/>
                <w:b/>
                <w:sz w:val="17"/>
              </w:rPr>
            </w:r>
            <w:r>
              <w:rPr>
                <w:rFonts w:ascii="Arial" w:hAnsi="Arial"/>
                <w:b/>
                <w:sz w:val="17"/>
              </w:rPr>
              <w:t>Project Title:</w:t>
            </w:r>
          </w:p>
        </w:tc>
        <w:tc>
          <w:tcPr>
            <w:tcW w:type="dxa" w:w="2550"/>
            <w:vAlign w:val="center"/>
            <w:shd w:fill="E7E6E6"/>
          </w:tcPr>
          <w:p>
            <w:pPr>
              <w:spacing w:after="0" w:before="0"/>
            </w:pPr>
            <w:r>
              <w:rPr>
                <w:rFonts w:ascii="Arial" w:hAnsi="Arial"/>
                <w:b/>
                <w:sz w:val="17"/>
              </w:rPr>
            </w:r>
            <w:r>
              <w:rPr>
                <w:rFonts w:ascii="Arial" w:hAnsi="Arial"/>
                <w:b/>
                <w:sz w:val="17"/>
              </w:rPr>
              <w:t>CeluMarket</w:t>
            </w:r>
          </w:p>
        </w:tc>
        <w:tc>
          <w:tcPr>
            <w:tcW w:type="dxa" w:w="2550"/>
            <w:vAlign w:val="center"/>
            <w:shd w:fill="E7E6E6"/>
          </w:tcPr>
          <w:p>
            <w:pPr>
              <w:spacing w:after="0" w:before="0"/>
            </w:pPr>
            <w:r>
              <w:rPr>
                <w:rFonts w:ascii="Arial" w:hAnsi="Arial"/>
                <w:b/>
                <w:sz w:val="17"/>
              </w:rPr>
            </w:r>
            <w:r>
              <w:rPr>
                <w:rFonts w:ascii="Arial" w:hAnsi="Arial"/>
                <w:b/>
                <w:sz w:val="17"/>
              </w:rPr>
              <w:t>Date Prepared:</w:t>
            </w:r>
          </w:p>
        </w:tc>
        <w:tc>
          <w:tcPr>
            <w:tcW w:type="dxa" w:w="2550"/>
            <w:vAlign w:val="center"/>
            <w:shd w:fill="E7E6E6"/>
          </w:tcPr>
          <w:p>
            <w:pPr>
              <w:spacing w:after="0" w:before="0"/>
            </w:pPr>
            <w:r>
              <w:rPr>
                <w:rFonts w:ascii="Arial" w:hAnsi="Arial"/>
                <w:b/>
                <w:sz w:val="17"/>
              </w:rPr>
            </w:r>
            <w:r>
              <w:rPr>
                <w:rFonts w:ascii="Arial" w:hAnsi="Arial"/>
                <w:b/>
                <w:sz w:val="17"/>
              </w:rPr>
              <w:t>26/09/2026</w:t>
            </w:r>
          </w:p>
        </w:tc>
      </w:tr>
      <w:tr>
        <w:tc>
          <w:tcPr>
            <w:tcW w:type="dxa" w:w="2550"/>
            <w:vAlign w:val="center"/>
            <w:shd w:fill="E7E6E6"/>
          </w:tcPr>
          <w:p>
            <w:pPr>
              <w:spacing w:after="0" w:before="0"/>
            </w:pPr>
            <w:r>
              <w:rPr>
                <w:rFonts w:ascii="Arial" w:hAnsi="Arial"/>
                <w:b/>
                <w:sz w:val="17"/>
              </w:rPr>
            </w:r>
            <w:r>
              <w:rPr>
                <w:rFonts w:ascii="Arial" w:hAnsi="Arial"/>
                <w:b/>
                <w:sz w:val="17"/>
              </w:rPr>
              <w:t>ID</w:t>
            </w:r>
          </w:p>
        </w:tc>
        <w:tc>
          <w:tcPr>
            <w:tcW w:type="dxa" w:w="2550"/>
            <w:vAlign w:val="center"/>
            <w:shd w:fill="E7E6E6"/>
          </w:tcPr>
          <w:p>
            <w:pPr>
              <w:spacing w:after="0" w:before="0"/>
            </w:pPr>
            <w:r>
              <w:rPr>
                <w:rFonts w:ascii="Arial" w:hAnsi="Arial"/>
                <w:b/>
                <w:sz w:val="17"/>
              </w:rPr>
            </w:r>
            <w:r>
              <w:rPr>
                <w:rFonts w:ascii="Arial" w:hAnsi="Arial"/>
                <w:b/>
                <w:sz w:val="17"/>
              </w:rPr>
              <w:t>Item</w:t>
            </w:r>
          </w:p>
        </w:tc>
        <w:tc>
          <w:tcPr>
            <w:tcW w:type="dxa" w:w="2550"/>
            <w:vAlign w:val="center"/>
            <w:shd w:fill="E7E6E6"/>
          </w:tcPr>
          <w:p>
            <w:pPr>
              <w:spacing w:after="0" w:before="0"/>
            </w:pPr>
            <w:r>
              <w:rPr>
                <w:rFonts w:ascii="Arial" w:hAnsi="Arial"/>
                <w:b/>
                <w:sz w:val="17"/>
              </w:rPr>
            </w:r>
            <w:r>
              <w:rPr>
                <w:rFonts w:ascii="Arial" w:hAnsi="Arial"/>
                <w:b/>
                <w:sz w:val="17"/>
              </w:rPr>
              <w:t>Metric</w:t>
            </w:r>
          </w:p>
        </w:tc>
        <w:tc>
          <w:tcPr>
            <w:tcW w:type="dxa" w:w="2550"/>
            <w:vAlign w:val="center"/>
            <w:shd w:fill="E7E6E6"/>
          </w:tcPr>
          <w:p>
            <w:pPr>
              <w:spacing w:after="0" w:before="0"/>
            </w:pPr>
            <w:r>
              <w:rPr>
                <w:rFonts w:ascii="Arial" w:hAnsi="Arial"/>
                <w:b/>
                <w:sz w:val="17"/>
              </w:rPr>
            </w:r>
            <w:r>
              <w:rPr>
                <w:rFonts w:ascii="Arial" w:hAnsi="Arial"/>
                <w:b/>
                <w:sz w:val="17"/>
              </w:rPr>
              <w:t>Measurement Method</w:t>
            </w:r>
          </w:p>
        </w:tc>
      </w:tr>
      <w:tr>
        <w:tc>
          <w:tcPr>
            <w:tcW w:type="dxa" w:w="2550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MC01</w:t>
            </w:r>
          </w:p>
        </w:tc>
        <w:tc>
          <w:tcPr>
            <w:tcW w:type="dxa" w:w="2550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Cumplimiento funcional</w:t>
            </w:r>
          </w:p>
        </w:tc>
        <w:tc>
          <w:tcPr>
            <w:tcW w:type="dxa" w:w="2550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12/12 RF satisfactorios = 100 %</w:t>
            </w:r>
          </w:p>
        </w:tc>
        <w:tc>
          <w:tcPr>
            <w:tcW w:type="dxa" w:w="2550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Ejecutar casos RF01-RF12; registrar versión, evidencia y resultado.</w:t>
            </w:r>
          </w:p>
        </w:tc>
      </w:tr>
      <w:tr>
        <w:tc>
          <w:tcPr>
            <w:tcW w:type="dxa" w:w="2550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MC02</w:t>
            </w:r>
          </w:p>
        </w:tc>
        <w:tc>
          <w:tcPr>
            <w:tcW w:type="dxa" w:w="2550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Cumplimiento no funcional</w:t>
            </w:r>
          </w:p>
        </w:tc>
        <w:tc>
          <w:tcPr>
            <w:tcW w:type="dxa" w:w="2550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7/7 RNF con evidencia satisfactoria = 100 %</w:t>
            </w:r>
          </w:p>
        </w:tc>
        <w:tc>
          <w:tcPr>
            <w:tcW w:type="dxa" w:w="2550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Ejecutar pruebas técnicas, publicación y revisión RNF.</w:t>
            </w:r>
          </w:p>
        </w:tc>
      </w:tr>
      <w:tr>
        <w:tc>
          <w:tcPr>
            <w:tcW w:type="dxa" w:w="2550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MC03</w:t>
            </w:r>
          </w:p>
        </w:tc>
        <w:tc>
          <w:tcPr>
            <w:tcW w:type="dxa" w:w="2550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Trazabilidad</w:t>
            </w:r>
          </w:p>
        </w:tc>
        <w:tc>
          <w:tcPr>
            <w:tcW w:type="dxa" w:w="2550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19/19 requisitos con prueba, versión, evidencia y resultado = 100 %</w:t>
            </w:r>
          </w:p>
        </w:tc>
        <w:tc>
          <w:tcPr>
            <w:tcW w:type="dxa" w:w="2550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Cruzar matriz RF/RNF con Registro de Pruebas.</w:t>
            </w:r>
          </w:p>
        </w:tc>
      </w:tr>
      <w:tr>
        <w:tc>
          <w:tcPr>
            <w:tcW w:type="dxa" w:w="2550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MC04</w:t>
            </w:r>
          </w:p>
        </w:tc>
        <w:tc>
          <w:tcPr>
            <w:tcW w:type="dxa" w:w="2550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Adaptación</w:t>
            </w:r>
          </w:p>
        </w:tc>
        <w:tc>
          <w:tcPr>
            <w:tcW w:type="dxa" w:w="2550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3/3 anchuras: 360, 768, 1366 px</w:t>
            </w:r>
          </w:p>
        </w:tc>
        <w:tc>
          <w:tcPr>
            <w:tcW w:type="dxa" w:w="2550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DevTools + inspección de menú, tarjetas, formulario y carrito.</w:t>
            </w:r>
          </w:p>
        </w:tc>
      </w:tr>
      <w:tr>
        <w:tc>
          <w:tcPr>
            <w:tcW w:type="dxa" w:w="2550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MC05</w:t>
            </w:r>
          </w:p>
        </w:tc>
        <w:tc>
          <w:tcPr>
            <w:tcW w:type="dxa" w:w="2550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Compatibilidad</w:t>
            </w:r>
          </w:p>
        </w:tc>
        <w:tc>
          <w:tcPr>
            <w:tcW w:type="dxa" w:w="2550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3/3 navegadores</w:t>
            </w:r>
          </w:p>
        </w:tc>
        <w:tc>
          <w:tcPr>
            <w:tcW w:type="dxa" w:w="2550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Recorrer navegación, búsqueda, favoritos y carrito en Chrome, Edge y Firefox.</w:t>
            </w:r>
          </w:p>
        </w:tc>
      </w:tr>
      <w:tr>
        <w:tc>
          <w:tcPr>
            <w:tcW w:type="dxa" w:w="2550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MC06</w:t>
            </w:r>
          </w:p>
        </w:tc>
        <w:tc>
          <w:tcPr>
            <w:tcW w:type="dxa" w:w="2550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Rendimiento</w:t>
            </w:r>
          </w:p>
        </w:tc>
        <w:tc>
          <w:tcPr>
            <w:tcW w:type="dxa" w:w="2550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3/3 cargas &lt;= 3 s</w:t>
            </w:r>
          </w:p>
        </w:tc>
        <w:tc>
          <w:tcPr>
            <w:tcW w:type="dxa" w:w="2550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Sin caché, 10 Mbps, 50 ms; registrar equipo y navegador.</w:t>
            </w:r>
          </w:p>
        </w:tc>
      </w:tr>
      <w:tr>
        <w:tc>
          <w:tcPr>
            <w:tcW w:type="dxa" w:w="2550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MC07</w:t>
            </w:r>
          </w:p>
        </w:tc>
        <w:tc>
          <w:tcPr>
            <w:tcW w:type="dxa" w:w="2550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Teclado/accesibilidad</w:t>
            </w:r>
          </w:p>
        </w:tc>
        <w:tc>
          <w:tcPr>
            <w:tcW w:type="dxa" w:w="2550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0 bloqueos; foco visible y mensajes comprensibles</w:t>
            </w:r>
          </w:p>
        </w:tc>
        <w:tc>
          <w:tcPr>
            <w:tcW w:type="dxa" w:w="2550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Recorrido manual con teclado y validación de errores.</w:t>
            </w:r>
          </w:p>
        </w:tc>
      </w:tr>
      <w:tr>
        <w:tc>
          <w:tcPr>
            <w:tcW w:type="dxa" w:w="2550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MC08</w:t>
            </w:r>
          </w:p>
        </w:tc>
        <w:tc>
          <w:tcPr>
            <w:tcW w:type="dxa" w:w="2550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Datos</w:t>
            </w:r>
          </w:p>
        </w:tc>
        <w:tc>
          <w:tcPr>
            <w:tcW w:type="dxa" w:w="2550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20/20 registros válidos; 0 duplicados de ID</w:t>
            </w:r>
          </w:p>
        </w:tc>
        <w:tc>
          <w:tcPr>
            <w:tcW w:type="dxa" w:w="2550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Revisar JSON, imágenes, precios y diccionario de datos.</w:t>
            </w:r>
          </w:p>
        </w:tc>
      </w:tr>
      <w:tr>
        <w:tc>
          <w:tcPr>
            <w:tcW w:type="dxa" w:w="2550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MC09</w:t>
            </w:r>
          </w:p>
        </w:tc>
        <w:tc>
          <w:tcPr>
            <w:tcW w:type="dxa" w:w="2550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Carrito RF10</w:t>
            </w:r>
          </w:p>
        </w:tc>
        <w:tc>
          <w:tcPr>
            <w:tcW w:type="dxa" w:w="2550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Subtotal 2.800.000; descuento 300.000; total 2.500.000</w:t>
            </w:r>
          </w:p>
        </w:tc>
        <w:tc>
          <w:tcPr>
            <w:tcW w:type="dxa" w:w="2550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Caso funcional con dos Samsung de 1.000.000 y otro de 800.000.</w:t>
            </w:r>
          </w:p>
        </w:tc>
      </w:tr>
      <w:tr>
        <w:tc>
          <w:tcPr>
            <w:tcW w:type="dxa" w:w="2550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MC10</w:t>
            </w:r>
          </w:p>
        </w:tc>
        <w:tc>
          <w:tcPr>
            <w:tcW w:type="dxa" w:w="2550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Bloqueantes</w:t>
            </w:r>
          </w:p>
        </w:tc>
        <w:tc>
          <w:tcPr>
            <w:tcW w:type="dxa" w:w="2550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0 defectos bloqueantes abiertos</w:t>
            </w:r>
          </w:p>
        </w:tc>
        <w:tc>
          <w:tcPr>
            <w:tcW w:type="dxa" w:w="2550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Revisar Issue Log antes de publicación y aceptación.</w:t>
            </w:r>
          </w:p>
        </w:tc>
      </w:tr>
      <w:tr>
        <w:tc>
          <w:tcPr>
            <w:tcW w:type="dxa" w:w="2550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MC11</w:t>
            </w:r>
          </w:p>
        </w:tc>
        <w:tc>
          <w:tcPr>
            <w:tcW w:type="dxa" w:w="2550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Compilación/publicación</w:t>
            </w:r>
          </w:p>
        </w:tc>
        <w:tc>
          <w:tcPr>
            <w:tcW w:type="dxa" w:w="2550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Versión candidata compila y URL funciona</w:t>
            </w:r>
          </w:p>
        </w:tc>
        <w:tc>
          <w:tcPr>
            <w:tcW w:type="dxa" w:w="2550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Angular build + recorrido desde equipo externo.</w:t>
            </w:r>
          </w:p>
        </w:tc>
      </w:tr>
      <w:tr>
        <w:tc>
          <w:tcPr>
            <w:tcW w:type="dxa" w:w="2550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MC12</w:t>
            </w:r>
          </w:p>
        </w:tc>
        <w:tc>
          <w:tcPr>
            <w:tcW w:type="dxa" w:w="2550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Consistencia documental</w:t>
            </w:r>
          </w:p>
        </w:tc>
        <w:tc>
          <w:tcPr>
            <w:tcW w:type="dxa" w:w="2550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0 contradicciones críticas</w:t>
            </w:r>
          </w:p>
        </w:tc>
        <w:tc>
          <w:tcPr>
            <w:tcW w:type="dxa" w:w="2550"/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sz w:val="17"/>
              </w:rPr>
            </w:r>
            <w:r>
              <w:rPr>
                <w:rFonts w:ascii="Arial" w:hAnsi="Arial"/>
                <w:b w:val="0"/>
                <w:sz w:val="17"/>
              </w:rPr>
              <w:t>Auditar alcance, modelos, pruebas, manual y versión.</w:t>
            </w:r>
          </w:p>
        </w:tc>
      </w:tr>
    </w:tbl>
    <w:sectPr w:rsidR="00FC693F" w:rsidRPr="0006063C" w:rsidSect="00034616">
      <w:pgSz w:w="12240" w:h="15840"/>
      <w:pgMar w:top="964" w:right="1020" w:bottom="96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