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02DDA3B8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  <w:r w:rsidR="00735870">
        <w:rPr>
          <w:rFonts w:ascii="Book Antiqua" w:hAnsi="Book Antiqua"/>
          <w:b/>
          <w:sz w:val="36"/>
          <w:szCs w:val="36"/>
        </w:rPr>
        <w:t xml:space="preserve"> INFANTIL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47DFAF56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735870">
        <w:rPr>
          <w:rFonts w:ascii="Book Antiqua" w:hAnsi="Book Antiqua"/>
          <w:sz w:val="20"/>
          <w:szCs w:val="22"/>
        </w:rPr>
        <w:fldChar w:fldCharType="begin"/>
      </w:r>
      <w:r w:rsidR="00735870">
        <w:rPr>
          <w:rFonts w:ascii="Book Antiqua" w:hAnsi="Book Antiqua"/>
          <w:sz w:val="20"/>
          <w:szCs w:val="22"/>
        </w:rPr>
        <w:instrText xml:space="preserve"> MERGEFIELD =consultation.ongoing_issue \* MERGEFORMAT </w:instrText>
      </w:r>
      <w:r w:rsidR="00735870">
        <w:rPr>
          <w:rFonts w:ascii="Book Antiqua" w:hAnsi="Book Antiqua"/>
          <w:sz w:val="20"/>
          <w:szCs w:val="22"/>
        </w:rPr>
        <w:fldChar w:fldCharType="separate"/>
      </w:r>
      <w:r w:rsidR="00735870">
        <w:rPr>
          <w:rFonts w:ascii="Book Antiqua" w:hAnsi="Book Antiqua"/>
          <w:sz w:val="20"/>
          <w:szCs w:val="22"/>
        </w:rPr>
        <w:t>«=consultation.ongoing_issue»</w:t>
      </w:r>
      <w:r w:rsidR="00735870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>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22F9" w14:textId="77777777" w:rsidR="00833C65" w:rsidRDefault="00833C65" w:rsidP="00B13337">
      <w:r>
        <w:separator/>
      </w:r>
    </w:p>
  </w:endnote>
  <w:endnote w:type="continuationSeparator" w:id="0">
    <w:p w14:paraId="75AC424C" w14:textId="77777777" w:rsidR="00833C65" w:rsidRDefault="00833C6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3DBFD" w14:textId="77777777" w:rsidR="00FD2BA1" w:rsidRDefault="00FD2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54D2" w14:textId="77777777" w:rsidR="00FD2BA1" w:rsidRDefault="00FD2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C6F20" w14:textId="77777777" w:rsidR="00833C65" w:rsidRDefault="00833C65" w:rsidP="00B13337">
      <w:r>
        <w:separator/>
      </w:r>
    </w:p>
  </w:footnote>
  <w:footnote w:type="continuationSeparator" w:id="0">
    <w:p w14:paraId="1FE085E3" w14:textId="77777777" w:rsidR="00833C65" w:rsidRDefault="00833C6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A00BD" w14:textId="77777777" w:rsidR="00FD2BA1" w:rsidRDefault="00FD2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022ACE82" w:rsidR="003F1688" w:rsidRDefault="00FD2BA1" w:rsidP="003F1688">
          <w:pPr>
            <w:pStyle w:val="Header"/>
            <w:jc w:val="center"/>
          </w:pPr>
          <w:r>
            <w:drawing>
              <wp:inline distT="0" distB="0" distL="0" distR="0" wp14:anchorId="3F40F33F" wp14:editId="39C07D33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0838" w14:textId="77777777" w:rsidR="00FD2BA1" w:rsidRDefault="00FD2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A1F74"/>
    <w:rsid w:val="00316DB2"/>
    <w:rsid w:val="003F1688"/>
    <w:rsid w:val="005B03DD"/>
    <w:rsid w:val="005D0587"/>
    <w:rsid w:val="006A2A09"/>
    <w:rsid w:val="006D7442"/>
    <w:rsid w:val="00735870"/>
    <w:rsid w:val="00763A16"/>
    <w:rsid w:val="0077212E"/>
    <w:rsid w:val="007F7598"/>
    <w:rsid w:val="00833C65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6B93"/>
    <w:rsid w:val="00CC3C50"/>
    <w:rsid w:val="00CF5B28"/>
    <w:rsid w:val="00D136B2"/>
    <w:rsid w:val="00EE68B9"/>
    <w:rsid w:val="00FD2BA1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1206</Characters>
  <Application>Microsoft Office Word</Application>
  <DocSecurity>0</DocSecurity>
  <Lines>10</Lines>
  <Paragraphs>2</Paragraphs>
  <ScaleCrop>false</ScaleCrop>
  <Company>Home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25</cp:revision>
  <dcterms:created xsi:type="dcterms:W3CDTF">2016-07-05T12:15:00Z</dcterms:created>
  <dcterms:modified xsi:type="dcterms:W3CDTF">2020-11-18T13:48:00Z</dcterms:modified>
</cp:coreProperties>
</file>