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1933BC99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BD05F4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BD05F4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por este motivo requiere </w:t>
      </w:r>
      <w:r w:rsidR="000531ED">
        <w:rPr>
          <w:rFonts w:ascii="Book Antiqua" w:hAnsi="Book Antiqua"/>
          <w:sz w:val="22"/>
          <w:szCs w:val="22"/>
        </w:rPr>
        <w:t xml:space="preserve">tratamiento medicamentoso, </w:t>
      </w:r>
      <w:r w:rsidR="000531ED" w:rsidRPr="000531ED">
        <w:rPr>
          <w:rFonts w:ascii="Book Antiqua" w:hAnsi="Book Antiqua"/>
          <w:sz w:val="22"/>
          <w:szCs w:val="22"/>
        </w:rPr>
        <w:t>más reposo por … días</w:t>
      </w:r>
      <w:bookmarkStart w:id="0" w:name="_GoBack"/>
      <w:bookmarkEnd w:id="0"/>
      <w:r w:rsidR="000531ED" w:rsidRPr="000531ED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531ED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671</Characters>
  <Application>Microsoft Macintosh Word</Application>
  <DocSecurity>0</DocSecurity>
  <Lines>5</Lines>
  <Paragraphs>1</Paragraphs>
  <ScaleCrop>false</ScaleCrop>
  <Company>Home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2017-11-26T11:34:00Z</dcterms:modified>
</cp:coreProperties>
</file>