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D8ADBEB" w:rsidR="000C5D5B" w:rsidRPr="00AB0101" w:rsidRDefault="00C1303C" w:rsidP="00C1303C">
      <w:pPr>
        <w:spacing w:line="276" w:lineRule="auto"/>
        <w:jc w:val="center"/>
        <w:rPr>
          <w:rFonts w:ascii="Book Antiqua" w:hAnsi="Book Antiqua"/>
          <w:b/>
          <w:sz w:val="28"/>
          <w:szCs w:val="28"/>
        </w:rPr>
      </w:pPr>
      <w:r w:rsidRPr="00C1303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1303C">
        <w:rPr>
          <w:rFonts w:ascii="Book Antiqua" w:hAnsi="Book Antiqua"/>
          <w:b/>
          <w:sz w:val="28"/>
          <w:szCs w:val="28"/>
        </w:rPr>
        <w:t>DE MIRINGOPLASTIA / TIMPANOPLASTIA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33C8FB3" w:rsidR="00A018F8" w:rsidRDefault="00A018F8" w:rsidP="000C5D5B">
      <w:pPr>
        <w:spacing w:line="276" w:lineRule="auto"/>
        <w:rPr>
          <w:rFonts w:ascii="Book Antiqua" w:hAnsi="Book Antiqua"/>
          <w:b/>
          <w:sz w:val="20"/>
          <w:szCs w:val="20"/>
        </w:rPr>
      </w:pPr>
    </w:p>
    <w:p w14:paraId="656191EE" w14:textId="3B7D299D" w:rsidR="00C1303C" w:rsidRDefault="00C1303C" w:rsidP="000C5D5B">
      <w:pPr>
        <w:spacing w:line="276" w:lineRule="auto"/>
        <w:rPr>
          <w:rFonts w:ascii="Book Antiqua" w:hAnsi="Book Antiqua"/>
          <w:b/>
          <w:sz w:val="20"/>
          <w:szCs w:val="20"/>
        </w:rPr>
      </w:pPr>
      <w:r>
        <w:rPr>
          <w:rFonts w:ascii="Book Antiqua" w:hAnsi="Book Antiqua"/>
          <w:b/>
          <w:sz w:val="20"/>
          <w:szCs w:val="20"/>
        </w:rPr>
        <w:t>EXAMEN FÍSICO</w:t>
      </w:r>
    </w:p>
    <w:p w14:paraId="3DD24B0D" w14:textId="0AF18A2F" w:rsidR="00C1303C" w:rsidRDefault="00C1303C" w:rsidP="00C1303C">
      <w:pPr>
        <w:spacing w:line="276" w:lineRule="auto"/>
        <w:rPr>
          <w:rFonts w:ascii="Book Antiqua" w:hAnsi="Book Antiqua"/>
          <w:sz w:val="20"/>
          <w:szCs w:val="22"/>
        </w:rPr>
      </w:pPr>
      <w:r>
        <w:rPr>
          <w:rFonts w:ascii="Book Antiqua" w:hAnsi="Book Antiqua"/>
          <w:b/>
          <w:bCs/>
          <w:sz w:val="20"/>
          <w:szCs w:val="22"/>
        </w:rPr>
        <w:t>OÍDO</w:t>
      </w:r>
      <w:r w:rsidRPr="00401C31">
        <w:rPr>
          <w:rFonts w:ascii="Book Antiqua" w:hAnsi="Book Antiqua"/>
          <w:b/>
          <w:bCs/>
          <w:sz w:val="20"/>
          <w:szCs w:val="22"/>
        </w:rPr>
        <w:t xml:space="preserve"> DERECH</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4796068B" w14:textId="3DC1CD26" w:rsidR="00C1303C" w:rsidRPr="001C02DD" w:rsidRDefault="00C1303C" w:rsidP="00C1303C">
      <w:pPr>
        <w:spacing w:line="276" w:lineRule="auto"/>
        <w:rPr>
          <w:rFonts w:ascii="Book Antiqua" w:hAnsi="Book Antiqua"/>
          <w:bCs/>
          <w:sz w:val="20"/>
          <w:szCs w:val="20"/>
        </w:rPr>
      </w:pPr>
      <w:r>
        <w:rPr>
          <w:rFonts w:ascii="Book Antiqua" w:hAnsi="Book Antiqua"/>
          <w:b/>
          <w:bCs/>
          <w:sz w:val="20"/>
          <w:szCs w:val="22"/>
        </w:rPr>
        <w:t>OÍDO</w:t>
      </w:r>
      <w:r w:rsidRPr="00401C31">
        <w:rPr>
          <w:rFonts w:ascii="Book Antiqua" w:hAnsi="Book Antiqua"/>
          <w:b/>
          <w:bCs/>
          <w:sz w:val="20"/>
          <w:szCs w:val="22"/>
        </w:rPr>
        <w:t xml:space="preserve"> IZQUIERD</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01087DE4" w14:textId="77777777" w:rsidR="00C1303C" w:rsidRDefault="00C1303C"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2EF85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1303C" w:rsidRPr="00C1303C">
        <w:rPr>
          <w:rFonts w:ascii="Book Antiqua" w:hAnsi="Book Antiqua"/>
          <w:b/>
          <w:bCs/>
          <w:sz w:val="20"/>
          <w:szCs w:val="20"/>
        </w:rPr>
        <w:t>MIRINGOPLASTIA O TIMPANOPLASTIA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02EAE787" w:rsidR="00A018F8" w:rsidRDefault="00A018F8" w:rsidP="00401C31">
      <w:pPr>
        <w:spacing w:line="276" w:lineRule="auto"/>
        <w:jc w:val="both"/>
        <w:rPr>
          <w:rFonts w:ascii="Book Antiqua" w:hAnsi="Book Antiqua"/>
          <w:b/>
          <w:sz w:val="20"/>
          <w:szCs w:val="20"/>
        </w:rPr>
      </w:pPr>
    </w:p>
    <w:p w14:paraId="08C0EAE8" w14:textId="4BA3CE3E" w:rsidR="00C1303C" w:rsidRDefault="00C1303C" w:rsidP="00401C31">
      <w:pPr>
        <w:spacing w:line="276" w:lineRule="auto"/>
        <w:jc w:val="both"/>
        <w:rPr>
          <w:rFonts w:ascii="Book Antiqua" w:hAnsi="Book Antiqua"/>
          <w:b/>
          <w:sz w:val="20"/>
          <w:szCs w:val="20"/>
        </w:rPr>
      </w:pPr>
      <w:r w:rsidRPr="00C1303C">
        <w:rPr>
          <w:rFonts w:ascii="Book Antiqua" w:hAnsi="Book Antiqua"/>
          <w:sz w:val="20"/>
          <w:szCs w:val="20"/>
        </w:rPr>
        <w:t xml:space="preserve">Este documento informativo pretende explicar, de forma sencilla, la intervención quirúrgica denominada </w:t>
      </w:r>
      <w:r w:rsidRPr="00C1303C">
        <w:rPr>
          <w:rFonts w:ascii="Book Antiqua" w:hAnsi="Book Antiqua"/>
          <w:b/>
          <w:bCs/>
          <w:sz w:val="20"/>
          <w:szCs w:val="20"/>
        </w:rPr>
        <w:t>MIRINGOPLASTIA O TIMPANOPLASTIA</w:t>
      </w:r>
      <w:r w:rsidRPr="00C1303C">
        <w:rPr>
          <w:rFonts w:ascii="Book Antiqua" w:hAnsi="Book Antiqua"/>
          <w:sz w:val="20"/>
          <w:szCs w:val="20"/>
        </w:rPr>
        <w:t>, así como los aspectos más importantes del período postoperatorio y las complicaciones más frecuentes que, como consecuencia de esta intervención, puedan aparecer.</w:t>
      </w:r>
    </w:p>
    <w:p w14:paraId="340019CF" w14:textId="77777777" w:rsidR="00C1303C" w:rsidRDefault="00C1303C" w:rsidP="00401C31">
      <w:pPr>
        <w:spacing w:line="276" w:lineRule="auto"/>
        <w:jc w:val="both"/>
        <w:rPr>
          <w:rFonts w:ascii="Book Antiqua" w:hAnsi="Book Antiqua"/>
          <w:b/>
          <w:sz w:val="20"/>
          <w:szCs w:val="20"/>
        </w:rPr>
      </w:pPr>
    </w:p>
    <w:p w14:paraId="0BF1ABC3" w14:textId="1DAB7065" w:rsidR="003117E6" w:rsidRPr="003117E6" w:rsidRDefault="00C1303C" w:rsidP="00401C31">
      <w:pPr>
        <w:spacing w:line="276" w:lineRule="auto"/>
        <w:jc w:val="both"/>
        <w:rPr>
          <w:rFonts w:ascii="Book Antiqua" w:hAnsi="Book Antiqua"/>
          <w:sz w:val="20"/>
          <w:szCs w:val="20"/>
        </w:rPr>
      </w:pPr>
      <w:r w:rsidRPr="00C1303C">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334F06" w14:textId="09CE05EB" w:rsidR="00C1303C" w:rsidRDefault="00C1303C" w:rsidP="00C1303C">
      <w:pPr>
        <w:jc w:val="both"/>
        <w:rPr>
          <w:rFonts w:ascii="Book Antiqua" w:hAnsi="Book Antiqua"/>
          <w:sz w:val="20"/>
          <w:szCs w:val="20"/>
        </w:rPr>
      </w:pPr>
      <w:r w:rsidRPr="00C1303C">
        <w:rPr>
          <w:rFonts w:ascii="Book Antiqua" w:hAnsi="Book Antiqua"/>
          <w:sz w:val="20"/>
          <w:szCs w:val="20"/>
        </w:rPr>
        <w:t xml:space="preserve">La miringoplastia es una técnica quirúrgica destinada al cierre de una perforación timpánica mediante la colocación de un injerto. </w:t>
      </w:r>
    </w:p>
    <w:p w14:paraId="3FC5AFEF" w14:textId="77777777" w:rsidR="00C1303C" w:rsidRPr="00C1303C" w:rsidRDefault="00C1303C" w:rsidP="00C1303C">
      <w:pPr>
        <w:jc w:val="both"/>
        <w:rPr>
          <w:rFonts w:ascii="Book Antiqua" w:hAnsi="Book Antiqua"/>
          <w:sz w:val="20"/>
          <w:szCs w:val="20"/>
        </w:rPr>
      </w:pPr>
    </w:p>
    <w:p w14:paraId="686B6BE6" w14:textId="1DFB3A12" w:rsidR="00C1303C" w:rsidRDefault="00C1303C" w:rsidP="00C1303C">
      <w:pPr>
        <w:jc w:val="both"/>
        <w:rPr>
          <w:rFonts w:ascii="Book Antiqua" w:hAnsi="Book Antiqua"/>
          <w:sz w:val="20"/>
          <w:szCs w:val="20"/>
        </w:rPr>
      </w:pPr>
      <w:r w:rsidRPr="00C1303C">
        <w:rPr>
          <w:rFonts w:ascii="Book Antiqua" w:hAnsi="Book Antiqua"/>
          <w:sz w:val="20"/>
          <w:szCs w:val="20"/>
        </w:rPr>
        <w:t xml:space="preserve">Se realiza bajo visión microscópica o endoscópica, bien a través del propio conducto auditivo, o bien a través de una incisión realizada detrás del pabellón auricular. Este tipo de cirugía se indica en el tratamiento de perforaciones timpánicas, sin supuración actual ni en los últimos meses. </w:t>
      </w:r>
    </w:p>
    <w:p w14:paraId="49EF7AA3" w14:textId="77777777" w:rsidR="00C1303C" w:rsidRPr="00C1303C" w:rsidRDefault="00C1303C" w:rsidP="00C1303C">
      <w:pPr>
        <w:jc w:val="both"/>
        <w:rPr>
          <w:rFonts w:ascii="Book Antiqua" w:hAnsi="Book Antiqua"/>
          <w:sz w:val="20"/>
          <w:szCs w:val="20"/>
        </w:rPr>
      </w:pPr>
    </w:p>
    <w:p w14:paraId="7C1744C5" w14:textId="03409E9A" w:rsidR="00C1303C" w:rsidRDefault="00C1303C" w:rsidP="00C1303C">
      <w:pPr>
        <w:jc w:val="both"/>
        <w:rPr>
          <w:rFonts w:ascii="Book Antiqua" w:hAnsi="Book Antiqua"/>
          <w:sz w:val="20"/>
          <w:szCs w:val="20"/>
        </w:rPr>
      </w:pPr>
      <w:r w:rsidRPr="00C1303C">
        <w:rPr>
          <w:rFonts w:ascii="Book Antiqua" w:hAnsi="Book Antiqua"/>
          <w:sz w:val="20"/>
          <w:szCs w:val="20"/>
        </w:rPr>
        <w:t xml:space="preserve">El material utilizado para cerrar la perforación del tímpano puede ser fascia temporal –el recubrimiento externo del llamado músculo temporal– o bien pericondrio –tejido que recubre el cartílago de la oreja–, tomados siempre del propio paciente. La intervención puede realizarse bajo anestesia local o general, dependiendo de diferentes circunstancias, tales como la vía de acceso, la edad y personalidad del paciente, etc. Tras la intervención se coloca un taponamiento en el conducto </w:t>
      </w:r>
      <w:r w:rsidRPr="00C1303C">
        <w:rPr>
          <w:rFonts w:ascii="Book Antiqua" w:hAnsi="Book Antiqua"/>
          <w:sz w:val="20"/>
          <w:szCs w:val="20"/>
        </w:rPr>
        <w:lastRenderedPageBreak/>
        <w:t xml:space="preserve">auditivo que se retirará tras unos días y, en el caso de abordaje por detrás del pabellón, se realiza una sutura, cuyos puntos se retirarán en torno a los 7 días. </w:t>
      </w:r>
    </w:p>
    <w:p w14:paraId="61113630" w14:textId="77777777" w:rsidR="00C1303C" w:rsidRPr="00C1303C" w:rsidRDefault="00C1303C" w:rsidP="00C1303C">
      <w:pPr>
        <w:jc w:val="both"/>
        <w:rPr>
          <w:rFonts w:ascii="Book Antiqua" w:hAnsi="Book Antiqua"/>
          <w:sz w:val="20"/>
          <w:szCs w:val="20"/>
        </w:rPr>
      </w:pPr>
    </w:p>
    <w:p w14:paraId="23B64130" w14:textId="6C58AAC6" w:rsidR="00C1303C" w:rsidRDefault="00C1303C" w:rsidP="00C1303C">
      <w:pPr>
        <w:jc w:val="both"/>
        <w:rPr>
          <w:rFonts w:ascii="Book Antiqua" w:hAnsi="Book Antiqua"/>
          <w:sz w:val="20"/>
          <w:szCs w:val="20"/>
        </w:rPr>
      </w:pPr>
      <w:r w:rsidRPr="00C1303C">
        <w:rPr>
          <w:rFonts w:ascii="Book Antiqua" w:hAnsi="Book Antiqua"/>
          <w:sz w:val="20"/>
          <w:szCs w:val="20"/>
        </w:rPr>
        <w:t xml:space="preserve">Durante las primeras horas tras la cirugía, pueden aparecer ligeras molestias en el oído, tales como dolor, , sensación de ocupación, ruido, etc., así como sensación de ligero adormecimiento de la cara. Es frecuente, también, que se manche el taponamiento del conducto o el vendaje de sangre. </w:t>
      </w:r>
    </w:p>
    <w:p w14:paraId="209C6EE2" w14:textId="77777777" w:rsidR="00C1303C" w:rsidRPr="00C1303C" w:rsidRDefault="00C1303C" w:rsidP="00C1303C">
      <w:pPr>
        <w:jc w:val="both"/>
        <w:rPr>
          <w:rFonts w:ascii="Book Antiqua" w:hAnsi="Book Antiqua"/>
          <w:sz w:val="20"/>
          <w:szCs w:val="20"/>
        </w:rPr>
      </w:pPr>
    </w:p>
    <w:p w14:paraId="21EF9F96" w14:textId="2C569ECE" w:rsidR="00C1303C" w:rsidRDefault="00C1303C" w:rsidP="00C1303C">
      <w:pPr>
        <w:jc w:val="both"/>
        <w:rPr>
          <w:rFonts w:ascii="Book Antiqua" w:hAnsi="Book Antiqua"/>
          <w:sz w:val="20"/>
          <w:szCs w:val="20"/>
        </w:rPr>
      </w:pPr>
      <w:r w:rsidRPr="00C1303C">
        <w:rPr>
          <w:rFonts w:ascii="Book Antiqua" w:hAnsi="Book Antiqua"/>
          <w:sz w:val="20"/>
          <w:szCs w:val="20"/>
        </w:rPr>
        <w:t xml:space="preserve">El paciente permanecerá en el hospital unas horas o hasta el día siguiente, según diferentes circunstancias. Posteriormente será controlado en las consultas externas del Servicio. </w:t>
      </w:r>
    </w:p>
    <w:p w14:paraId="12172259" w14:textId="77777777" w:rsidR="00C1303C" w:rsidRPr="00C1303C" w:rsidRDefault="00C1303C" w:rsidP="00C1303C">
      <w:pPr>
        <w:jc w:val="both"/>
        <w:rPr>
          <w:rFonts w:ascii="Book Antiqua" w:hAnsi="Book Antiqua"/>
          <w:sz w:val="20"/>
          <w:szCs w:val="20"/>
        </w:rPr>
      </w:pPr>
    </w:p>
    <w:p w14:paraId="00CA0C79" w14:textId="1C8D7E2F" w:rsidR="00C1303C" w:rsidRDefault="00C1303C" w:rsidP="00C1303C">
      <w:pPr>
        <w:jc w:val="both"/>
        <w:rPr>
          <w:rFonts w:ascii="Book Antiqua" w:hAnsi="Book Antiqua"/>
          <w:sz w:val="20"/>
          <w:szCs w:val="20"/>
        </w:rPr>
      </w:pPr>
      <w:r w:rsidRPr="00C1303C">
        <w:rPr>
          <w:rFonts w:ascii="Book Antiqua" w:hAnsi="Book Antiqua"/>
          <w:sz w:val="20"/>
          <w:szCs w:val="20"/>
        </w:rPr>
        <w:t xml:space="preserve">Como normas generales, deberá evitar la penetración de agua en el oído y viajar en avión durante las tres semanas siguientes a la cirugía. Se sonará la nariz con cuidado, primero una fosa y después la otra, y estornudará sin taparse la nariz. </w:t>
      </w:r>
    </w:p>
    <w:p w14:paraId="7B2EA058" w14:textId="77777777" w:rsidR="00C1303C" w:rsidRPr="00C1303C" w:rsidRDefault="00C1303C" w:rsidP="00C1303C">
      <w:pPr>
        <w:jc w:val="both"/>
        <w:rPr>
          <w:rFonts w:ascii="Book Antiqua" w:hAnsi="Book Antiqua"/>
          <w:sz w:val="20"/>
          <w:szCs w:val="20"/>
        </w:rPr>
      </w:pPr>
    </w:p>
    <w:p w14:paraId="624D1C4D" w14:textId="46CA56EA" w:rsidR="00C1303C" w:rsidRDefault="00C1303C" w:rsidP="00C1303C">
      <w:pPr>
        <w:jc w:val="both"/>
        <w:rPr>
          <w:rFonts w:ascii="Book Antiqua" w:hAnsi="Book Antiqua"/>
          <w:sz w:val="20"/>
          <w:szCs w:val="20"/>
        </w:rPr>
      </w:pPr>
      <w:r w:rsidRPr="00C1303C">
        <w:rPr>
          <w:rFonts w:ascii="Book Antiqua" w:hAnsi="Book Antiqua"/>
          <w:sz w:val="20"/>
          <w:szCs w:val="20"/>
        </w:rPr>
        <w:t xml:space="preserve">En caso de </w:t>
      </w:r>
      <w:r w:rsidRPr="00C1303C">
        <w:rPr>
          <w:rFonts w:ascii="Book Antiqua" w:hAnsi="Book Antiqua"/>
          <w:b/>
          <w:bCs/>
          <w:sz w:val="20"/>
          <w:szCs w:val="20"/>
        </w:rPr>
        <w:t>NO EFECTUARSE ESTA INTERVENCIÓN</w:t>
      </w:r>
      <w:r w:rsidRPr="00C1303C">
        <w:rPr>
          <w:rFonts w:ascii="Book Antiqua" w:hAnsi="Book Antiqua"/>
          <w:sz w:val="20"/>
          <w:szCs w:val="20"/>
        </w:rPr>
        <w:t xml:space="preserve">, el paciente continuará con la pérdida de audición, la sensación de resonancia y el ruido en el oído si es que existían con anterioridad. Por otra parte, mientras la perforación timpánica exista, el paciente debe de evitar la penetración de agua en su oído ya que podrían aparecer supuraciones de forma intermitente, con la posibilidad de pérdida de audición tras infecciones repetidas. Estas supuraciones pueden aparecer, también, espontáneamente, sin que penetre agua en el oído del paciente. </w:t>
      </w:r>
    </w:p>
    <w:p w14:paraId="5B752E17" w14:textId="77777777" w:rsidR="00C1303C" w:rsidRPr="00C1303C" w:rsidRDefault="00C1303C" w:rsidP="00C1303C">
      <w:pPr>
        <w:jc w:val="both"/>
        <w:rPr>
          <w:rFonts w:ascii="Book Antiqua" w:hAnsi="Book Antiqua"/>
          <w:sz w:val="20"/>
          <w:szCs w:val="20"/>
        </w:rPr>
      </w:pPr>
    </w:p>
    <w:p w14:paraId="4343A578" w14:textId="39761574" w:rsidR="00C1303C" w:rsidRDefault="00C1303C" w:rsidP="00C1303C">
      <w:pPr>
        <w:jc w:val="both"/>
        <w:rPr>
          <w:rFonts w:ascii="Book Antiqua" w:hAnsi="Book Antiqua"/>
          <w:sz w:val="20"/>
          <w:szCs w:val="20"/>
        </w:rPr>
      </w:pPr>
      <w:r w:rsidRPr="00C1303C">
        <w:rPr>
          <w:rFonts w:ascii="Book Antiqua" w:hAnsi="Book Antiqua"/>
          <w:b/>
          <w:bCs/>
          <w:sz w:val="20"/>
          <w:szCs w:val="20"/>
        </w:rPr>
        <w:t>BENEFICIOS ESPERABLES</w:t>
      </w:r>
      <w:r w:rsidRPr="00C1303C">
        <w:rPr>
          <w:rFonts w:ascii="Book Antiqua" w:hAnsi="Book Antiqua"/>
          <w:sz w:val="20"/>
          <w:szCs w:val="20"/>
        </w:rPr>
        <w:t xml:space="preserve">: Cierre de la perforación. Mejoría de la audición, de la sensación de resonancia y de los ruidos, en muchos casos. Posibilidad de penetración de agua en el oído. </w:t>
      </w:r>
    </w:p>
    <w:p w14:paraId="0221C89A" w14:textId="77777777" w:rsidR="00C1303C" w:rsidRPr="00C1303C" w:rsidRDefault="00C1303C" w:rsidP="00C1303C">
      <w:pPr>
        <w:jc w:val="both"/>
        <w:rPr>
          <w:rFonts w:ascii="Book Antiqua" w:hAnsi="Book Antiqua"/>
          <w:sz w:val="20"/>
          <w:szCs w:val="20"/>
        </w:rPr>
      </w:pPr>
    </w:p>
    <w:p w14:paraId="152FB653" w14:textId="65197E08" w:rsidR="00C1303C" w:rsidRDefault="00C1303C" w:rsidP="00C1303C">
      <w:pPr>
        <w:jc w:val="both"/>
        <w:rPr>
          <w:rFonts w:ascii="Book Antiqua" w:hAnsi="Book Antiqua"/>
          <w:sz w:val="20"/>
          <w:szCs w:val="20"/>
        </w:rPr>
      </w:pPr>
      <w:r w:rsidRPr="00C1303C">
        <w:rPr>
          <w:rFonts w:ascii="Book Antiqua" w:hAnsi="Book Antiqua"/>
          <w:sz w:val="20"/>
          <w:szCs w:val="20"/>
        </w:rPr>
        <w:t xml:space="preserve">Eliminación de la supuración del oído. </w:t>
      </w:r>
    </w:p>
    <w:p w14:paraId="1E04DAB1" w14:textId="77777777" w:rsidR="00C1303C" w:rsidRPr="00C1303C" w:rsidRDefault="00C1303C" w:rsidP="00C1303C">
      <w:pPr>
        <w:jc w:val="both"/>
        <w:rPr>
          <w:rFonts w:ascii="Book Antiqua" w:hAnsi="Book Antiqua"/>
          <w:sz w:val="20"/>
          <w:szCs w:val="20"/>
        </w:rPr>
      </w:pPr>
    </w:p>
    <w:p w14:paraId="62725DCD" w14:textId="3B46845B" w:rsidR="00C1303C" w:rsidRDefault="00C1303C" w:rsidP="00C1303C">
      <w:pPr>
        <w:jc w:val="both"/>
        <w:rPr>
          <w:rFonts w:ascii="Book Antiqua" w:hAnsi="Book Antiqua"/>
          <w:sz w:val="20"/>
          <w:szCs w:val="20"/>
        </w:rPr>
      </w:pPr>
      <w:r w:rsidRPr="00C1303C">
        <w:rPr>
          <w:rFonts w:ascii="Book Antiqua" w:hAnsi="Book Antiqua"/>
          <w:b/>
          <w:bCs/>
          <w:sz w:val="20"/>
          <w:szCs w:val="20"/>
        </w:rPr>
        <w:t>PROCEDIMIENTOS ALTERNATIVOS</w:t>
      </w:r>
      <w:r w:rsidRPr="00C1303C">
        <w:rPr>
          <w:rFonts w:ascii="Book Antiqua" w:hAnsi="Book Antiqua"/>
          <w:sz w:val="20"/>
          <w:szCs w:val="20"/>
        </w:rPr>
        <w:t xml:space="preserve">: Evitar la entrada de agua en el oído. Prevenir y tratar los procesos catarrales. Tratamiento médico de la supuración cuando aparezca. </w:t>
      </w:r>
    </w:p>
    <w:p w14:paraId="1B50588C" w14:textId="77777777" w:rsidR="00C1303C" w:rsidRPr="00C1303C" w:rsidRDefault="00C1303C" w:rsidP="00C1303C">
      <w:pPr>
        <w:jc w:val="both"/>
        <w:rPr>
          <w:rFonts w:ascii="Book Antiqua" w:hAnsi="Book Antiqua"/>
          <w:sz w:val="20"/>
          <w:szCs w:val="20"/>
        </w:rPr>
      </w:pPr>
    </w:p>
    <w:p w14:paraId="58855E88" w14:textId="7461C341" w:rsidR="00C1303C" w:rsidRDefault="00C1303C" w:rsidP="00C1303C">
      <w:pPr>
        <w:jc w:val="both"/>
        <w:rPr>
          <w:rFonts w:ascii="Book Antiqua" w:hAnsi="Book Antiqua"/>
          <w:sz w:val="20"/>
          <w:szCs w:val="20"/>
        </w:rPr>
      </w:pPr>
      <w:r w:rsidRPr="00C1303C">
        <w:rPr>
          <w:rFonts w:ascii="Book Antiqua" w:hAnsi="Book Antiqua"/>
          <w:b/>
          <w:bCs/>
          <w:sz w:val="20"/>
          <w:szCs w:val="20"/>
        </w:rPr>
        <w:t>RIESGOS ESPECÍFICOS MÁS FRECUENTES DE ESTE PROCEDIMIENTO</w:t>
      </w:r>
      <w:r w:rsidRPr="00C1303C">
        <w:rPr>
          <w:rFonts w:ascii="Book Antiqua" w:hAnsi="Book Antiqua"/>
          <w:sz w:val="20"/>
          <w:szCs w:val="20"/>
        </w:rPr>
        <w:t xml:space="preserve">: En general, son poco frecuentes. Cabe la posibilidad de que persista la perforación, que podría, incluso, aumentar de tamaño. </w:t>
      </w:r>
    </w:p>
    <w:p w14:paraId="658C90FE" w14:textId="77777777" w:rsidR="00C1303C" w:rsidRPr="00C1303C" w:rsidRDefault="00C1303C" w:rsidP="00C1303C">
      <w:pPr>
        <w:jc w:val="both"/>
        <w:rPr>
          <w:rFonts w:ascii="Book Antiqua" w:hAnsi="Book Antiqua"/>
          <w:sz w:val="20"/>
          <w:szCs w:val="20"/>
        </w:rPr>
      </w:pPr>
    </w:p>
    <w:p w14:paraId="0F88782D" w14:textId="5CA34E31" w:rsidR="00C1303C" w:rsidRDefault="00C1303C" w:rsidP="00C1303C">
      <w:pPr>
        <w:jc w:val="both"/>
        <w:rPr>
          <w:rFonts w:ascii="Book Antiqua" w:hAnsi="Book Antiqua"/>
          <w:sz w:val="20"/>
          <w:szCs w:val="20"/>
        </w:rPr>
      </w:pPr>
      <w:r w:rsidRPr="00C1303C">
        <w:rPr>
          <w:rFonts w:ascii="Book Antiqua" w:hAnsi="Book Antiqua"/>
          <w:sz w:val="20"/>
          <w:szCs w:val="20"/>
        </w:rPr>
        <w:t xml:space="preserve">Cabe también la posibilidad de que se agrave la pérdida de la audición y, excepcionalmente, de que se pierda completa e irreversiblemente. </w:t>
      </w:r>
    </w:p>
    <w:p w14:paraId="7FFB998B" w14:textId="77777777" w:rsidR="00C1303C" w:rsidRPr="00C1303C" w:rsidRDefault="00C1303C" w:rsidP="00C1303C">
      <w:pPr>
        <w:jc w:val="both"/>
        <w:rPr>
          <w:rFonts w:ascii="Book Antiqua" w:hAnsi="Book Antiqua"/>
          <w:sz w:val="20"/>
          <w:szCs w:val="20"/>
        </w:rPr>
      </w:pPr>
    </w:p>
    <w:p w14:paraId="017717FD" w14:textId="723E7157" w:rsidR="00C1303C" w:rsidRDefault="00C1303C" w:rsidP="00C1303C">
      <w:pPr>
        <w:jc w:val="both"/>
        <w:rPr>
          <w:rFonts w:ascii="Book Antiqua" w:hAnsi="Book Antiqua"/>
          <w:sz w:val="20"/>
          <w:szCs w:val="20"/>
        </w:rPr>
      </w:pPr>
      <w:r w:rsidRPr="00C1303C">
        <w:rPr>
          <w:rFonts w:ascii="Book Antiqua" w:hAnsi="Book Antiqua"/>
          <w:sz w:val="20"/>
          <w:szCs w:val="20"/>
        </w:rPr>
        <w:t xml:space="preserve">Pueden aparecer acúfenos –ruidos en el oído–, vértigos y disgeusia –alteraciones en la sensación gustativa–. </w:t>
      </w:r>
    </w:p>
    <w:p w14:paraId="608EFC95" w14:textId="77777777" w:rsidR="00C1303C" w:rsidRPr="00C1303C" w:rsidRDefault="00C1303C" w:rsidP="00C1303C">
      <w:pPr>
        <w:jc w:val="both"/>
        <w:rPr>
          <w:rFonts w:ascii="Book Antiqua" w:hAnsi="Book Antiqua"/>
          <w:sz w:val="20"/>
          <w:szCs w:val="20"/>
        </w:rPr>
      </w:pPr>
    </w:p>
    <w:p w14:paraId="50DFFCE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 xml:space="preserve">Es posible que aparezca una parálisis facial –parálisis del nervio de los músculos de la cara–, e infecciones, tanto a nivel del oído, como a nivel cerebral, tales como meningitis o abscesos. </w:t>
      </w:r>
    </w:p>
    <w:p w14:paraId="3BF537E1" w14:textId="687CC235" w:rsidR="00C1303C" w:rsidRDefault="00C1303C" w:rsidP="00C1303C">
      <w:pPr>
        <w:jc w:val="both"/>
        <w:rPr>
          <w:rFonts w:ascii="Book Antiqua" w:hAnsi="Book Antiqua"/>
          <w:sz w:val="20"/>
          <w:szCs w:val="20"/>
        </w:rPr>
      </w:pPr>
      <w:r w:rsidRPr="00C1303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w:t>
      </w:r>
    </w:p>
    <w:p w14:paraId="1533628B" w14:textId="77777777" w:rsidR="00C1303C" w:rsidRPr="00C1303C" w:rsidRDefault="00C1303C" w:rsidP="00C1303C">
      <w:pPr>
        <w:jc w:val="both"/>
        <w:rPr>
          <w:rFonts w:ascii="Book Antiqua" w:hAnsi="Book Antiqua"/>
          <w:sz w:val="20"/>
          <w:szCs w:val="20"/>
        </w:rPr>
      </w:pPr>
    </w:p>
    <w:p w14:paraId="241913C0" w14:textId="77777777" w:rsidR="00C1303C" w:rsidRDefault="00C1303C" w:rsidP="00C1303C">
      <w:pPr>
        <w:jc w:val="both"/>
        <w:rPr>
          <w:rFonts w:ascii="Book Antiqua" w:hAnsi="Book Antiqua"/>
          <w:sz w:val="20"/>
          <w:szCs w:val="20"/>
        </w:rPr>
      </w:pPr>
      <w:r w:rsidRPr="00C1303C">
        <w:rPr>
          <w:rFonts w:ascii="Book Antiqua" w:hAnsi="Book Antiqua"/>
          <w:sz w:val="20"/>
          <w:szCs w:val="20"/>
        </w:rPr>
        <w:t>En general, el riesgo quirúrgico aumenta en relación con la edad, la cantidad y la gravedad de las enfermedades padecidas.</w:t>
      </w:r>
    </w:p>
    <w:p w14:paraId="2BECBF0D" w14:textId="77777777" w:rsidR="00C1303C" w:rsidRDefault="00C1303C" w:rsidP="00C1303C">
      <w:pPr>
        <w:jc w:val="both"/>
        <w:rPr>
          <w:rFonts w:ascii="Book Antiqua" w:hAnsi="Book Antiqua"/>
          <w:sz w:val="20"/>
          <w:szCs w:val="20"/>
        </w:rPr>
      </w:pPr>
    </w:p>
    <w:p w14:paraId="181E57A3"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lastRenderedPageBreak/>
        <w:t>RIESGOS RELACIONADOS CON SUS CIRCUNSTANCIAS PERSONALES Y PROFESIONALES</w:t>
      </w:r>
      <w:r w:rsidRPr="00C1303C">
        <w:rPr>
          <w:rFonts w:ascii="Book Antiqua" w:hAnsi="Book Antiqua"/>
          <w:sz w:val="20"/>
          <w:szCs w:val="20"/>
        </w:rPr>
        <w:t>:</w:t>
      </w:r>
    </w:p>
    <w:p w14:paraId="5F14B8EB"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3906EBC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598F49E4" w14:textId="77777777" w:rsidR="00C1303C" w:rsidRPr="00C1303C" w:rsidRDefault="00C1303C" w:rsidP="00C1303C">
      <w:pPr>
        <w:jc w:val="both"/>
        <w:rPr>
          <w:rFonts w:ascii="Book Antiqua" w:hAnsi="Book Antiqua"/>
          <w:sz w:val="20"/>
          <w:szCs w:val="20"/>
        </w:rPr>
      </w:pPr>
    </w:p>
    <w:p w14:paraId="6912968D"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t>OBSERVACIONES Y CONTRAINDICACIONES</w:t>
      </w:r>
      <w:r w:rsidRPr="00C1303C">
        <w:rPr>
          <w:rFonts w:ascii="Book Antiqua" w:hAnsi="Book Antiqua"/>
          <w:sz w:val="20"/>
          <w:szCs w:val="20"/>
        </w:rPr>
        <w:t>:</w:t>
      </w:r>
    </w:p>
    <w:p w14:paraId="0926A08D"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9EA0855"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7B568A1" w14:textId="124E66D2" w:rsidR="00D3538B" w:rsidRPr="00A73AB5" w:rsidRDefault="00C1303C" w:rsidP="00C1303C">
      <w:pPr>
        <w:jc w:val="both"/>
        <w:rPr>
          <w:rFonts w:ascii="Book Antiqua" w:hAnsi="Book Antiqua"/>
          <w:sz w:val="20"/>
          <w:szCs w:val="20"/>
        </w:rPr>
      </w:pPr>
      <w:r w:rsidRPr="00C1303C">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85D5" w14:textId="77777777" w:rsidR="00505312" w:rsidRDefault="00505312" w:rsidP="00B13337">
      <w:r>
        <w:separator/>
      </w:r>
    </w:p>
  </w:endnote>
  <w:endnote w:type="continuationSeparator" w:id="0">
    <w:p w14:paraId="4EDCD086" w14:textId="77777777" w:rsidR="00505312" w:rsidRDefault="0050531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B2A191D" w14:textId="77777777" w:rsidR="00877B1D" w:rsidRPr="006D7442" w:rsidRDefault="00877B1D" w:rsidP="00877B1D">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121253" w:rsidR="004D2A29" w:rsidRPr="006D7442" w:rsidRDefault="00877B1D" w:rsidP="00877B1D">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3873A76" w:rsidR="004D2A29" w:rsidRDefault="0087408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45166418" w:rsidR="004D2A29" w:rsidRPr="006D7442" w:rsidRDefault="00477B1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AF20" w14:textId="77777777" w:rsidR="00505312" w:rsidRDefault="00505312" w:rsidP="00B13337">
      <w:r>
        <w:separator/>
      </w:r>
    </w:p>
  </w:footnote>
  <w:footnote w:type="continuationSeparator" w:id="0">
    <w:p w14:paraId="6D2219DB" w14:textId="77777777" w:rsidR="00505312" w:rsidRDefault="0050531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77BE8"/>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77B1C"/>
    <w:rsid w:val="004902AA"/>
    <w:rsid w:val="004D2A29"/>
    <w:rsid w:val="00505312"/>
    <w:rsid w:val="005A52CE"/>
    <w:rsid w:val="005B03DD"/>
    <w:rsid w:val="005F10DD"/>
    <w:rsid w:val="0060104B"/>
    <w:rsid w:val="00610D3A"/>
    <w:rsid w:val="006A2A09"/>
    <w:rsid w:val="006D7442"/>
    <w:rsid w:val="006E3E68"/>
    <w:rsid w:val="00741703"/>
    <w:rsid w:val="008340FC"/>
    <w:rsid w:val="00844129"/>
    <w:rsid w:val="0087408E"/>
    <w:rsid w:val="00877B1D"/>
    <w:rsid w:val="009017F2"/>
    <w:rsid w:val="009507F2"/>
    <w:rsid w:val="009943F7"/>
    <w:rsid w:val="009F416C"/>
    <w:rsid w:val="009F4BB9"/>
    <w:rsid w:val="00A018F8"/>
    <w:rsid w:val="00A05E73"/>
    <w:rsid w:val="00A73AB5"/>
    <w:rsid w:val="00AA016D"/>
    <w:rsid w:val="00AB0101"/>
    <w:rsid w:val="00AF1477"/>
    <w:rsid w:val="00B0052B"/>
    <w:rsid w:val="00B03D1F"/>
    <w:rsid w:val="00B11AA3"/>
    <w:rsid w:val="00B13337"/>
    <w:rsid w:val="00B24D61"/>
    <w:rsid w:val="00B36984"/>
    <w:rsid w:val="00BD05F4"/>
    <w:rsid w:val="00C1303C"/>
    <w:rsid w:val="00C22E98"/>
    <w:rsid w:val="00C437D4"/>
    <w:rsid w:val="00CA484E"/>
    <w:rsid w:val="00CB6B93"/>
    <w:rsid w:val="00CC3C50"/>
    <w:rsid w:val="00D3538B"/>
    <w:rsid w:val="00DA670C"/>
    <w:rsid w:val="00DD5AC0"/>
    <w:rsid w:val="00E610F0"/>
    <w:rsid w:val="00E6773D"/>
    <w:rsid w:val="00F241BD"/>
    <w:rsid w:val="00F31D9C"/>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2022-10-12T01:39:00Z</dcterms:modified>
</cp:coreProperties>
</file>