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6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Esta actividad se centra en Distribuciones Alborada SL., una pyme española cuya actividad es la distribución y comercialización de productos de limpieza e higiene industrial, con sede en Zaragoza. Usamos el Cuadro de Mando Integral como metodología para alinear la estrategia con la ejecución. Esto permite traducir los objetivos en indicadores medibles y visualmente comprensibles.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sz w:val="22"/>
          <w:szCs w:val="22"/>
          <w:rtl w:val="0"/>
        </w:rPr>
        <w:t xml:space="preserve">Analizamos</w:t>
      </w:r>
      <w:r w:rsidDel="00000000" w:rsidR="00000000" w:rsidRPr="00000000">
        <w:rPr>
          <w:rFonts w:ascii="Arial" w:cs="Arial" w:eastAsia="Arial" w:hAnsi="Arial"/>
          <w:color w:val="000000"/>
          <w:sz w:val="22"/>
          <w:szCs w:val="22"/>
          <w:rtl w:val="0"/>
        </w:rPr>
        <w:t xml:space="preserve"> el contexto, se detectan varias problemáticas interconectadas a abordar en el CMI:</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8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 Aumento de los tiempos de entrega y costes logísticos.</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8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 Descenso de la satisfacción de los clientes por retrasos y falta de información.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8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 Necesidad de ampliar la formación interna en procesos digitales.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 Objetivo de crecimiento sostenido de las ventas y del margen bruto.</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60" w:line="288" w:lineRule="auto"/>
        <w:jc w:val="both"/>
        <w:rPr>
          <w:rFonts w:ascii="Arial" w:cs="Arial" w:eastAsia="Arial" w:hAnsi="Arial"/>
          <w:sz w:val="2"/>
          <w:szCs w:val="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6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Se hace una visualización descriptiva de los datos propuestos en el excel, para comprender más el detalle de la naturaleza del negocio, así como las dimensiones y medidas que lo componen. A través de tablas dinámicas y gráficos exploratorios,  </w:t>
      </w:r>
      <w:r w:rsidDel="00000000" w:rsidR="00000000" w:rsidRPr="00000000">
        <w:rPr>
          <w:rFonts w:ascii="Arial" w:cs="Arial" w:eastAsia="Arial" w:hAnsi="Arial"/>
          <w:sz w:val="22"/>
          <w:szCs w:val="22"/>
          <w:rtl w:val="0"/>
        </w:rPr>
        <w:t xml:space="preserve">i</w:t>
      </w:r>
      <w:r w:rsidDel="00000000" w:rsidR="00000000" w:rsidRPr="00000000">
        <w:rPr>
          <w:rFonts w:ascii="Arial" w:cs="Arial" w:eastAsia="Arial" w:hAnsi="Arial"/>
          <w:color w:val="000000"/>
          <w:sz w:val="22"/>
          <w:szCs w:val="22"/>
          <w:rtl w:val="0"/>
        </w:rPr>
        <w:t xml:space="preserve">dentifica</w:t>
      </w:r>
      <w:r w:rsidDel="00000000" w:rsidR="00000000" w:rsidRPr="00000000">
        <w:rPr>
          <w:rFonts w:ascii="Arial" w:cs="Arial" w:eastAsia="Arial" w:hAnsi="Arial"/>
          <w:sz w:val="22"/>
          <w:szCs w:val="22"/>
          <w:rtl w:val="0"/>
        </w:rPr>
        <w:t xml:space="preserve">mos</w:t>
      </w:r>
      <w:r w:rsidDel="00000000" w:rsidR="00000000" w:rsidRPr="00000000">
        <w:rPr>
          <w:rFonts w:ascii="Arial" w:cs="Arial" w:eastAsia="Arial" w:hAnsi="Arial"/>
          <w:color w:val="000000"/>
          <w:sz w:val="22"/>
          <w:szCs w:val="22"/>
          <w:rtl w:val="0"/>
        </w:rPr>
        <w:t xml:space="preserve"> patrones relevantes en ventas, tiempos de entrega, satisfacción del cliente y eficiencia operativa. De esta manera, </w:t>
      </w:r>
      <w:r w:rsidDel="00000000" w:rsidR="00000000" w:rsidRPr="00000000">
        <w:rPr>
          <w:rFonts w:ascii="Arial" w:cs="Arial" w:eastAsia="Arial" w:hAnsi="Arial"/>
          <w:sz w:val="22"/>
          <w:szCs w:val="22"/>
          <w:rtl w:val="0"/>
        </w:rPr>
        <w:t xml:space="preserve">validamos </w:t>
      </w:r>
      <w:r w:rsidDel="00000000" w:rsidR="00000000" w:rsidRPr="00000000">
        <w:rPr>
          <w:rFonts w:ascii="Arial" w:cs="Arial" w:eastAsia="Arial" w:hAnsi="Arial"/>
          <w:color w:val="000000"/>
          <w:sz w:val="22"/>
          <w:szCs w:val="22"/>
          <w:rtl w:val="0"/>
        </w:rPr>
        <w:t xml:space="preserve">la problemática descrita por la empresa además de proporcionar evidencias objetivas para priorizar los factores críticos de mejora. Este análisis </w:t>
      </w:r>
      <w:r w:rsidDel="00000000" w:rsidR="00000000" w:rsidRPr="00000000">
        <w:rPr>
          <w:rFonts w:ascii="Arial" w:cs="Arial" w:eastAsia="Arial" w:hAnsi="Arial"/>
          <w:sz w:val="22"/>
          <w:szCs w:val="22"/>
          <w:rtl w:val="0"/>
        </w:rPr>
        <w:t xml:space="preserve">es</w:t>
      </w:r>
      <w:r w:rsidDel="00000000" w:rsidR="00000000" w:rsidRPr="00000000">
        <w:rPr>
          <w:rFonts w:ascii="Arial" w:cs="Arial" w:eastAsia="Arial" w:hAnsi="Arial"/>
          <w:color w:val="000000"/>
          <w:sz w:val="22"/>
          <w:szCs w:val="22"/>
          <w:rtl w:val="0"/>
        </w:rPr>
        <w:t xml:space="preserve"> fundamental para construir la base en el diseño del cuadro de mando estratégico.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6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sz w:val="22"/>
          <w:szCs w:val="22"/>
          <w:rtl w:val="0"/>
        </w:rPr>
        <w:t xml:space="preserve">Establecemos </w:t>
      </w:r>
      <w:r w:rsidDel="00000000" w:rsidR="00000000" w:rsidRPr="00000000">
        <w:rPr>
          <w:rFonts w:ascii="Arial" w:cs="Arial" w:eastAsia="Arial" w:hAnsi="Arial"/>
          <w:color w:val="000000"/>
          <w:sz w:val="22"/>
          <w:szCs w:val="22"/>
          <w:rtl w:val="0"/>
        </w:rPr>
        <w:t xml:space="preserve">como objetivo general de la organización: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6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“Lograr un crecimiento sostenido y rentable mediante la optimización de los procesos operativos (logística) y el fortalecimiento de la satisfacción y la fidelidad del cliente”. </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6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Alinea la estrategia y la ejecución. Este objetivo conecta la causa (optimización operativa               y fidelidad del cliente), con el efecto (crecimiento rentable); incluye la necesidad de optimizar procesos, para reducir costes y tiempos de entrega y mejorar la relación con el cliente, con el fin de mejorar la satisfacción. Se centra en el resultado final, pues el propósito es asegurar un crecimiento sostenido de las ventas y del margen bruto.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6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Por su parte, los objetivos específicos y KPIs son los siguientes: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60" w:line="288"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Perspectiva Financiera: </w:t>
      </w:r>
    </w:p>
    <w:tbl>
      <w:tblPr>
        <w:tblStyle w:val="Table1"/>
        <w:tblW w:w="9615.0" w:type="dxa"/>
        <w:jc w:val="left"/>
        <w:tblInd w:w="108.0"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000"/>
      </w:tblPr>
      <w:tblGrid>
        <w:gridCol w:w="1530"/>
        <w:gridCol w:w="825"/>
        <w:gridCol w:w="7260"/>
        <w:tblGridChange w:id="0">
          <w:tblGrid>
            <w:gridCol w:w="1530"/>
            <w:gridCol w:w="825"/>
            <w:gridCol w:w="7260"/>
          </w:tblGrid>
        </w:tblGridChange>
      </w:tblGrid>
      <w:tr>
        <w:trPr>
          <w:cantSplit w:val="0"/>
          <w:trHeight w:val="442" w:hRule="atLeast"/>
          <w:tblHeader w:val="0"/>
        </w:trPr>
        <w:tc>
          <w:tcPr>
            <w:vMerge w:val="restart"/>
            <w:tcBorders>
              <w:top w:color="d9d9d9" w:space="0" w:sz="8" w:val="single"/>
              <w:left w:color="d9d9d9" w:space="0" w:sz="8" w:val="single"/>
              <w:bottom w:color="d9d9d9" w:space="0" w:sz="8" w:val="single"/>
              <w:right w:color="d9d9d9" w:space="0" w:sz="8" w:val="single"/>
            </w:tcBorders>
            <w:shd w:fill="f3f3f3" w:val="clear"/>
            <w:tcMar>
              <w:left w:w="0.0" w:type="dxa"/>
              <w:right w:w="0.0" w:type="dxa"/>
            </w:tcM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00" w:line="288" w:lineRule="auto"/>
              <w:jc w:val="center"/>
              <w:rPr>
                <w:rFonts w:ascii="Aptos" w:cs="Aptos" w:eastAsia="Aptos" w:hAnsi="Aptos"/>
                <w:color w:val="000000"/>
                <w:sz w:val="22"/>
                <w:szCs w:val="22"/>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Objetivos específicos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left w:w="0.0" w:type="dxa"/>
              <w:right w:w="0.0" w:type="dxa"/>
            </w:tcM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O1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left w:w="0.0" w:type="dxa"/>
              <w:right w:w="0.0" w:type="dxa"/>
            </w:tcMar>
            <w:vAlign w:val="bottom"/>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Disminuir los costes logísticos</w:t>
            </w:r>
            <w:r w:rsidDel="00000000" w:rsidR="00000000" w:rsidRPr="00000000">
              <w:rPr>
                <w:rtl w:val="0"/>
              </w:rPr>
            </w:r>
          </w:p>
        </w:tc>
      </w:tr>
      <w:tr>
        <w:trPr>
          <w:cantSplit w:val="0"/>
          <w:trHeight w:val="415"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left w:w="0.0" w:type="dxa"/>
              <w:right w:w="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left w:w="0.0" w:type="dxa"/>
              <w:right w:w="0.0" w:type="dxa"/>
            </w:tcMa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O2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left w:w="0.0" w:type="dxa"/>
              <w:right w:w="0.0" w:type="dxa"/>
            </w:tcMar>
            <w:vAlign w:val="bottom"/>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I</w:t>
            </w:r>
            <w:r w:rsidDel="00000000" w:rsidR="00000000" w:rsidRPr="00000000">
              <w:rPr>
                <w:rFonts w:ascii="Arial" w:cs="Arial" w:eastAsia="Arial" w:hAnsi="Arial"/>
                <w:color w:val="000000"/>
                <w:sz w:val="20"/>
                <w:szCs w:val="20"/>
                <w:rtl w:val="0"/>
              </w:rPr>
              <w:t xml:space="preserve">ncrementar las ventas</w:t>
            </w:r>
            <w:r w:rsidDel="00000000" w:rsidR="00000000" w:rsidRPr="00000000">
              <w:rPr>
                <w:rtl w:val="0"/>
              </w:rPr>
            </w:r>
          </w:p>
        </w:tc>
      </w:tr>
      <w:tr>
        <w:trPr>
          <w:cantSplit w:val="0"/>
          <w:trHeight w:val="420"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left w:w="0.0" w:type="dxa"/>
              <w:right w:w="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left w:w="0.0" w:type="dxa"/>
              <w:right w:w="0.0" w:type="dxa"/>
            </w:tcM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O3</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left w:w="0.0" w:type="dxa"/>
              <w:right w:w="0.0" w:type="dxa"/>
            </w:tcMar>
            <w:vAlign w:val="bottom"/>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Mejorar el margen bruto</w:t>
            </w:r>
            <w:r w:rsidDel="00000000" w:rsidR="00000000" w:rsidRPr="00000000">
              <w:rPr>
                <w:rtl w:val="0"/>
              </w:rPr>
            </w:r>
          </w:p>
        </w:tc>
      </w:tr>
      <w:tr>
        <w:trPr>
          <w:cantSplit w:val="0"/>
          <w:trHeight w:val="87" w:hRule="atLeast"/>
          <w:tblHeader w:val="0"/>
        </w:trPr>
        <w:tc>
          <w:tcPr>
            <w:gridSpan w:val="3"/>
            <w:tcBorders>
              <w:top w:color="d9d9d9" w:space="0" w:sz="8" w:val="single"/>
              <w:left w:color="d9d9d9" w:space="0" w:sz="8" w:val="single"/>
              <w:bottom w:color="d9d9d9" w:space="0" w:sz="8" w:val="single"/>
              <w:right w:color="d9d9d9" w:space="0" w:sz="8" w:val="single"/>
            </w:tcBorders>
            <w:tcMar>
              <w:left w:w="0.0" w:type="dxa"/>
              <w:right w:w="0.0" w:type="dxa"/>
            </w:tcMar>
            <w:vAlign w:val="bottom"/>
          </w:tcPr>
          <w:p w:rsidR="00000000" w:rsidDel="00000000" w:rsidP="00000000" w:rsidRDefault="00000000" w:rsidRPr="00000000" w14:paraId="00000018">
            <w:pPr>
              <w:ind w:firstLine="141"/>
              <w:jc w:val="center"/>
              <w:rPr>
                <w:sz w:val="8"/>
                <w:szCs w:val="8"/>
              </w:rPr>
            </w:pPr>
            <w:r w:rsidDel="00000000" w:rsidR="00000000" w:rsidRPr="00000000">
              <w:rPr>
                <w:rtl w:val="0"/>
              </w:rPr>
            </w:r>
          </w:p>
        </w:tc>
      </w:tr>
      <w:tr>
        <w:trPr>
          <w:cantSplit w:val="0"/>
          <w:trHeight w:val="375" w:hRule="atLeast"/>
          <w:tblHeader w:val="0"/>
        </w:trPr>
        <w:tc>
          <w:tcPr>
            <w:vMerge w:val="restart"/>
            <w:tcBorders>
              <w:top w:color="d9d9d9" w:space="0" w:sz="8" w:val="single"/>
              <w:left w:color="d9d9d9" w:space="0" w:sz="8" w:val="single"/>
              <w:bottom w:color="d9d9d9" w:space="0" w:sz="8" w:val="single"/>
              <w:right w:color="d9d9d9" w:space="0" w:sz="8" w:val="single"/>
            </w:tcBorders>
            <w:shd w:fill="f3f3f3" w:val="clear"/>
            <w:tcMar>
              <w:left w:w="0.0" w:type="dxa"/>
              <w:right w:w="0.0" w:type="dxa"/>
            </w:tcMa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00" w:line="288" w:lineRule="auto"/>
              <w:jc w:val="center"/>
              <w:rPr>
                <w:rFonts w:ascii="Aptos" w:cs="Aptos" w:eastAsia="Aptos" w:hAnsi="Aptos"/>
                <w:color w:val="000000"/>
                <w:sz w:val="22"/>
                <w:szCs w:val="22"/>
              </w:rPr>
            </w:pPr>
            <w:r w:rsidDel="00000000" w:rsidR="00000000" w:rsidRPr="00000000">
              <w:rPr>
                <w:rFonts w:ascii="Arial" w:cs="Arial" w:eastAsia="Arial" w:hAnsi="Arial"/>
                <w:i w:val="1"/>
                <w:iCs w:val="1"/>
                <w:color w:val="000000"/>
                <w:sz w:val="20"/>
                <w:szCs w:val="20"/>
                <w:rtl w:val="0"/>
              </w:rPr>
              <w:t xml:space="preserve">KPQS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left w:w="0.0" w:type="dxa"/>
              <w:right w:w="0.0" w:type="dxa"/>
            </w:tcM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KPQ1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left w:w="0.0" w:type="dxa"/>
              <w:right w:w="0.0" w:type="dxa"/>
            </w:tcMar>
            <w:vAlign w:val="bottom"/>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¿Estamos creciendo de manera rentable a pesar del aumento de costes?</w:t>
            </w:r>
            <w:r w:rsidDel="00000000" w:rsidR="00000000" w:rsidRPr="00000000">
              <w:rPr>
                <w:rtl w:val="0"/>
              </w:rPr>
            </w:r>
          </w:p>
        </w:tc>
      </w:tr>
      <w:tr>
        <w:trPr>
          <w:cantSplit w:val="0"/>
          <w:trHeight w:val="472"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left w:w="0.0" w:type="dxa"/>
              <w:right w:w="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left w:w="0.0" w:type="dxa"/>
              <w:right w:w="0.0" w:type="dxa"/>
            </w:tcMa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KPQ2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left w:w="0.0" w:type="dxa"/>
              <w:right w:w="0.0" w:type="dxa"/>
            </w:tcMar>
            <w:vAlign w:val="bottom"/>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¿Cómo incrementamos ventas en los meses de baja estacionalidad?</w:t>
            </w:r>
            <w:r w:rsidDel="00000000" w:rsidR="00000000" w:rsidRPr="00000000">
              <w:rPr>
                <w:rtl w:val="0"/>
              </w:rPr>
            </w:r>
          </w:p>
        </w:tc>
      </w:tr>
      <w:tr>
        <w:trPr>
          <w:cantSplit w:val="0"/>
          <w:trHeight w:val="105" w:hRule="atLeast"/>
          <w:tblHeader w:val="0"/>
        </w:trPr>
        <w:tc>
          <w:tcPr>
            <w:gridSpan w:val="3"/>
            <w:tcBorders>
              <w:top w:color="d9d9d9" w:space="0" w:sz="8" w:val="single"/>
              <w:left w:color="d9d9d9" w:space="0" w:sz="8" w:val="single"/>
              <w:bottom w:color="d9d9d9" w:space="0" w:sz="8" w:val="single"/>
              <w:right w:color="d9d9d9" w:space="0" w:sz="8" w:val="single"/>
            </w:tcBorders>
            <w:tcMar>
              <w:left w:w="0.0" w:type="dxa"/>
              <w:right w:w="0.0" w:type="dxa"/>
            </w:tcMar>
            <w:vAlign w:val="bottom"/>
          </w:tcPr>
          <w:p w:rsidR="00000000" w:rsidDel="00000000" w:rsidP="00000000" w:rsidRDefault="00000000" w:rsidRPr="00000000" w14:paraId="00000021">
            <w:pPr>
              <w:ind w:firstLine="141"/>
              <w:jc w:val="center"/>
              <w:rPr>
                <w:sz w:val="8"/>
                <w:szCs w:val="8"/>
              </w:rPr>
            </w:pPr>
            <w:r w:rsidDel="00000000" w:rsidR="00000000" w:rsidRPr="00000000">
              <w:rPr>
                <w:rtl w:val="0"/>
              </w:rPr>
            </w:r>
          </w:p>
        </w:tc>
      </w:tr>
      <w:tr>
        <w:trPr>
          <w:cantSplit w:val="0"/>
          <w:trHeight w:val="405" w:hRule="atLeast"/>
          <w:tblHeader w:val="0"/>
        </w:trPr>
        <w:tc>
          <w:tcPr>
            <w:vMerge w:val="restart"/>
            <w:tcBorders>
              <w:top w:color="d9d9d9" w:space="0" w:sz="8" w:val="single"/>
              <w:left w:color="d9d9d9" w:space="0" w:sz="8" w:val="single"/>
              <w:bottom w:color="d9d9d9" w:space="0" w:sz="8" w:val="single"/>
              <w:right w:color="d9d9d9" w:space="0" w:sz="8" w:val="single"/>
            </w:tcBorders>
            <w:shd w:fill="f3f3f3" w:val="clear"/>
            <w:tcMar>
              <w:left w:w="0.0" w:type="dxa"/>
              <w:right w:w="0.0" w:type="dxa"/>
            </w:tcMa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2"/>
                <w:szCs w:val="22"/>
              </w:rPr>
            </w:pPr>
            <w:r w:rsidDel="00000000" w:rsidR="00000000" w:rsidRPr="00000000">
              <w:rPr>
                <w:rFonts w:ascii="Arial" w:cs="Arial" w:eastAsia="Arial" w:hAnsi="Arial"/>
                <w:i w:val="1"/>
                <w:iCs w:val="1"/>
                <w:color w:val="000000"/>
                <w:sz w:val="20"/>
                <w:szCs w:val="20"/>
                <w:rtl w:val="0"/>
              </w:rPr>
              <w:t xml:space="preserve">KPIs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left w:w="0.0" w:type="dxa"/>
              <w:right w:w="0.0" w:type="dxa"/>
            </w:tcMa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KPI1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left w:w="0.0" w:type="dxa"/>
              <w:right w:w="0.0" w:type="dxa"/>
            </w:tcMar>
            <w:vAlign w:val="bottom"/>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Evolución costes logísticos como porcentaje de ventas</w:t>
            </w:r>
            <w:r w:rsidDel="00000000" w:rsidR="00000000" w:rsidRPr="00000000">
              <w:rPr>
                <w:rtl w:val="0"/>
              </w:rPr>
            </w:r>
          </w:p>
        </w:tc>
      </w:tr>
      <w:tr>
        <w:trPr>
          <w:cantSplit w:val="0"/>
          <w:trHeight w:val="472"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left w:w="0.0" w:type="dxa"/>
              <w:right w:w="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left w:w="0.0" w:type="dxa"/>
              <w:right w:w="0.0" w:type="dxa"/>
            </w:tcMa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KPI2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left w:w="0.0" w:type="dxa"/>
              <w:right w:w="0.0" w:type="dxa"/>
            </w:tcMar>
            <w:vAlign w:val="bottom"/>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Evolución del margen bruto mensual</w:t>
            </w:r>
            <w:r w:rsidDel="00000000" w:rsidR="00000000" w:rsidRPr="00000000">
              <w:rPr>
                <w:rtl w:val="0"/>
              </w:rPr>
            </w:r>
          </w:p>
        </w:tc>
      </w:tr>
      <w:tr>
        <w:trPr>
          <w:cantSplit w:val="0"/>
          <w:trHeight w:val="360"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left w:w="0.0" w:type="dxa"/>
              <w:right w:w="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6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KPI3</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6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Evolución facturación por ventas mensual</w:t>
            </w:r>
            <w:r w:rsidDel="00000000" w:rsidR="00000000" w:rsidRPr="00000000">
              <w:rPr>
                <w:rtl w:val="0"/>
              </w:rPr>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60" w:line="288"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6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Miden tanto el resultado económico como la eficiencia en la generación de ingresos.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60" w:line="288"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Perspectiva Clientes: </w:t>
      </w:r>
    </w:p>
    <w:tbl>
      <w:tblPr>
        <w:tblStyle w:val="Table2"/>
        <w:tblW w:w="9612.0" w:type="dxa"/>
        <w:jc w:val="left"/>
        <w:tblInd w:w="108.0"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000"/>
      </w:tblPr>
      <w:tblGrid>
        <w:gridCol w:w="1617"/>
        <w:gridCol w:w="805"/>
        <w:gridCol w:w="7190"/>
        <w:tblGridChange w:id="0">
          <w:tblGrid>
            <w:gridCol w:w="1617"/>
            <w:gridCol w:w="805"/>
            <w:gridCol w:w="7190"/>
          </w:tblGrid>
        </w:tblGridChange>
      </w:tblGrid>
      <w:tr>
        <w:trPr>
          <w:cantSplit w:val="0"/>
          <w:trHeight w:val="405" w:hRule="atLeast"/>
          <w:tblHeader w:val="0"/>
        </w:trPr>
        <w:tc>
          <w:tcPr>
            <w:vMerge w:val="restart"/>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0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Objetivos específicos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O1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Mejora en la calidad percibida</w:t>
            </w:r>
            <w:r w:rsidDel="00000000" w:rsidR="00000000" w:rsidRPr="00000000">
              <w:rPr>
                <w:rtl w:val="0"/>
              </w:rPr>
            </w:r>
          </w:p>
        </w:tc>
      </w:tr>
      <w:tr>
        <w:trPr>
          <w:cantSplit w:val="0"/>
          <w:trHeight w:val="420"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O2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Mejorar la comunicación de información a los clientes</w:t>
            </w:r>
            <w:r w:rsidDel="00000000" w:rsidR="00000000" w:rsidRPr="00000000">
              <w:rPr>
                <w:rtl w:val="0"/>
              </w:rPr>
            </w:r>
          </w:p>
        </w:tc>
      </w:tr>
      <w:tr>
        <w:trPr>
          <w:cantSplit w:val="0"/>
          <w:tblHeader w:val="0"/>
        </w:trPr>
        <w:tc>
          <w:tcPr>
            <w:gridSpan w:val="3"/>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36">
            <w:pPr>
              <w:ind w:firstLine="141"/>
              <w:jc w:val="center"/>
              <w:rPr>
                <w:sz w:val="8"/>
                <w:szCs w:val="8"/>
              </w:rPr>
            </w:pPr>
            <w:r w:rsidDel="00000000" w:rsidR="00000000" w:rsidRPr="00000000">
              <w:rPr>
                <w:rtl w:val="0"/>
              </w:rPr>
            </w:r>
          </w:p>
        </w:tc>
      </w:tr>
      <w:tr>
        <w:trPr>
          <w:cantSplit w:val="0"/>
          <w:trHeight w:val="405" w:hRule="atLeast"/>
          <w:tblHeader w:val="0"/>
        </w:trPr>
        <w:tc>
          <w:tcPr>
            <w:vMerge w:val="restart"/>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00" w:line="288" w:lineRule="auto"/>
              <w:jc w:val="center"/>
              <w:rPr>
                <w:rFonts w:ascii="Aptos" w:cs="Aptos" w:eastAsia="Aptos" w:hAnsi="Aptos"/>
                <w:color w:val="000000"/>
                <w:sz w:val="20"/>
                <w:szCs w:val="20"/>
              </w:rPr>
            </w:pPr>
            <w:r w:rsidDel="00000000" w:rsidR="00000000" w:rsidRPr="00000000">
              <w:rPr>
                <w:rFonts w:ascii="Arial" w:cs="Arial" w:eastAsia="Arial" w:hAnsi="Arial"/>
                <w:i w:val="1"/>
                <w:iCs w:val="1"/>
                <w:color w:val="000000"/>
                <w:sz w:val="20"/>
                <w:szCs w:val="20"/>
                <w:rtl w:val="0"/>
              </w:rPr>
              <w:t xml:space="preserve">KPQS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KPQ1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3B">
            <w:pPr>
              <w:keepNext w:val="1"/>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¿Qué indicador indica si los clientes dejan de comprar o si están contentos?</w:t>
            </w:r>
            <w:r w:rsidDel="00000000" w:rsidR="00000000" w:rsidRPr="00000000">
              <w:rPr>
                <w:rtl w:val="0"/>
              </w:rPr>
            </w:r>
          </w:p>
        </w:tc>
      </w:tr>
      <w:tr>
        <w:trPr>
          <w:cantSplit w:val="0"/>
          <w:trHeight w:val="420"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KPQ2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¿Cuál es el nivel de lealtad de nuestra cartera de clientes?</w:t>
            </w:r>
            <w:r w:rsidDel="00000000" w:rsidR="00000000" w:rsidRPr="00000000">
              <w:rPr>
                <w:rtl w:val="0"/>
              </w:rPr>
            </w:r>
          </w:p>
        </w:tc>
      </w:tr>
      <w:tr>
        <w:trPr>
          <w:cantSplit w:val="0"/>
          <w:trHeight w:val="420"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KPQ3</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¿Mis clientes me recomendarían?</w:t>
            </w:r>
            <w:r w:rsidDel="00000000" w:rsidR="00000000" w:rsidRPr="00000000">
              <w:rPr>
                <w:rtl w:val="0"/>
              </w:rPr>
            </w:r>
          </w:p>
        </w:tc>
      </w:tr>
      <w:tr>
        <w:trPr>
          <w:cantSplit w:val="0"/>
          <w:trHeight w:val="80" w:hRule="atLeast"/>
          <w:tblHeader w:val="0"/>
        </w:trPr>
        <w:tc>
          <w:tcPr>
            <w:gridSpan w:val="3"/>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42">
            <w:pPr>
              <w:ind w:firstLine="141"/>
              <w:jc w:val="center"/>
              <w:rPr>
                <w:sz w:val="8"/>
                <w:szCs w:val="8"/>
              </w:rPr>
            </w:pPr>
            <w:r w:rsidDel="00000000" w:rsidR="00000000" w:rsidRPr="00000000">
              <w:rPr>
                <w:rtl w:val="0"/>
              </w:rPr>
            </w:r>
          </w:p>
        </w:tc>
      </w:tr>
      <w:tr>
        <w:trPr>
          <w:cantSplit w:val="0"/>
          <w:trHeight w:val="390" w:hRule="atLeast"/>
          <w:tblHeader w:val="0"/>
        </w:trPr>
        <w:tc>
          <w:tcPr>
            <w:vMerge w:val="restart"/>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i w:val="1"/>
                <w:iCs w:val="1"/>
                <w:color w:val="000000"/>
                <w:sz w:val="20"/>
                <w:szCs w:val="20"/>
                <w:rtl w:val="0"/>
              </w:rPr>
              <w:t xml:space="preserve">KPIs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KPI1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Valoración percibida de la claridad en la información</w:t>
            </w:r>
            <w:r w:rsidDel="00000000" w:rsidR="00000000" w:rsidRPr="00000000">
              <w:rPr>
                <w:rtl w:val="0"/>
              </w:rPr>
            </w:r>
          </w:p>
        </w:tc>
      </w:tr>
      <w:tr>
        <w:trPr>
          <w:cantSplit w:val="0"/>
          <w:trHeight w:val="405"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KPI2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Índice de Satisfacción General del Cliente</w:t>
            </w:r>
            <w:r w:rsidDel="00000000" w:rsidR="00000000" w:rsidRPr="00000000">
              <w:rPr>
                <w:rtl w:val="0"/>
              </w:rPr>
            </w:r>
          </w:p>
        </w:tc>
      </w:tr>
      <w:tr>
        <w:trPr>
          <w:cantSplit w:val="0"/>
          <w:trHeight w:val="345"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6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KPI3</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3.0" w:type="dxa"/>
              <w:left w:w="-113.0" w:type="dxa"/>
              <w:bottom w:w="-113.0" w:type="dxa"/>
              <w:right w:w="-113.0" w:type="dxa"/>
            </w:tcM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6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NPS: Net Promoter Score</w:t>
            </w:r>
            <w:r w:rsidDel="00000000" w:rsidR="00000000" w:rsidRPr="00000000">
              <w:rPr>
                <w:rtl w:val="0"/>
              </w:rPr>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00" w:line="288" w:lineRule="auto"/>
        <w:ind w:firstLine="720"/>
        <w:jc w:val="both"/>
        <w:rPr>
          <w:rFonts w:ascii="Arial" w:cs="Arial" w:eastAsia="Arial" w:hAnsi="Arial"/>
          <w:color w:val="000000"/>
          <w:sz w:val="22"/>
          <w:szCs w:val="22"/>
        </w:rPr>
      </w:pPr>
      <w:r w:rsidDel="00000000" w:rsidR="00000000" w:rsidRPr="00000000">
        <w:rPr>
          <w:rFonts w:ascii="Arial" w:cs="Arial" w:eastAsia="Arial" w:hAnsi="Arial"/>
          <w:sz w:val="14"/>
          <w:szCs w:val="14"/>
          <w:rtl w:val="0"/>
        </w:rPr>
        <w:br w:type="textWrapping"/>
        <w:tab/>
      </w:r>
      <w:r w:rsidDel="00000000" w:rsidR="00000000" w:rsidRPr="00000000">
        <w:rPr>
          <w:rFonts w:ascii="Arial" w:cs="Arial" w:eastAsia="Arial" w:hAnsi="Arial"/>
          <w:color w:val="000000"/>
          <w:sz w:val="22"/>
          <w:szCs w:val="22"/>
          <w:rtl w:val="0"/>
        </w:rPr>
        <w:t xml:space="preserve">Miden el fortalecimiento de la fidelidad del cliente. El índice de satisfacción del cliente y las valoraciones de los tiempos/información son esenciales para evaluar la percepción de la calidad. </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60" w:line="288" w:lineRule="auto"/>
        <w:jc w:val="both"/>
        <w:rPr>
          <w:rFonts w:ascii="Arial" w:cs="Arial" w:eastAsia="Arial" w:hAnsi="Arial"/>
          <w:b w:val="1"/>
          <w:bCs w:val="1"/>
          <w:color w:val="000000"/>
          <w:sz w:val="22"/>
          <w:szCs w:val="22"/>
        </w:rPr>
      </w:pPr>
      <w:r w:rsidDel="00000000" w:rsidR="00000000" w:rsidRPr="00000000">
        <w:rPr>
          <w:rFonts w:ascii="Arial" w:cs="Arial" w:eastAsia="Arial" w:hAnsi="Arial"/>
          <w:color w:val="000000"/>
          <w:sz w:val="22"/>
          <w:szCs w:val="22"/>
          <w:rtl w:val="0"/>
        </w:rPr>
        <w:br w:type="textWrapping"/>
      </w:r>
      <w:r w:rsidDel="00000000" w:rsidR="00000000" w:rsidRPr="00000000">
        <w:rPr>
          <w:rFonts w:ascii="Arial" w:cs="Arial" w:eastAsia="Arial" w:hAnsi="Arial"/>
          <w:b w:val="1"/>
          <w:bCs w:val="1"/>
          <w:color w:val="000000"/>
          <w:sz w:val="22"/>
          <w:szCs w:val="22"/>
          <w:rtl w:val="0"/>
        </w:rPr>
        <w:t xml:space="preserve">Perspectiva Procesos Internos: </w:t>
      </w:r>
    </w:p>
    <w:tbl>
      <w:tblPr>
        <w:tblStyle w:val="Table3"/>
        <w:tblW w:w="9612.0" w:type="dxa"/>
        <w:jc w:val="left"/>
        <w:tblInd w:w="108.0"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000"/>
      </w:tblPr>
      <w:tblGrid>
        <w:gridCol w:w="1617"/>
        <w:gridCol w:w="805"/>
        <w:gridCol w:w="7190"/>
        <w:tblGridChange w:id="0">
          <w:tblGrid>
            <w:gridCol w:w="1617"/>
            <w:gridCol w:w="805"/>
            <w:gridCol w:w="7190"/>
          </w:tblGrid>
        </w:tblGridChange>
      </w:tblGrid>
      <w:tr>
        <w:trPr>
          <w:cantSplit w:val="0"/>
          <w:trHeight w:val="375" w:hRule="atLeast"/>
          <w:tblHeader w:val="0"/>
        </w:trPr>
        <w:tc>
          <w:tcPr>
            <w:vMerge w:val="restart"/>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0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Objetivos específicos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O1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Reducir el tiempo de entrega de los pedidos.</w:t>
            </w:r>
            <w:r w:rsidDel="00000000" w:rsidR="00000000" w:rsidRPr="00000000">
              <w:rPr>
                <w:rtl w:val="0"/>
              </w:rPr>
            </w:r>
          </w:p>
        </w:tc>
      </w:tr>
      <w:tr>
        <w:trPr>
          <w:cantSplit w:val="0"/>
          <w:trHeight w:val="480"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O2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Aumentar la eficacia en la preparación y despacho de pedidos</w:t>
            </w:r>
            <w:r w:rsidDel="00000000" w:rsidR="00000000" w:rsidRPr="00000000">
              <w:rPr>
                <w:rtl w:val="0"/>
              </w:rPr>
            </w:r>
          </w:p>
        </w:tc>
      </w:tr>
      <w:tr>
        <w:trPr>
          <w:cantSplit w:val="0"/>
          <w:trHeight w:val="15" w:hRule="atLeast"/>
          <w:tblHeader w:val="0"/>
        </w:trPr>
        <w:tc>
          <w:tcPr>
            <w:gridSpan w:val="3"/>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56">
            <w:pPr>
              <w:jc w:val="center"/>
              <w:rPr>
                <w:sz w:val="8"/>
                <w:szCs w:val="8"/>
              </w:rPr>
            </w:pPr>
            <w:r w:rsidDel="00000000" w:rsidR="00000000" w:rsidRPr="00000000">
              <w:rPr>
                <w:rtl w:val="0"/>
              </w:rPr>
            </w:r>
          </w:p>
        </w:tc>
      </w:tr>
      <w:tr>
        <w:trPr>
          <w:cantSplit w:val="0"/>
          <w:trHeight w:val="360" w:hRule="atLeast"/>
          <w:tblHeader w:val="0"/>
        </w:trPr>
        <w:tc>
          <w:tcPr>
            <w:vMerge w:val="restart"/>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00" w:line="288" w:lineRule="auto"/>
              <w:jc w:val="center"/>
              <w:rPr>
                <w:rFonts w:ascii="Aptos" w:cs="Aptos" w:eastAsia="Aptos" w:hAnsi="Aptos"/>
                <w:color w:val="000000"/>
                <w:sz w:val="20"/>
                <w:szCs w:val="20"/>
              </w:rPr>
            </w:pPr>
            <w:r w:rsidDel="00000000" w:rsidR="00000000" w:rsidRPr="00000000">
              <w:rPr>
                <w:rFonts w:ascii="Arial" w:cs="Arial" w:eastAsia="Arial" w:hAnsi="Arial"/>
                <w:i w:val="1"/>
                <w:iCs w:val="1"/>
                <w:color w:val="000000"/>
                <w:sz w:val="20"/>
                <w:szCs w:val="20"/>
                <w:rtl w:val="0"/>
              </w:rPr>
              <w:t xml:space="preserve">KPQS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KPQ1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¿Estamos diferenciando entre pedidos online y pedidos offline?</w:t>
            </w:r>
            <w:r w:rsidDel="00000000" w:rsidR="00000000" w:rsidRPr="00000000">
              <w:rPr>
                <w:rtl w:val="0"/>
              </w:rPr>
            </w:r>
          </w:p>
        </w:tc>
      </w:tr>
      <w:tr>
        <w:trPr>
          <w:cantSplit w:val="0"/>
          <w:trHeight w:val="435"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KPQ2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¿Estamos cumpliendo con la fiabilidad prometida en cada canal de venta?</w:t>
            </w:r>
            <w:r w:rsidDel="00000000" w:rsidR="00000000" w:rsidRPr="00000000">
              <w:rPr>
                <w:rtl w:val="0"/>
              </w:rPr>
            </w:r>
          </w:p>
        </w:tc>
      </w:tr>
      <w:tr>
        <w:trPr>
          <w:cantSplit w:val="0"/>
          <w:trHeight w:val="405"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KPQ3</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¿Estamos rompiendo stocks cuando la temporalidad sube?</w:t>
            </w:r>
            <w:r w:rsidDel="00000000" w:rsidR="00000000" w:rsidRPr="00000000">
              <w:rPr>
                <w:rtl w:val="0"/>
              </w:rPr>
            </w:r>
          </w:p>
        </w:tc>
      </w:tr>
      <w:tr>
        <w:trPr>
          <w:cantSplit w:val="0"/>
          <w:tblHeader w:val="0"/>
        </w:trPr>
        <w:tc>
          <w:tcPr>
            <w:gridSpan w:val="3"/>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62">
            <w:pPr>
              <w:ind w:firstLine="141"/>
              <w:jc w:val="center"/>
              <w:rPr>
                <w:sz w:val="8"/>
                <w:szCs w:val="8"/>
              </w:rPr>
            </w:pPr>
            <w:r w:rsidDel="00000000" w:rsidR="00000000" w:rsidRPr="00000000">
              <w:rPr>
                <w:rtl w:val="0"/>
              </w:rPr>
            </w:r>
          </w:p>
        </w:tc>
      </w:tr>
      <w:tr>
        <w:trPr>
          <w:cantSplit w:val="0"/>
          <w:trHeight w:val="480" w:hRule="atLeast"/>
          <w:tblHeader w:val="0"/>
        </w:trPr>
        <w:tc>
          <w:tcPr>
            <w:vMerge w:val="restart"/>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i w:val="1"/>
                <w:iCs w:val="1"/>
                <w:color w:val="000000"/>
                <w:sz w:val="20"/>
                <w:szCs w:val="20"/>
                <w:rtl w:val="0"/>
              </w:rPr>
              <w:t xml:space="preserve">KPIs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KPI1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Porcentaje de pedidos sin errores/defectos</w:t>
            </w:r>
            <w:r w:rsidDel="00000000" w:rsidR="00000000" w:rsidRPr="00000000">
              <w:rPr>
                <w:rtl w:val="0"/>
              </w:rPr>
            </w:r>
          </w:p>
        </w:tc>
      </w:tr>
      <w:tr>
        <w:trPr>
          <w:cantSplit w:val="0"/>
          <w:trHeight w:val="472"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KPI2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60" w:line="288" w:lineRule="auto"/>
              <w:ind w:firstLine="141"/>
              <w:jc w:val="both"/>
              <w:rPr>
                <w:rFonts w:ascii="Aptos" w:cs="Aptos" w:eastAsia="Aptos" w:hAnsi="Aptos"/>
                <w:color w:val="000000"/>
                <w:sz w:val="20"/>
                <w:szCs w:val="20"/>
              </w:rPr>
            </w:pPr>
            <w:r w:rsidDel="00000000" w:rsidR="00000000" w:rsidRPr="00000000">
              <w:rPr>
                <w:rFonts w:ascii="Arial" w:cs="Arial" w:eastAsia="Arial" w:hAnsi="Arial"/>
                <w:color w:val="000000"/>
                <w:sz w:val="20"/>
                <w:szCs w:val="20"/>
                <w:rtl w:val="0"/>
              </w:rPr>
              <w:t xml:space="preserve">Días medios de entrega de pedido</w:t>
            </w:r>
            <w:r w:rsidDel="00000000" w:rsidR="00000000" w:rsidRPr="00000000">
              <w:rPr>
                <w:rtl w:val="0"/>
              </w:rPr>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60" w:line="288" w:lineRule="auto"/>
        <w:jc w:val="both"/>
        <w:rPr>
          <w:rFonts w:ascii="Arial" w:cs="Arial" w:eastAsia="Arial" w:hAnsi="Arial"/>
          <w:color w:val="000000"/>
          <w:sz w:val="2"/>
          <w:szCs w:val="2"/>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88"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22"/>
          <w:szCs w:val="22"/>
          <w:rtl w:val="0"/>
        </w:rPr>
        <w:tab/>
        <w:t xml:space="preserve">Miden la eficiencia operativa y abordan el posible aumento de los tiempos de entrega y costos. El KPI</w:t>
      </w:r>
      <w:r w:rsidDel="00000000" w:rsidR="00000000" w:rsidRPr="00000000">
        <w:rPr>
          <w:rFonts w:ascii="Arial" w:cs="Arial" w:eastAsia="Arial" w:hAnsi="Arial"/>
          <w:sz w:val="22"/>
          <w:szCs w:val="22"/>
          <w:rtl w:val="0"/>
        </w:rPr>
        <w:t xml:space="preserve">1</w:t>
      </w:r>
      <w:r w:rsidDel="00000000" w:rsidR="00000000" w:rsidRPr="00000000">
        <w:rPr>
          <w:rFonts w:ascii="Arial" w:cs="Arial" w:eastAsia="Arial" w:hAnsi="Arial"/>
          <w:color w:val="000000"/>
          <w:sz w:val="22"/>
          <w:szCs w:val="22"/>
          <w:rtl w:val="0"/>
        </w:rPr>
        <w:t xml:space="preserve"> mide la calidad, pues los defectos y errores son causa directa de la insatisfacción del cliente y de los costes logísticos. </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88" w:lineRule="auto"/>
        <w:jc w:val="both"/>
        <w:rPr>
          <w:rFonts w:ascii="Arial" w:cs="Arial" w:eastAsia="Arial" w:hAnsi="Arial"/>
          <w:sz w:val="2"/>
          <w:szCs w:val="2"/>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288"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Perspectiva Aprendizaje y Conocimiento: </w:t>
      </w:r>
      <w:r w:rsidDel="00000000" w:rsidR="00000000" w:rsidRPr="00000000">
        <w:rPr>
          <w:rtl w:val="0"/>
        </w:rPr>
      </w:r>
    </w:p>
    <w:tbl>
      <w:tblPr>
        <w:tblStyle w:val="Table4"/>
        <w:tblW w:w="9612.0" w:type="dxa"/>
        <w:jc w:val="left"/>
        <w:tblInd w:w="108.0"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000"/>
      </w:tblPr>
      <w:tblGrid>
        <w:gridCol w:w="1617"/>
        <w:gridCol w:w="805"/>
        <w:gridCol w:w="7190"/>
        <w:tblGridChange w:id="0">
          <w:tblGrid>
            <w:gridCol w:w="1617"/>
            <w:gridCol w:w="805"/>
            <w:gridCol w:w="7190"/>
          </w:tblGrid>
        </w:tblGridChange>
      </w:tblGrid>
      <w:tr>
        <w:trPr>
          <w:cantSplit w:val="0"/>
          <w:trHeight w:val="472" w:hRule="atLeast"/>
          <w:tblHeader w:val="0"/>
        </w:trPr>
        <w:tc>
          <w:tcPr>
            <w:vMerge w:val="restart"/>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00" w:line="288" w:lineRule="auto"/>
              <w:jc w:val="center"/>
              <w:rPr>
                <w:rFonts w:ascii="Aptos" w:cs="Aptos" w:eastAsia="Aptos" w:hAnsi="Aptos"/>
                <w:color w:val="000000"/>
                <w:sz w:val="22"/>
                <w:szCs w:val="22"/>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Objetivos específicos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80" w:line="288" w:lineRule="auto"/>
              <w:ind w:left="90" w:hanging="135"/>
              <w:jc w:val="center"/>
              <w:rPr>
                <w:rFonts w:ascii="Aptos" w:cs="Aptos" w:eastAsia="Aptos" w:hAnsi="Aptos"/>
                <w:color w:val="000000"/>
                <w:sz w:val="22"/>
                <w:szCs w:val="22"/>
              </w:rPr>
            </w:pPr>
            <w:r w:rsidDel="00000000" w:rsidR="00000000" w:rsidRPr="00000000">
              <w:rPr>
                <w:rFonts w:ascii="Arial" w:cs="Arial" w:eastAsia="Arial" w:hAnsi="Arial"/>
                <w:color w:val="000000"/>
                <w:sz w:val="20"/>
                <w:szCs w:val="20"/>
                <w:rtl w:val="0"/>
              </w:rPr>
              <w:t xml:space="preserve">O1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2"/>
                <w:szCs w:val="22"/>
              </w:rPr>
            </w:pPr>
            <w:r w:rsidDel="00000000" w:rsidR="00000000" w:rsidRPr="00000000">
              <w:rPr>
                <w:rFonts w:ascii="Arial" w:cs="Arial" w:eastAsia="Arial" w:hAnsi="Arial"/>
                <w:color w:val="000000"/>
                <w:sz w:val="20"/>
                <w:szCs w:val="20"/>
                <w:rtl w:val="0"/>
              </w:rPr>
              <w:t xml:space="preserve">Implementación formación digital y su uso.</w:t>
            </w:r>
            <w:r w:rsidDel="00000000" w:rsidR="00000000" w:rsidRPr="00000000">
              <w:rPr>
                <w:rtl w:val="0"/>
              </w:rPr>
            </w:r>
          </w:p>
        </w:tc>
      </w:tr>
      <w:tr>
        <w:trPr>
          <w:cantSplit w:val="0"/>
          <w:trHeight w:val="405"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80" w:line="288" w:lineRule="auto"/>
              <w:ind w:left="90" w:hanging="135"/>
              <w:jc w:val="center"/>
              <w:rPr>
                <w:rFonts w:ascii="Aptos" w:cs="Aptos" w:eastAsia="Aptos" w:hAnsi="Aptos"/>
                <w:color w:val="000000"/>
                <w:sz w:val="22"/>
                <w:szCs w:val="22"/>
              </w:rPr>
            </w:pPr>
            <w:r w:rsidDel="00000000" w:rsidR="00000000" w:rsidRPr="00000000">
              <w:rPr>
                <w:rFonts w:ascii="Arial" w:cs="Arial" w:eastAsia="Arial" w:hAnsi="Arial"/>
                <w:color w:val="000000"/>
                <w:sz w:val="20"/>
                <w:szCs w:val="20"/>
                <w:rtl w:val="0"/>
              </w:rPr>
              <w:t xml:space="preserve">O2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bottom"/>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line="288" w:lineRule="auto"/>
              <w:ind w:firstLine="141"/>
              <w:jc w:val="both"/>
              <w:rPr>
                <w:rFonts w:ascii="Aptos" w:cs="Aptos" w:eastAsia="Aptos" w:hAnsi="Aptos"/>
                <w:color w:val="000000"/>
                <w:sz w:val="22"/>
                <w:szCs w:val="22"/>
              </w:rPr>
            </w:pPr>
            <w:r w:rsidDel="00000000" w:rsidR="00000000" w:rsidRPr="00000000">
              <w:rPr>
                <w:rFonts w:ascii="Arial" w:cs="Arial" w:eastAsia="Arial" w:hAnsi="Arial"/>
                <w:color w:val="000000"/>
                <w:sz w:val="20"/>
                <w:szCs w:val="20"/>
                <w:rtl w:val="0"/>
              </w:rPr>
              <w:t xml:space="preserve">Fortalecer las capacidades técnicas y digitales de la plantilla</w:t>
            </w:r>
            <w:r w:rsidDel="00000000" w:rsidR="00000000" w:rsidRPr="00000000">
              <w:rPr>
                <w:rtl w:val="0"/>
              </w:rPr>
            </w:r>
          </w:p>
        </w:tc>
      </w:tr>
      <w:tr>
        <w:trPr>
          <w:cantSplit w:val="0"/>
          <w:trHeight w:val="76" w:hRule="atLeast"/>
          <w:tblHeader w:val="0"/>
        </w:trPr>
        <w:tc>
          <w:tcPr>
            <w:gridSpan w:val="3"/>
            <w:tcBorders>
              <w:top w:color="d9d9d9" w:space="0" w:sz="8" w:val="single"/>
              <w:left w:color="d9d9d9" w:space="0" w:sz="8" w:val="single"/>
              <w:bottom w:color="d9d9d9" w:space="0" w:sz="8" w:val="single"/>
              <w:right w:color="d9d9d9" w:space="0" w:sz="8" w:val="single"/>
            </w:tcBorders>
            <w:tcMar>
              <w:top w:w="0.0" w:type="dxa"/>
              <w:left w:w="0.0" w:type="dxa"/>
              <w:bottom w:w="0.0" w:type="dxa"/>
              <w:right w:w="0.0" w:type="dxa"/>
            </w:tcMar>
            <w:vAlign w:val="center"/>
          </w:tcPr>
          <w:p w:rsidR="00000000" w:rsidDel="00000000" w:rsidP="00000000" w:rsidRDefault="00000000" w:rsidRPr="00000000" w14:paraId="00000075">
            <w:pPr>
              <w:ind w:left="90" w:hanging="135"/>
              <w:jc w:val="center"/>
              <w:rPr>
                <w:sz w:val="8"/>
                <w:szCs w:val="8"/>
              </w:rPr>
            </w:pPr>
            <w:r w:rsidDel="00000000" w:rsidR="00000000" w:rsidRPr="00000000">
              <w:rPr>
                <w:rtl w:val="0"/>
              </w:rPr>
            </w:r>
          </w:p>
        </w:tc>
      </w:tr>
      <w:tr>
        <w:trPr>
          <w:cantSplit w:val="0"/>
          <w:trHeight w:val="472" w:hRule="atLeast"/>
          <w:tblHeader w:val="0"/>
        </w:trPr>
        <w:tc>
          <w:tcPr>
            <w:vMerge w:val="restart"/>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00" w:line="288" w:lineRule="auto"/>
              <w:jc w:val="center"/>
              <w:rPr>
                <w:rFonts w:ascii="Aptos" w:cs="Aptos" w:eastAsia="Aptos" w:hAnsi="Aptos"/>
                <w:color w:val="000000"/>
                <w:sz w:val="22"/>
                <w:szCs w:val="22"/>
              </w:rPr>
            </w:pPr>
            <w:r w:rsidDel="00000000" w:rsidR="00000000" w:rsidRPr="00000000">
              <w:rPr>
                <w:rFonts w:ascii="Arial" w:cs="Arial" w:eastAsia="Arial" w:hAnsi="Arial"/>
                <w:i w:val="1"/>
                <w:iCs w:val="1"/>
                <w:color w:val="000000"/>
                <w:sz w:val="20"/>
                <w:szCs w:val="20"/>
                <w:rtl w:val="0"/>
              </w:rPr>
              <w:t xml:space="preserve">KPQS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80" w:line="288" w:lineRule="auto"/>
              <w:ind w:left="90" w:hanging="135"/>
              <w:jc w:val="center"/>
              <w:rPr>
                <w:rFonts w:ascii="Aptos" w:cs="Aptos" w:eastAsia="Aptos" w:hAnsi="Aptos"/>
                <w:color w:val="000000"/>
                <w:sz w:val="22"/>
                <w:szCs w:val="22"/>
              </w:rPr>
            </w:pPr>
            <w:r w:rsidDel="00000000" w:rsidR="00000000" w:rsidRPr="00000000">
              <w:rPr>
                <w:rFonts w:ascii="Arial" w:cs="Arial" w:eastAsia="Arial" w:hAnsi="Arial"/>
                <w:color w:val="000000"/>
                <w:sz w:val="20"/>
                <w:szCs w:val="20"/>
                <w:rtl w:val="0"/>
              </w:rPr>
              <w:t xml:space="preserve">KPQ1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2"/>
                <w:szCs w:val="22"/>
              </w:rPr>
            </w:pPr>
            <w:r w:rsidDel="00000000" w:rsidR="00000000" w:rsidRPr="00000000">
              <w:rPr>
                <w:rFonts w:ascii="Arial" w:cs="Arial" w:eastAsia="Arial" w:hAnsi="Arial"/>
                <w:color w:val="000000"/>
                <w:sz w:val="20"/>
                <w:szCs w:val="20"/>
                <w:rtl w:val="0"/>
              </w:rPr>
              <w:t xml:space="preserve">¿Qué porcentaje de la plantilla tiene competencias digitales?</w:t>
            </w:r>
            <w:r w:rsidDel="00000000" w:rsidR="00000000" w:rsidRPr="00000000">
              <w:rPr>
                <w:rtl w:val="0"/>
              </w:rPr>
            </w:r>
          </w:p>
        </w:tc>
      </w:tr>
      <w:tr>
        <w:trPr>
          <w:cantSplit w:val="0"/>
          <w:trHeight w:val="390"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80" w:line="288" w:lineRule="auto"/>
              <w:ind w:left="90" w:hanging="135"/>
              <w:jc w:val="center"/>
              <w:rPr>
                <w:rFonts w:ascii="Aptos" w:cs="Aptos" w:eastAsia="Aptos" w:hAnsi="Aptos"/>
                <w:color w:val="000000"/>
                <w:sz w:val="22"/>
                <w:szCs w:val="22"/>
              </w:rPr>
            </w:pPr>
            <w:r w:rsidDel="00000000" w:rsidR="00000000" w:rsidRPr="00000000">
              <w:rPr>
                <w:rFonts w:ascii="Arial" w:cs="Arial" w:eastAsia="Arial" w:hAnsi="Arial"/>
                <w:color w:val="000000"/>
                <w:sz w:val="20"/>
                <w:szCs w:val="20"/>
                <w:rtl w:val="0"/>
              </w:rPr>
              <w:t xml:space="preserve">KPQ2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60" w:line="288" w:lineRule="auto"/>
              <w:ind w:firstLine="141"/>
              <w:jc w:val="both"/>
              <w:rPr>
                <w:rFonts w:ascii="Aptos" w:cs="Aptos" w:eastAsia="Aptos" w:hAnsi="Aptos"/>
                <w:color w:val="000000"/>
                <w:sz w:val="22"/>
                <w:szCs w:val="22"/>
              </w:rPr>
            </w:pPr>
            <w:r w:rsidDel="00000000" w:rsidR="00000000" w:rsidRPr="00000000">
              <w:rPr>
                <w:rFonts w:ascii="Arial" w:cs="Arial" w:eastAsia="Arial" w:hAnsi="Arial"/>
                <w:color w:val="000000"/>
                <w:sz w:val="20"/>
                <w:szCs w:val="20"/>
                <w:rtl w:val="0"/>
              </w:rPr>
              <w:t xml:space="preserve">¿Qué cantidad de empleados utilizan las herramientas corporativas?</w:t>
            </w:r>
            <w:r w:rsidDel="00000000" w:rsidR="00000000" w:rsidRPr="00000000">
              <w:rPr>
                <w:rtl w:val="0"/>
              </w:rPr>
            </w:r>
          </w:p>
        </w:tc>
      </w:tr>
      <w:tr>
        <w:trPr>
          <w:cantSplit w:val="0"/>
          <w:tblHeader w:val="0"/>
        </w:trPr>
        <w:tc>
          <w:tcPr>
            <w:gridSpan w:val="3"/>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7E">
            <w:pPr>
              <w:ind w:left="90" w:hanging="135"/>
              <w:jc w:val="center"/>
              <w:rPr>
                <w:sz w:val="8"/>
                <w:szCs w:val="8"/>
              </w:rPr>
            </w:pPr>
            <w:r w:rsidDel="00000000" w:rsidR="00000000" w:rsidRPr="00000000">
              <w:rPr>
                <w:rtl w:val="0"/>
              </w:rPr>
            </w:r>
          </w:p>
        </w:tc>
      </w:tr>
      <w:tr>
        <w:trPr>
          <w:cantSplit w:val="0"/>
          <w:trHeight w:val="420" w:hRule="atLeast"/>
          <w:tblHeader w:val="0"/>
        </w:trPr>
        <w:tc>
          <w:tcPr>
            <w:vMerge w:val="restart"/>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80" w:line="288" w:lineRule="auto"/>
              <w:jc w:val="center"/>
              <w:rPr>
                <w:rFonts w:ascii="Aptos" w:cs="Aptos" w:eastAsia="Aptos" w:hAnsi="Aptos"/>
                <w:color w:val="000000"/>
                <w:sz w:val="22"/>
                <w:szCs w:val="22"/>
              </w:rPr>
            </w:pPr>
            <w:r w:rsidDel="00000000" w:rsidR="00000000" w:rsidRPr="00000000">
              <w:rPr>
                <w:rFonts w:ascii="Arial" w:cs="Arial" w:eastAsia="Arial" w:hAnsi="Arial"/>
                <w:i w:val="1"/>
                <w:iCs w:val="1"/>
                <w:color w:val="000000"/>
                <w:sz w:val="20"/>
                <w:szCs w:val="20"/>
                <w:rtl w:val="0"/>
              </w:rPr>
              <w:t xml:space="preserve">KPIs</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80" w:line="288" w:lineRule="auto"/>
              <w:ind w:left="90" w:hanging="135"/>
              <w:jc w:val="center"/>
              <w:rPr>
                <w:rFonts w:ascii="Aptos" w:cs="Aptos" w:eastAsia="Aptos" w:hAnsi="Aptos"/>
                <w:color w:val="000000"/>
                <w:sz w:val="22"/>
                <w:szCs w:val="22"/>
              </w:rPr>
            </w:pPr>
            <w:r w:rsidDel="00000000" w:rsidR="00000000" w:rsidRPr="00000000">
              <w:rPr>
                <w:rFonts w:ascii="Arial" w:cs="Arial" w:eastAsia="Arial" w:hAnsi="Arial"/>
                <w:color w:val="000000"/>
                <w:sz w:val="20"/>
                <w:szCs w:val="20"/>
                <w:rtl w:val="0"/>
              </w:rPr>
              <w:t xml:space="preserve">KPI1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80" w:line="288" w:lineRule="auto"/>
              <w:ind w:firstLine="141"/>
              <w:jc w:val="both"/>
              <w:rPr>
                <w:rFonts w:ascii="Aptos" w:cs="Aptos" w:eastAsia="Aptos" w:hAnsi="Aptos"/>
                <w:color w:val="000000"/>
                <w:sz w:val="22"/>
                <w:szCs w:val="22"/>
              </w:rPr>
            </w:pPr>
            <w:r w:rsidDel="00000000" w:rsidR="00000000" w:rsidRPr="00000000">
              <w:rPr>
                <w:rFonts w:ascii="Arial" w:cs="Arial" w:eastAsia="Arial" w:hAnsi="Arial"/>
                <w:color w:val="000000"/>
                <w:sz w:val="20"/>
                <w:szCs w:val="20"/>
                <w:rtl w:val="0"/>
              </w:rPr>
              <w:t xml:space="preserve">Porcentaje de pedidos usando el sistema informático</w:t>
            </w:r>
            <w:r w:rsidDel="00000000" w:rsidR="00000000" w:rsidRPr="00000000">
              <w:rPr>
                <w:rtl w:val="0"/>
              </w:rPr>
            </w:r>
          </w:p>
        </w:tc>
      </w:tr>
      <w:tr>
        <w:trPr>
          <w:cantSplit w:val="0"/>
          <w:trHeight w:val="405" w:hRule="atLeast"/>
          <w:tblHeader w:val="0"/>
        </w:trPr>
        <w:tc>
          <w:tcPr>
            <w:vMerge w:val="continue"/>
            <w:tcBorders>
              <w:top w:color="d9d9d9" w:space="0" w:sz="8" w:val="single"/>
              <w:left w:color="d9d9d9" w:space="0" w:sz="8" w:val="single"/>
              <w:bottom w:color="d9d9d9" w:space="0" w:sz="8" w:val="single"/>
              <w:right w:color="d9d9d9"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color w:val="000000"/>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80" w:line="288" w:lineRule="auto"/>
              <w:ind w:left="90" w:hanging="135"/>
              <w:jc w:val="center"/>
              <w:rPr>
                <w:rFonts w:ascii="Aptos" w:cs="Aptos" w:eastAsia="Aptos" w:hAnsi="Aptos"/>
                <w:color w:val="000000"/>
                <w:sz w:val="22"/>
                <w:szCs w:val="22"/>
              </w:rPr>
            </w:pPr>
            <w:r w:rsidDel="00000000" w:rsidR="00000000" w:rsidRPr="00000000">
              <w:rPr>
                <w:rFonts w:ascii="Arial" w:cs="Arial" w:eastAsia="Arial" w:hAnsi="Arial"/>
                <w:color w:val="000000"/>
                <w:sz w:val="20"/>
                <w:szCs w:val="20"/>
                <w:rtl w:val="0"/>
              </w:rPr>
              <w:t xml:space="preserve">KPI2</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60" w:line="288" w:lineRule="auto"/>
              <w:ind w:firstLine="141"/>
              <w:jc w:val="both"/>
              <w:rPr>
                <w:rFonts w:ascii="Aptos" w:cs="Aptos" w:eastAsia="Aptos" w:hAnsi="Aptos"/>
                <w:color w:val="000000"/>
                <w:sz w:val="22"/>
                <w:szCs w:val="22"/>
              </w:rPr>
            </w:pPr>
            <w:r w:rsidDel="00000000" w:rsidR="00000000" w:rsidRPr="00000000">
              <w:rPr>
                <w:rFonts w:ascii="Arial" w:cs="Arial" w:eastAsia="Arial" w:hAnsi="Arial"/>
                <w:color w:val="000000"/>
                <w:sz w:val="20"/>
                <w:szCs w:val="20"/>
                <w:rtl w:val="0"/>
              </w:rPr>
              <w:t xml:space="preserve">Número de horas de formación por empleado al año</w:t>
            </w:r>
            <w:r w:rsidDel="00000000" w:rsidR="00000000" w:rsidRPr="00000000">
              <w:rPr>
                <w:rtl w:val="0"/>
              </w:rPr>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00" w:line="288"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6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Miden el desarrollo del talento y la capacidad para innovar, lo que impulsa el rendimiento a largo plazo. El KPI1 mide la adaptación a las herramientas digitales y el KPI</w:t>
      </w:r>
      <w:r w:rsidDel="00000000" w:rsidR="00000000" w:rsidRPr="00000000">
        <w:rPr>
          <w:rFonts w:ascii="Arial" w:cs="Arial" w:eastAsia="Arial" w:hAnsi="Arial"/>
          <w:sz w:val="22"/>
          <w:szCs w:val="22"/>
          <w:rtl w:val="0"/>
        </w:rPr>
        <w:t xml:space="preserve">2</w:t>
      </w:r>
      <w:r w:rsidDel="00000000" w:rsidR="00000000" w:rsidRPr="00000000">
        <w:rPr>
          <w:rFonts w:ascii="Arial" w:cs="Arial" w:eastAsia="Arial" w:hAnsi="Arial"/>
          <w:color w:val="000000"/>
          <w:sz w:val="22"/>
          <w:szCs w:val="22"/>
          <w:rtl w:val="0"/>
        </w:rPr>
        <w:t xml:space="preserve"> la inversión en formación, lo que llevará al crecimiento en las capacidades de los empleados. </w:t>
      </w:r>
    </w:p>
    <w:p w:rsidR="00000000" w:rsidDel="00000000" w:rsidP="00000000" w:rsidRDefault="00000000" w:rsidRPr="00000000" w14:paraId="00000089">
      <w:pPr>
        <w:spacing w:after="160" w:line="288"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A">
      <w:pPr>
        <w:spacing w:after="160" w:line="288" w:lineRule="auto"/>
        <w:ind w:firstLine="72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Cuadro de mando y bocetaje de Dashboard:</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288" w:lineRule="auto"/>
        <w:ind w:right="-7"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presenta el cuadro de mando integral con cada una de las perspectivas, así como los objetivos y KPIS:</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476250</wp:posOffset>
            </wp:positionV>
            <wp:extent cx="6119820" cy="3395918"/>
            <wp:effectExtent b="0" l="0" r="0" t="0"/>
            <wp:wrapTopAndBottom distB="0" distT="0"/>
            <wp:docPr descr="image4.png" id="1073741839" name="image1.png"/>
            <a:graphic>
              <a:graphicData uri="http://schemas.openxmlformats.org/drawingml/2006/picture">
                <pic:pic>
                  <pic:nvPicPr>
                    <pic:cNvPr descr="image4.png" id="0" name="image1.png"/>
                    <pic:cNvPicPr preferRelativeResize="0"/>
                  </pic:nvPicPr>
                  <pic:blipFill>
                    <a:blip r:embed="rId7"/>
                    <a:srcRect b="0" l="0" r="0" t="0"/>
                    <a:stretch>
                      <a:fillRect/>
                    </a:stretch>
                  </pic:blipFill>
                  <pic:spPr>
                    <a:xfrm>
                      <a:off x="0" y="0"/>
                      <a:ext cx="6119820" cy="3395918"/>
                    </a:xfrm>
                    <a:prstGeom prst="rect"/>
                    <a:ln/>
                  </pic:spPr>
                </pic:pic>
              </a:graphicData>
            </a:graphic>
          </wp:anchor>
        </w:drawing>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88" w:lineRule="auto"/>
        <w:ind w:right="-7"/>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88" w:lineRule="auto"/>
        <w:ind w:right="-7"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Por otro lado, el diseño del boceto sigue la estructura de un  dashboard estratégico. Su propósito es mostrar la información clave, de forma simple y focalizada. El objetivo es que los directivos puedan tomar decisiones de forma directa. Su diseño se basa en los siguientes principios visuales y metodológicos: </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b w:val="1"/>
          <w:bCs w:val="1"/>
          <w:color w:val="000000"/>
          <w:sz w:val="22"/>
          <w:szCs w:val="22"/>
          <w:rtl w:val="0"/>
        </w:rPr>
        <w:t xml:space="preserve">Estructura</w:t>
      </w:r>
      <w:r w:rsidDel="00000000" w:rsidR="00000000" w:rsidRPr="00000000">
        <w:rPr>
          <w:rFonts w:ascii="Arial" w:cs="Arial" w:eastAsia="Arial" w:hAnsi="Arial"/>
          <w:color w:val="000000"/>
          <w:sz w:val="22"/>
          <w:szCs w:val="22"/>
          <w:rtl w:val="0"/>
        </w:rPr>
        <w:t xml:space="preserve">: El dashboard se organiza en cuatro bloques modulares, representado las cuatro perspectivas. Esto ayuda al público objetivo a diferenciar la información por función. </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288" w:lineRule="auto"/>
        <w:ind w:firstLine="720"/>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Jerarquía visual y flujo de lectura:</w:t>
      </w:r>
      <w:r w:rsidDel="00000000" w:rsidR="00000000" w:rsidRPr="00000000">
        <w:rPr>
          <w:rFonts w:ascii="Arial" w:cs="Arial" w:eastAsia="Arial" w:hAnsi="Arial"/>
          <w:color w:val="000000"/>
          <w:sz w:val="22"/>
          <w:szCs w:val="22"/>
          <w:rtl w:val="0"/>
        </w:rPr>
        <w:t xml:space="preserve"> El boceto aplica principios de jerarquía visual para guiar la atención del usuario hacia la información más crítica y para facilitar su comprensión. </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60" w:line="288"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b w:val="1"/>
          <w:bCs w:val="1"/>
          <w:sz w:val="22"/>
          <w:szCs w:val="22"/>
          <w:rtl w:val="0"/>
        </w:rPr>
        <w:t xml:space="preserve">Organización de lectura: </w:t>
      </w:r>
      <w:r w:rsidDel="00000000" w:rsidR="00000000" w:rsidRPr="00000000">
        <w:rPr>
          <w:rFonts w:ascii="Arial" w:cs="Arial" w:eastAsia="Arial" w:hAnsi="Arial"/>
          <w:color w:val="000000"/>
          <w:sz w:val="22"/>
          <w:szCs w:val="22"/>
          <w:rtl w:val="0"/>
        </w:rPr>
        <w:t xml:space="preserve">La información se organiza siguiendo un flujo de lectura lógico, priorizando las perspectivas de resultado, situando la perspectiva financiera en la parte superior, pues son los resultados finales que la dirección debe monitorear y deben ser encontrados rápidamente, aplicando la regla de los cinco segundos. </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60" w:line="288"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288"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60" w:line="288"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60" w:line="288"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60" w:line="288"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la parte media se colocan las perspectivas de Clientes y procesos internos, así como aprendizaje y crecimiento. El éxito financiero es causado por la satisfacción del cliente, la cual </w:t>
        <w:br w:type="textWrapping"/>
        <w:t xml:space="preserve">a su vez es causada por la eficiencia de los procesos internos y de aprendizaje y crecimiento. Forman, por tanto, el nivel de explicación o causalidad.  </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60" w:line="288"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información general e importante se muestra al principio y se dan detalles o causas conforme se avanza en el diseño. Colocar la perspectiva clientes en el siguiente bloque de lectura asegura que el público objetivo pueda entender rápidamente cómo los clientes impactan en los resultados financieros.</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60" w:line="288" w:lineRule="auto"/>
        <w:ind w:firstLine="720"/>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Tipos de visualización: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El boceto emplea visualizaciones adecuadas a la naturaleza de los KPIs, como el uso de indicadores circulares para la Satisfacción Global o la Retención de clientes. Esto permite una lectura rápida del estado del cumplimiento. Los bloques y espacios en blanco ayudan a diferenciar la separación entre grupos, siguiendo las </w:t>
      </w:r>
      <w:r w:rsidDel="00000000" w:rsidR="00000000" w:rsidRPr="00000000">
        <w:rPr>
          <w:rFonts w:ascii="Arial" w:cs="Arial" w:eastAsia="Arial" w:hAnsi="Arial"/>
          <w:sz w:val="22"/>
          <w:szCs w:val="22"/>
          <w:rtl w:val="0"/>
        </w:rPr>
        <w:t xml:space="preserve">leyes</w:t>
      </w:r>
      <w:r w:rsidDel="00000000" w:rsidR="00000000" w:rsidRPr="00000000">
        <w:rPr>
          <w:rFonts w:ascii="Arial" w:cs="Arial" w:eastAsia="Arial" w:hAnsi="Arial"/>
          <w:color w:val="000000"/>
          <w:sz w:val="22"/>
          <w:szCs w:val="22"/>
          <w:rtl w:val="0"/>
        </w:rPr>
        <w:t xml:space="preserve"> de la Gestalt.</w:t>
      </w:r>
    </w:p>
    <w:p w:rsidR="00000000" w:rsidDel="00000000" w:rsidP="00000000" w:rsidRDefault="00000000" w:rsidRPr="00000000" w14:paraId="00000098">
      <w:pPr>
        <w:spacing w:after="160" w:line="288" w:lineRule="auto"/>
        <w:jc w:val="center"/>
        <w:rPr>
          <w:rFonts w:ascii="Arial" w:cs="Arial" w:eastAsia="Arial" w:hAnsi="Arial"/>
          <w:sz w:val="22"/>
          <w:szCs w:val="22"/>
        </w:rPr>
      </w:pPr>
      <w:r w:rsidDel="00000000" w:rsidR="00000000" w:rsidRPr="00000000">
        <w:rPr>
          <w:rFonts w:ascii="Calibri" w:cs="Calibri" w:eastAsia="Calibri" w:hAnsi="Calibri"/>
          <w:i w:val="1"/>
          <w:iCs w:val="1"/>
          <w:sz w:val="22"/>
          <w:szCs w:val="22"/>
          <w:u w:val="single"/>
        </w:rPr>
        <w:drawing>
          <wp:inline distB="114300" distT="114300" distL="114300" distR="114300">
            <wp:extent cx="4800826" cy="2601617"/>
            <wp:effectExtent b="0" l="0" r="0" t="0"/>
            <wp:docPr id="107374184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00826" cy="260161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88" w:lineRule="auto"/>
        <w:jc w:val="center"/>
        <w:rPr>
          <w:rFonts w:ascii="Arial" w:cs="Arial" w:eastAsia="Arial" w:hAnsi="Arial"/>
          <w:sz w:val="22"/>
          <w:szCs w:val="22"/>
        </w:rPr>
      </w:pPr>
      <w:hyperlink r:id="rId9">
        <w:r w:rsidDel="00000000" w:rsidR="00000000" w:rsidRPr="00000000">
          <w:rPr>
            <w:rFonts w:ascii="Calibri" w:cs="Calibri" w:eastAsia="Calibri" w:hAnsi="Calibri"/>
            <w:i w:val="1"/>
            <w:iCs w:val="1"/>
            <w:color w:val="1155cc"/>
            <w:sz w:val="22"/>
            <w:szCs w:val="22"/>
            <w:u w:val="single"/>
          </w:rPr>
          <w:drawing>
            <wp:inline distB="114300" distT="114300" distL="114300" distR="114300">
              <wp:extent cx="4213388" cy="3468696"/>
              <wp:effectExtent b="0" l="0" r="0" t="0"/>
              <wp:docPr id="107374184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13388" cy="3468696"/>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88"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ab/>
      </w:r>
      <w:r w:rsidDel="00000000" w:rsidR="00000000" w:rsidRPr="00000000">
        <w:rPr>
          <w:rtl w:val="0"/>
        </w:rPr>
      </w:r>
    </w:p>
    <w:p w:rsidR="00000000" w:rsidDel="00000000" w:rsidP="00000000" w:rsidRDefault="00000000" w:rsidRPr="00000000" w14:paraId="0000009B">
      <w:pPr>
        <w:spacing w:after="160" w:line="288" w:lineRule="auto"/>
        <w:ind w:firstLine="72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Uso de la IA:</w:t>
      </w:r>
      <w:r w:rsidDel="00000000" w:rsidR="00000000" w:rsidRPr="00000000">
        <w:rPr>
          <w:rtl w:val="0"/>
        </w:rPr>
      </w:r>
    </w:p>
    <w:p w:rsidR="00000000" w:rsidDel="00000000" w:rsidP="00000000" w:rsidRDefault="00000000" w:rsidRPr="00000000" w14:paraId="0000009C">
      <w:pPr>
        <w:spacing w:after="160" w:line="288"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Respecto al uso de la IA, se indica en enlace de las consultas: </w:t>
      </w:r>
      <w:hyperlink r:id="rId11">
        <w:r w:rsidDel="00000000" w:rsidR="00000000" w:rsidRPr="00000000">
          <w:rPr>
            <w:rFonts w:ascii="Arial" w:cs="Arial" w:eastAsia="Arial" w:hAnsi="Arial"/>
            <w:color w:val="467886"/>
            <w:sz w:val="22"/>
            <w:szCs w:val="22"/>
            <w:u w:val="single"/>
            <w:rtl w:val="0"/>
          </w:rPr>
          <w:t xml:space="preserve">https://chatgpt.com/share/6939f038-033c-8004-ad2b-e7241dddbd36</w:t>
        </w:r>
      </w:hyperlink>
      <w:r w:rsidDel="00000000" w:rsidR="00000000" w:rsidRPr="00000000">
        <w:rPr>
          <w:rFonts w:ascii="Arial" w:cs="Arial" w:eastAsia="Arial" w:hAnsi="Arial"/>
          <w:sz w:val="22"/>
          <w:szCs w:val="22"/>
          <w:rtl w:val="0"/>
        </w:rPr>
        <w:t xml:space="preserve">  y evidencias. La IA nos ayudó a validar críticamente algunas de nuestras conclusiones y/o afirmaciones. También la utilizamos para capturar ideas de cuales son los indicadores de rendimiento típicos de cada área. Sus propuestas junto con la exploración inicial de los datos y la reflexión sobre el tipo y las problemáticas de negocio objeto de estudio contribuyeron a la construcción de preguntas para acertar con el indicador de rendimiento adecuado. </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288" w:lineRule="auto"/>
        <w:ind w:firstLine="720"/>
        <w:jc w:val="both"/>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También nos advirtió en cuanto a la filosofía “menos es más”</w:t>
      </w:r>
      <w:r w:rsidDel="00000000" w:rsidR="00000000" w:rsidRPr="00000000">
        <w:rPr>
          <w:rFonts w:ascii="Arial" w:cs="Arial" w:eastAsia="Arial" w:hAnsi="Arial"/>
          <w:color w:val="000000"/>
          <w:sz w:val="22"/>
          <w:szCs w:val="22"/>
          <w:rtl w:val="0"/>
        </w:rPr>
        <w:t xml:space="preserve">, pues de inicio, habíamos seleccionado más KPIS. Finalmente se han seleccionado los expuestos buscando que las métricas fueran lo más útiles posible para la futura toma de decisiones. (enlace boceto </w:t>
      </w:r>
      <w:hyperlink r:id="rId12">
        <w:r w:rsidDel="00000000" w:rsidR="00000000" w:rsidRPr="00000000">
          <w:rPr>
            <w:rFonts w:ascii="Arial" w:cs="Arial" w:eastAsia="Arial" w:hAnsi="Arial"/>
            <w:color w:val="1155cc"/>
            <w:sz w:val="22"/>
            <w:szCs w:val="22"/>
            <w:u w:val="single"/>
            <w:rtl w:val="0"/>
          </w:rPr>
          <w:t xml:space="preserve">https://visual.is/visualizations/76004</w:t>
        </w:r>
      </w:hyperlink>
      <w:r w:rsidDel="00000000" w:rsidR="00000000" w:rsidRPr="00000000">
        <w:rPr>
          <w:rFonts w:ascii="Arial" w:cs="Arial" w:eastAsia="Arial" w:hAnsi="Arial"/>
          <w:color w:val="1155cc"/>
          <w:sz w:val="22"/>
          <w:szCs w:val="22"/>
          <w:u w:val="single"/>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288" w:lineRule="auto"/>
        <w:ind w:firstLine="720"/>
        <w:jc w:val="both"/>
        <w:rPr>
          <w:rFonts w:ascii="Arial" w:cs="Arial" w:eastAsia="Arial" w:hAnsi="Arial"/>
          <w:color w:val="1155cc"/>
          <w:sz w:val="22"/>
          <w:szCs w:val="22"/>
          <w:u w:val="single"/>
        </w:rPr>
      </w:pPr>
      <w:r w:rsidDel="00000000" w:rsidR="00000000" w:rsidRPr="00000000">
        <w:rPr>
          <w:rtl w:val="0"/>
        </w:rPr>
      </w:r>
    </w:p>
    <w:p w:rsidR="00000000" w:rsidDel="00000000" w:rsidP="00000000" w:rsidRDefault="00000000" w:rsidRPr="00000000" w14:paraId="0000009F">
      <w:pPr>
        <w:spacing w:after="160" w:line="288"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0" distT="0" distL="0" distR="0">
            <wp:extent cx="4428173" cy="2949534"/>
            <wp:effectExtent b="0" l="0" r="0" t="0"/>
            <wp:docPr id="107374184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428173" cy="294953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60" w:line="288"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1">
      <w:pPr>
        <w:spacing w:after="160" w:line="288" w:lineRule="auto"/>
        <w:ind w:firstLine="72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Conclusión</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288"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actividad </w:t>
      </w:r>
      <w:r w:rsidDel="00000000" w:rsidR="00000000" w:rsidRPr="00000000">
        <w:rPr>
          <w:rFonts w:ascii="Arial" w:cs="Arial" w:eastAsia="Arial" w:hAnsi="Arial"/>
          <w:sz w:val="22"/>
          <w:szCs w:val="22"/>
          <w:rtl w:val="0"/>
        </w:rPr>
        <w:t xml:space="preserve">permite </w:t>
      </w:r>
      <w:r w:rsidDel="00000000" w:rsidR="00000000" w:rsidRPr="00000000">
        <w:rPr>
          <w:rFonts w:ascii="Arial" w:cs="Arial" w:eastAsia="Arial" w:hAnsi="Arial"/>
          <w:color w:val="000000"/>
          <w:sz w:val="22"/>
          <w:szCs w:val="22"/>
          <w:rtl w:val="0"/>
        </w:rPr>
        <w:t xml:space="preserve">integrar el análisis de datos, la reflexión estratégica y el diseño visual de un cuadro de mando integral para Distribuciones Arbolada SL. El estudio descriptivo inicial </w:t>
      </w:r>
      <w:r w:rsidDel="00000000" w:rsidR="00000000" w:rsidRPr="00000000">
        <w:rPr>
          <w:rFonts w:ascii="Arial" w:cs="Arial" w:eastAsia="Arial" w:hAnsi="Arial"/>
          <w:sz w:val="22"/>
          <w:szCs w:val="22"/>
          <w:rtl w:val="0"/>
        </w:rPr>
        <w:t xml:space="preserve">resulta </w:t>
      </w:r>
      <w:r w:rsidDel="00000000" w:rsidR="00000000" w:rsidRPr="00000000">
        <w:rPr>
          <w:rFonts w:ascii="Arial" w:cs="Arial" w:eastAsia="Arial" w:hAnsi="Arial"/>
          <w:color w:val="000000"/>
          <w:sz w:val="22"/>
          <w:szCs w:val="22"/>
          <w:rtl w:val="0"/>
        </w:rPr>
        <w:t xml:space="preserve"> esencial para comprender la naturaleza del negocio. También para validar la problemática que se presenta y fundamentar la elección de los KPIS. </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60" w:line="288" w:lineRule="auto"/>
        <w:jc w:val="both"/>
        <w:rPr>
          <w:rFonts w:ascii="Aptos" w:cs="Aptos" w:eastAsia="Aptos" w:hAnsi="Aptos"/>
          <w:color w:val="000000"/>
        </w:rPr>
      </w:pPr>
      <w:r w:rsidDel="00000000" w:rsidR="00000000" w:rsidRPr="00000000">
        <w:rPr>
          <w:rFonts w:ascii="Arial" w:cs="Arial" w:eastAsia="Arial" w:hAnsi="Arial"/>
          <w:color w:val="000000"/>
          <w:sz w:val="22"/>
          <w:szCs w:val="22"/>
          <w:rtl w:val="0"/>
        </w:rPr>
        <w:tab/>
        <w:t xml:space="preserve">Este análisis nos </w:t>
      </w:r>
      <w:r w:rsidDel="00000000" w:rsidR="00000000" w:rsidRPr="00000000">
        <w:rPr>
          <w:rFonts w:ascii="Arial" w:cs="Arial" w:eastAsia="Arial" w:hAnsi="Arial"/>
          <w:sz w:val="22"/>
          <w:szCs w:val="22"/>
          <w:rtl w:val="0"/>
        </w:rPr>
        <w:t xml:space="preserve">lleva </w:t>
      </w:r>
      <w:r w:rsidDel="00000000" w:rsidR="00000000" w:rsidRPr="00000000">
        <w:rPr>
          <w:rFonts w:ascii="Arial" w:cs="Arial" w:eastAsia="Arial" w:hAnsi="Arial"/>
          <w:color w:val="000000"/>
          <w:sz w:val="22"/>
          <w:szCs w:val="22"/>
          <w:rtl w:val="0"/>
        </w:rPr>
        <w:t xml:space="preserve">a establecer el objetivo general y se </w:t>
      </w:r>
      <w:r w:rsidDel="00000000" w:rsidR="00000000" w:rsidRPr="00000000">
        <w:rPr>
          <w:rFonts w:ascii="Arial" w:cs="Arial" w:eastAsia="Arial" w:hAnsi="Arial"/>
          <w:sz w:val="22"/>
          <w:szCs w:val="22"/>
          <w:rtl w:val="0"/>
        </w:rPr>
        <w:t xml:space="preserve">definen</w:t>
      </w:r>
      <w:r w:rsidDel="00000000" w:rsidR="00000000" w:rsidRPr="00000000">
        <w:rPr>
          <w:rFonts w:ascii="Arial" w:cs="Arial" w:eastAsia="Arial" w:hAnsi="Arial"/>
          <w:color w:val="000000"/>
          <w:sz w:val="22"/>
          <w:szCs w:val="22"/>
          <w:rtl w:val="0"/>
        </w:rPr>
        <w:t xml:space="preserve"> los objetivos específicos, así como los KPIs para cada una de las perspectivas, procurando alinear la estrategia con las causas operativas y los resultados finales. Los indicadores elegidos responden a la necesidad de evaluar la rentabilidad, la satisfacción y fidelidad del cliente, la eficiencia de los procesos internos y la evolución del aprendizaje. El diseño del dashboard persigue facilitar una lectura ordenada y comprensible, aplicando los principios de jerarquía visual y Gestalt.</w:t>
      </w:r>
      <w:r w:rsidDel="00000000" w:rsidR="00000000" w:rsidRPr="00000000">
        <w:rPr>
          <w:rtl w:val="0"/>
        </w:rPr>
      </w:r>
    </w:p>
    <w:sectPr>
      <w:headerReference r:id="rId14" w:type="default"/>
      <w:footerReference r:id="rId15" w:type="default"/>
      <w:pgSz w:h="16840" w:w="11900" w:orient="portrait"/>
      <w:pgMar w:bottom="1134" w:top="1134" w:left="1134" w:right="1134" w:header="567"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252"/>
        <w:tab w:val="right" w:leader="none" w:pos="8504"/>
      </w:tabs>
      <w:jc w:val="center"/>
      <w:rPr>
        <w:rFonts w:ascii="Aptos" w:cs="Aptos" w:eastAsia="Aptos" w:hAnsi="Aptos"/>
        <w:color w:val="000000"/>
      </w:rPr>
    </w:pPr>
    <w:r w:rsidDel="00000000" w:rsidR="00000000" w:rsidRPr="00000000">
      <w:rPr>
        <w:rFonts w:ascii="Aptos" w:cs="Aptos" w:eastAsia="Aptos" w:hAnsi="Aptos"/>
        <w:b w:val="1"/>
        <w:bCs w:val="1"/>
        <w:color w:val="000000"/>
        <w:rtl w:val="0"/>
      </w:rPr>
      <w:t xml:space="preserve">Actividad 2: Fundamentos de Visualización para el Análisis de Datos: </w:t>
      <w:br w:type="textWrapping"/>
      <w:t xml:space="preserve">Equipo 3, lote 3: Alejandro Campos, Alejandro Cita, Iván Gómez, Leticia Florido.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Hipervnculo">
    <w:name w:val="Hyperlink"/>
    <w:rPr>
      <w:u w:val="single"/>
    </w:rPr>
  </w:style>
  <w:style w:type="table" w:styleId="TableNormal0" w:customStyle="1">
    <w:name w:val="Table Normal"/>
    <w:tblPr>
      <w:tblInd w:w="0.0" w:type="dxa"/>
      <w:tblCellMar>
        <w:top w:w="0.0" w:type="dxa"/>
        <w:left w:w="0.0" w:type="dxa"/>
        <w:bottom w:w="0.0" w:type="dxa"/>
        <w:right w:w="0.0" w:type="dxa"/>
      </w:tblCellMar>
    </w:tblPr>
  </w:style>
  <w:style w:type="paragraph" w:styleId="Cuerpo" w:customStyle="1">
    <w:name w:val="Cuerpo"/>
    <w:pPr>
      <w:spacing w:after="160" w:line="278" w:lineRule="auto"/>
    </w:pPr>
    <w:rPr>
      <w:rFonts w:ascii="Aptos" w:cs="Aptos" w:eastAsia="Aptos" w:hAnsi="Aptos"/>
      <w:color w:val="000000"/>
      <w:u w:color="000000"/>
      <w14:textOutline w14:cap="flat" w14:cmpd="sng" w14:algn="ctr">
        <w14:noFill/>
        <w14:prstDash w14:val="solid"/>
        <w14:bevel/>
      </w14:textOutline>
    </w:rPr>
  </w:style>
  <w:style w:type="character" w:styleId="Ninguno" w:customStyle="1">
    <w:name w:val="Ninguno"/>
    <w:rPr>
      <w:lang w:val="es-ES_tradnl"/>
    </w:rPr>
  </w:style>
  <w:style w:type="paragraph" w:styleId="Cabeceraypie" w:customStyle="1">
    <w:name w:val="Cabecera y pie"/>
    <w:pPr>
      <w:tabs>
        <w:tab w:val="right" w:pos="9020"/>
      </w:tabs>
    </w:pPr>
    <w:rPr>
      <w:rFonts w:ascii="Helvetica Neue" w:cs="Helvetica Neue" w:eastAsia="Helvetica Neue" w:hAnsi="Helvetica Neue"/>
      <w:color w:val="000000"/>
      <w14:textOutline w14:cap="flat" w14:cmpd="sng" w14:algn="ctr">
        <w14:noFill/>
        <w14:prstDash w14:val="solid"/>
        <w14:bevel/>
      </w14:textOutline>
    </w:rPr>
  </w:style>
  <w:style w:type="character" w:styleId="Hyperlink0" w:customStyle="1">
    <w:name w:val="Hyperlink.0"/>
    <w:basedOn w:val="Ninguno"/>
    <w:rPr>
      <w:rFonts w:ascii="Arial" w:cs="Arial" w:eastAsia="Arial" w:hAnsi="Arial"/>
      <w:outline w:val="0"/>
      <w:color w:val="467886"/>
      <w:sz w:val="22"/>
      <w:szCs w:val="22"/>
      <w:u w:color="467886" w:val="single"/>
      <w:lang w:val="es-ES_tradnl"/>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hatgpt.com/share/6939f038-033c-8004-ad2b-e7241dddbd36" TargetMode="External"/><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hyperlink" Target="https://visual.is/visualizations/760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sual.is/visualizations/76004"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fBjjKjQ1KptUa5UlG3KJSOimw==">CgMxLjA4AHIhMUhMU3F4Y1lZRi14TkxNZHdCWHV1NXM0X1NzQ0FmeVJx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2025-12-12T18:39:00Z</dcterms:created>
</cp:coreProperties>
</file>