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ablas-para-copiar-al-word-e1"/>
    <w:p>
      <w:pPr>
        <w:pStyle w:val="Heading1"/>
      </w:pPr>
      <w:r>
        <w:t xml:space="preserve">Tablas para copiar al Word (E1)</w:t>
      </w:r>
    </w:p>
    <w:bookmarkStart w:id="20" w:name="X66c908b061d86f7d5399864f914debd8d068f47"/>
    <w:p>
      <w:pPr>
        <w:pStyle w:val="Heading2"/>
      </w:pPr>
      <w:r>
        <w:t xml:space="preserve">Tabla 1. Variables de segmentación a construir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anual (€)</w:t>
            </w:r>
          </w:p>
        </w:tc>
        <w:tc>
          <w:tcPr/>
          <w:p>
            <w:pPr>
              <w:pStyle w:val="Compact"/>
            </w:pPr>
            <w:r>
              <w:t xml:space="preserve">SUM(neto) por cliente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pedido</w:t>
            </w:r>
          </w:p>
        </w:tc>
        <w:tc>
          <w:tcPr/>
          <w:p>
            <w:pPr>
              <w:pStyle w:val="Compact"/>
            </w:pPr>
            <w:r>
              <w:t xml:space="preserve">COUNT(DISTINCT pedido) por cliente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categorías</w:t>
            </w:r>
          </w:p>
        </w:tc>
        <w:tc>
          <w:tcPr/>
          <w:p>
            <w:pPr>
              <w:pStyle w:val="Compact"/>
            </w:pPr>
            <w:r>
              <w:t xml:space="preserve">COUNT(DISTINCT categoria) por cliente</w:t>
            </w:r>
          </w:p>
        </w:tc>
        <w:tc>
          <w:tcPr/>
          <w:p>
            <w:pPr>
              <w:pStyle w:val="Compact"/>
            </w:pPr>
            <w:r>
              <w:t xml:space="preserve">Líneas de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medio</w:t>
            </w:r>
          </w:p>
        </w:tc>
        <w:tc>
          <w:tcPr/>
          <w:p>
            <w:pPr>
              <w:pStyle w:val="Compact"/>
            </w:pPr>
            <w:r>
              <w:t xml:space="preserve">AVG(neto_pedido) por cliente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Tendencia</w:t>
            </w:r>
          </w:p>
        </w:tc>
        <w:tc>
          <w:tcPr/>
          <w:p>
            <w:pPr>
              <w:pStyle w:val="Compact"/>
            </w:pPr>
            <w:r>
              <w:t xml:space="preserve">Ratio periodo actual / anterior</w:t>
            </w:r>
          </w:p>
        </w:tc>
        <w:tc>
          <w:tcPr/>
          <w:p>
            <w:pPr>
              <w:pStyle w:val="Compact"/>
            </w:pPr>
            <w:r>
              <w:t xml:space="preserve">Comparar periodos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</w:t>
            </w:r>
          </w:p>
        </w:tc>
        <w:tc>
          <w:tcPr/>
          <w:p>
            <w:pPr>
              <w:pStyle w:val="Compact"/>
            </w:pPr>
            <w:r>
              <w:t xml:space="preserve">SUM(neto - coste) por cliente</w:t>
            </w:r>
          </w:p>
        </w:tc>
        <w:tc>
          <w:tcPr/>
          <w:p>
            <w:pPr>
              <w:pStyle w:val="Compact"/>
            </w:pPr>
            <w:r>
              <w:t xml:space="preserve">Facturación + costes</w:t>
            </w:r>
          </w:p>
        </w:tc>
      </w:tr>
    </w:tbl>
    <w:bookmarkEnd w:id="20"/>
    <w:bookmarkStart w:id="21" w:name="tabla-2.-stack-tecnológico"/>
    <w:p>
      <w:pPr>
        <w:pStyle w:val="Heading2"/>
      </w:pPr>
      <w:r>
        <w:t xml:space="preserve">Tabla 2. Stack 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29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de datos</w:t>
            </w:r>
          </w:p>
        </w:tc>
        <w:tc>
          <w:tcPr/>
          <w:p>
            <w:pPr>
              <w:pStyle w:val="Compact"/>
            </w:pPr>
            <w:r>
              <w:t xml:space="preserve">SAP / Oracle (esquema REPORTING)</w:t>
            </w:r>
          </w:p>
        </w:tc>
        <w:tc>
          <w:tcPr/>
          <w:p>
            <w:pPr>
              <w:pStyle w:val="Compact"/>
            </w:pPr>
            <w:r>
              <w:t xml:space="preserve">Datos transaccionales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y análisis</w:t>
            </w:r>
          </w:p>
        </w:tc>
        <w:tc>
          <w:tcPr/>
          <w:p>
            <w:pPr>
              <w:pStyle w:val="Compact"/>
            </w:pPr>
            <w:r>
              <w:t xml:space="preserve">Python (pandas, scikit-learn, oracledb)</w:t>
            </w:r>
          </w:p>
        </w:tc>
        <w:tc>
          <w:tcPr/>
          <w:p>
            <w:pPr>
              <w:pStyle w:val="Compact"/>
            </w:pPr>
            <w:r>
              <w:t xml:space="preserve">Extracción, limpieza, modelado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Consultas sobre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Dashboards interactivos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Quarto / Word</w:t>
            </w:r>
          </w:p>
        </w:tc>
        <w:tc>
          <w:tcPr/>
          <w:p>
            <w:pPr>
              <w:pStyle w:val="Compact"/>
            </w:pPr>
            <w:r>
              <w:t xml:space="preserve">Informes reproducibles</w:t>
            </w:r>
          </w:p>
        </w:tc>
      </w:tr>
    </w:tbl>
    <w:bookmarkEnd w:id="21"/>
    <w:bookmarkStart w:id="22" w:name="figura-1.-pipeline-metodológico"/>
    <w:p>
      <w:pPr>
        <w:pStyle w:val="Heading2"/>
      </w:pPr>
      <w:r>
        <w:t xml:space="preserve">Figura 1. Pipeline metodológico</w:t>
      </w:r>
    </w:p>
    <w:p>
      <w:pPr>
        <w:pStyle w:val="FirstParagraph"/>
      </w:pPr>
      <w:r>
        <w:t xml:space="preserve">ETL (Python/SQL) → EDA (pandas/seaborn) → K-Means (scikit-learn) → Perfilado (árboles de decisión) → BEP (matrices de escenarios) → Dashboard (Power BI)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2026-03-15T12:11:35Z</dcterms:created>
  <dcterms:modified xsi:type="dcterms:W3CDTF">2026-03-15T12:11:35Z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