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21E8" w14:textId="77777777" w:rsidR="00727138" w:rsidRPr="00727138" w:rsidRDefault="00727138" w:rsidP="00727138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Análisis Estratégico y Predictivo: Caso </w:t>
      </w:r>
      <w:proofErr w:type="spellStart"/>
      <w:r w:rsidRPr="0072713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AdventureWorks</w:t>
      </w:r>
      <w:proofErr w:type="spellEnd"/>
    </w:p>
    <w:p w14:paraId="29F37C40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Máster en Inteligencia de Negocio - Asignatura: Análisis Estratégico</w:t>
      </w:r>
    </w:p>
    <w:p w14:paraId="7CF27B36" w14:textId="77777777" w:rsidR="00727138" w:rsidRPr="00727138" w:rsidRDefault="00727138" w:rsidP="007271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Introducción y Metodología</w:t>
      </w:r>
    </w:p>
    <w:p w14:paraId="7D6DD042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 xml:space="preserve">El presente informe tiene como objetivo desarrollar una estrategia de negocio basada en datos para incrementar la rentabilidad de la venta de bicicletas. Para garantizar la integridad y escalabilidad del análisis, se ha seguido la metodología estándar de la industria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OSEMN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Obtain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Scrub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, Explore, Model,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Interpret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), combinando un enfoque descriptivo con uno predictivo basado en escenarios.</w:t>
      </w:r>
    </w:p>
    <w:p w14:paraId="78DB67BD" w14:textId="77777777" w:rsidR="00727138" w:rsidRPr="00727138" w:rsidRDefault="00727138" w:rsidP="0072713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Times New Roman" w:eastAsia="Times New Roman" w:hAnsi="Times New Roman" w:cs="Times New Roman"/>
          <w:kern w:val="0"/>
          <w14:ligatures w14:val="none"/>
        </w:rPr>
        <w:pict w14:anchorId="00131A21">
          <v:rect id="_x0000_i1025" style="width:0;height:1.5pt" o:hralign="center" o:hrstd="t" o:hr="t" fillcolor="#a0a0a0" stroked="f"/>
        </w:pict>
      </w:r>
    </w:p>
    <w:p w14:paraId="1427AFEE" w14:textId="77777777" w:rsidR="00727138" w:rsidRPr="00727138" w:rsidRDefault="00727138" w:rsidP="007271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Desarrollo del Ciclo de Vida del Dato (OSEMN)</w:t>
      </w:r>
    </w:p>
    <w:p w14:paraId="5194F116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2.1. O – Obtención (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Obtain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9F1B899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 xml:space="preserve">La fuente de datos primaria ha sido facilitada por la dirección académica, consistente en un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dataset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transaccional y demográfico de clientes de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AdventureWorks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DataSet_Bike.csv</w:t>
      </w:r>
      <w:r w:rsidRPr="00727138">
        <w:rPr>
          <w:rFonts w:ascii="Arial" w:eastAsia="Times New Roman" w:hAnsi="Arial" w:cs="Arial"/>
          <w:kern w:val="0"/>
          <w14:ligatures w14:val="none"/>
        </w:rPr>
        <w:t>). El conjunto de datos incluye variables cualitativas (educación, ocupación, país) y cuantitativas (ingresos, hijos, edad, gasto total), fundamentales para la segmentación de clientes.</w:t>
      </w:r>
    </w:p>
    <w:p w14:paraId="2943BD18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2.2. S – Depuración (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Scrub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6BA10B2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La calidad del dato es la base de cualquier modelo predictivo. Se ha realizado un proceso exhaustivo de limpieza (</w:t>
      </w: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 xml:space="preserve">Data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Cleansing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 para asegurar la fiabilidad de las conclusiones:</w:t>
      </w:r>
    </w:p>
    <w:p w14:paraId="4B1F415F" w14:textId="77777777" w:rsidR="00727138" w:rsidRPr="00727138" w:rsidRDefault="00727138" w:rsidP="007271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Integridad de Entidad: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Mediante la función </w:t>
      </w:r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CONTAR.SI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aplicada a los campos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CustomerID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y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PersonID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, se ha verificado que cada registro corresponde a un cliente único, descartando duplicados que pudieran distorsionar el recuento de ventas.</w:t>
      </w:r>
    </w:p>
    <w:p w14:paraId="091BC902" w14:textId="77777777" w:rsidR="00727138" w:rsidRPr="00727138" w:rsidRDefault="00727138" w:rsidP="007271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Normalización de Formatos: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Se han estandarizado los campos de fecha (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BirthDate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DateFirstPurchase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 y se han eliminado espacios en blanco "invisibles" (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trailing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spaces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 en columnas de texto mediante funciones de recorte (</w:t>
      </w:r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ESPACIOS</w:t>
      </w:r>
      <w:r w:rsidRPr="00727138">
        <w:rPr>
          <w:rFonts w:ascii="Arial" w:eastAsia="Times New Roman" w:hAnsi="Arial" w:cs="Arial"/>
          <w:kern w:val="0"/>
          <w14:ligatures w14:val="none"/>
        </w:rPr>
        <w:t>/</w:t>
      </w:r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TRIM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preveniendo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errores en la categorización posterior.</w:t>
      </w:r>
    </w:p>
    <w:p w14:paraId="09FB0FFF" w14:textId="77777777" w:rsidR="00727138" w:rsidRPr="00727138" w:rsidRDefault="00727138" w:rsidP="007271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Corrección Geográfica: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Se detectó una inconsistencia en la columna </w:t>
      </w: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Country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para los registros de Estados Unidos, los cuales aparecían fragmentados por región. Se ha aplicado una normalización para agrupar bajo la etiqueta única "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United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States", permitiendo una comparativa real a nivel país.</w:t>
      </w:r>
    </w:p>
    <w:p w14:paraId="7FA15AF0" w14:textId="77777777" w:rsidR="00727138" w:rsidRPr="00727138" w:rsidRDefault="00727138" w:rsidP="007271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Simplificación de Categorías: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En la variable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Occupation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, tras analizar la similitud en el comportamiento de compra y para evitar la dispersión de categorías, se ha optado por agrupar los conceptos "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Skilled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Manual" y "Manual" bajo la etiqueta única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"Manual"</w:t>
      </w:r>
      <w:r w:rsidRPr="00727138">
        <w:rPr>
          <w:rFonts w:ascii="Arial" w:eastAsia="Times New Roman" w:hAnsi="Arial" w:cs="Arial"/>
          <w:kern w:val="0"/>
          <w14:ligatures w14:val="none"/>
        </w:rPr>
        <w:t>, simplificando así el modelo de segmentación.</w:t>
      </w:r>
    </w:p>
    <w:p w14:paraId="6C2A96F5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2.3. E – Exploración (Explore)</w:t>
      </w:r>
    </w:p>
    <w:p w14:paraId="38EE12E4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En esta fase se ha realizado un Análisis Exploratorio de Datos (EDA) para identificar patrones de comportamiento.</w:t>
      </w:r>
    </w:p>
    <w:p w14:paraId="20577F3C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[ESPACIO PARA INSERTAR TUS GRÁFICOS AQUÍ]</w:t>
      </w:r>
    </w:p>
    <w:p w14:paraId="57B8E26F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Nota para el alumno: Inserta aquí 2 o 3 gráficos claves. Recomendación: 1) Gráfico de barras de Ventas por País, 2) Gráfico de dispersión o barras de Edad vs Compra, 3) Gráfico de Pastel de Ocupación.</w:t>
      </w:r>
    </w:p>
    <w:p w14:paraId="6AD39AA8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Hallazgos preliminares:</w:t>
      </w:r>
    </w:p>
    <w:p w14:paraId="52E1132B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 xml:space="preserve">El análisis visual sugiere que el cliente ideal no responde necesariamente al perfil de mayores ingresos (Management), sino a un perfil técnico/administrativo de clase media. Asimismo, se observa una fuerte concentración de ventas en el rango de edad de madurez (40-60 años) y una variabilidad significativa en el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medio según la geografía.</w:t>
      </w:r>
    </w:p>
    <w:p w14:paraId="1FA94771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2.4. M – Modelado (Model)</w:t>
      </w:r>
    </w:p>
    <w:p w14:paraId="3C268654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Para trascender el análisis descriptivo y entrar en el terreno predictivo, se han aplicado técnicas estadísticas avanzadas:</w:t>
      </w:r>
    </w:p>
    <w:p w14:paraId="2CFC1AE9" w14:textId="77777777" w:rsidR="00727138" w:rsidRPr="00727138" w:rsidRDefault="00727138" w:rsidP="0072713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Matriz de Correlación: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Se ha calculado el coeficiente de correlación de Pearson para identificar las variables "palanca" de la compra (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BikePurchase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).</w:t>
      </w:r>
    </w:p>
    <w:p w14:paraId="5EA120AE" w14:textId="77777777" w:rsidR="00727138" w:rsidRPr="00727138" w:rsidRDefault="00727138" w:rsidP="007271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Correlación Negativa (-0.18) en Propiedad de Vehículos: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Se confirma que a mayor número de coches (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NumberCarsOwned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), menor es la probabilidad de comprar una bicicleta.</w:t>
      </w:r>
    </w:p>
    <w:p w14:paraId="666F8A5A" w14:textId="77777777" w:rsidR="00727138" w:rsidRPr="00727138" w:rsidRDefault="00727138" w:rsidP="007271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Correlación Negativa (-0.12) en Carga Familiar: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La variable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TotalChildren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muestra una relación inversa con la compra.</w:t>
      </w:r>
    </w:p>
    <w:p w14:paraId="601B820C" w14:textId="77777777" w:rsidR="00727138" w:rsidRPr="00727138" w:rsidRDefault="00727138" w:rsidP="0072713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Regresión Lineal Simple: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Se ha generado un modelo de regresión para cuantificar la sensibilidad de la demanda. Utilizando la función </w:t>
      </w:r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PENDIENTE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Slope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), hemos determinado el coeficiente de impacto de la variable "Hijos" sobre la decisión de compra, obteniendo un valor de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-0.039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. Esto indica que,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ceteris</w:t>
      </w:r>
      <w:proofErr w:type="spellEnd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paribus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, por cada hijo adicional en el hogar, la probabilidad de compra se reduce casi un 4%.</w:t>
      </w:r>
    </w:p>
    <w:p w14:paraId="1A590105" w14:textId="77777777" w:rsidR="00727138" w:rsidRPr="00727138" w:rsidRDefault="00727138" w:rsidP="0072713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Times New Roman" w:eastAsia="Times New Roman" w:hAnsi="Times New Roman" w:cs="Times New Roman"/>
          <w:kern w:val="0"/>
          <w14:ligatures w14:val="none"/>
        </w:rPr>
        <w:pict w14:anchorId="77DE2386">
          <v:rect id="_x0000_i1026" style="width:0;height:1.5pt" o:hralign="center" o:hrstd="t" o:hr="t" fillcolor="#a0a0a0" stroked="f"/>
        </w:pict>
      </w:r>
    </w:p>
    <w:p w14:paraId="6388DD8D" w14:textId="77777777" w:rsidR="00727138" w:rsidRPr="00727138" w:rsidRDefault="00727138" w:rsidP="007271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N – Interpretación: 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Dashboard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y Análisis Estratégico</w:t>
      </w:r>
    </w:p>
    <w:p w14:paraId="14A86808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lastRenderedPageBreak/>
        <w:t xml:space="preserve">Como herramienta de monitorización para la dirección, se propone el siguiente 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Dashboard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 xml:space="preserve"> Ejecutivo</w:t>
      </w:r>
      <w:r w:rsidRPr="00727138">
        <w:rPr>
          <w:rFonts w:ascii="Arial" w:eastAsia="Times New Roman" w:hAnsi="Arial" w:cs="Arial"/>
          <w:kern w:val="0"/>
          <w14:ligatures w14:val="none"/>
        </w:rPr>
        <w:t>, diseñado para medir la eficiencia de las estrategias propuestas.</w:t>
      </w:r>
    </w:p>
    <w:p w14:paraId="1BABAD69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3.1. Propuesta de 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Dashboard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y 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KPIs</w:t>
      </w:r>
      <w:proofErr w:type="spellEnd"/>
    </w:p>
    <w:p w14:paraId="242858F5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El cuadro de mando debe centrarse en la rentabilidad y conversión, no solo en el volumen.</w:t>
      </w:r>
    </w:p>
    <w:p w14:paraId="3AE9713E" w14:textId="77777777" w:rsidR="00727138" w:rsidRPr="00727138" w:rsidRDefault="00727138" w:rsidP="0072713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KPI 1: Tasa de Conversión Global (</w:t>
      </w:r>
      <w:proofErr w:type="spellStart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Conversion</w:t>
      </w:r>
      <w:proofErr w:type="spellEnd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 xml:space="preserve"> Rate)</w:t>
      </w:r>
    </w:p>
    <w:p w14:paraId="28AA20E1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Definición: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Porcentaje de clientes registrados que efectúan la compra de una bicicleta (Promedio de </w:t>
      </w:r>
      <w:proofErr w:type="spellStart"/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BikePurchase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).</w:t>
      </w:r>
    </w:p>
    <w:p w14:paraId="21BC2AE9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Valor Actual: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49.4%</w:t>
      </w:r>
      <w:r w:rsidRPr="00727138">
        <w:rPr>
          <w:rFonts w:ascii="Arial" w:eastAsia="Times New Roman" w:hAnsi="Arial" w:cs="Arial"/>
          <w:kern w:val="0"/>
          <w14:ligatures w14:val="none"/>
        </w:rPr>
        <w:t>.</w:t>
      </w:r>
    </w:p>
    <w:p w14:paraId="4AC6F7F2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Objetivo: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Mantener por encima del 50% mediante estrategias de fidelización.</w:t>
      </w:r>
    </w:p>
    <w:p w14:paraId="4E22EDCF" w14:textId="77777777" w:rsidR="00727138" w:rsidRPr="00727138" w:rsidRDefault="00727138" w:rsidP="0072713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 xml:space="preserve">KPI 2: </w:t>
      </w:r>
      <w:proofErr w:type="gramStart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 xml:space="preserve"> Medio por Comprador (ARPU)</w:t>
      </w:r>
    </w:p>
    <w:p w14:paraId="2D09F172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Definición: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Gasto promedio (</w:t>
      </w:r>
      <w:proofErr w:type="spellStart"/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TotalAmount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) filtrando exclusivamente a los clientes que han comprado bicicleta (</w:t>
      </w:r>
      <w:proofErr w:type="spellStart"/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>BikePurchase</w:t>
      </w:r>
      <w:proofErr w:type="spellEnd"/>
      <w:r w:rsidRPr="0072713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1</w:t>
      </w:r>
      <w:r w:rsidRPr="00727138">
        <w:rPr>
          <w:rFonts w:ascii="Arial" w:eastAsia="Times New Roman" w:hAnsi="Arial" w:cs="Arial"/>
          <w:kern w:val="0"/>
          <w14:ligatures w14:val="none"/>
        </w:rPr>
        <w:t>).</w:t>
      </w:r>
    </w:p>
    <w:p w14:paraId="718074AF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Justificación: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Es vital diferenciarlo del gasto general. Actualmente situamos el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Medio real en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$3,145</w:t>
      </w:r>
      <w:r w:rsidRPr="00727138">
        <w:rPr>
          <w:rFonts w:ascii="Arial" w:eastAsia="Times New Roman" w:hAnsi="Arial" w:cs="Arial"/>
          <w:kern w:val="0"/>
          <w14:ligatures w14:val="none"/>
        </w:rPr>
        <w:t>.</w:t>
      </w:r>
    </w:p>
    <w:p w14:paraId="68094858" w14:textId="77777777" w:rsidR="00727138" w:rsidRPr="00727138" w:rsidRDefault="00727138" w:rsidP="0072713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KPI 3: Rentabilidad por Región (</w:t>
      </w:r>
      <w:proofErr w:type="gramStart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 xml:space="preserve"> Medio x Conversión)</w:t>
      </w:r>
    </w:p>
    <w:p w14:paraId="47295207" w14:textId="77777777" w:rsidR="00727138" w:rsidRPr="00727138" w:rsidRDefault="00727138" w:rsidP="007271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Insight</w:t>
      </w:r>
      <w:proofErr w:type="spellEnd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Permite comparar mercados. Mientras EE. UU. aporta volumen con un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de ~$2,560,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Australia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destaca como mercado </w:t>
      </w: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Premium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con un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superior a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$4,150</w:t>
      </w:r>
      <w:r w:rsidRPr="00727138">
        <w:rPr>
          <w:rFonts w:ascii="Arial" w:eastAsia="Times New Roman" w:hAnsi="Arial" w:cs="Arial"/>
          <w:kern w:val="0"/>
          <w14:ligatures w14:val="none"/>
        </w:rPr>
        <w:t>.</w:t>
      </w:r>
    </w:p>
    <w:p w14:paraId="173CAC44" w14:textId="77777777" w:rsidR="00727138" w:rsidRPr="00727138" w:rsidRDefault="00727138" w:rsidP="0072713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Times New Roman" w:eastAsia="Times New Roman" w:hAnsi="Times New Roman" w:cs="Times New Roman"/>
          <w:kern w:val="0"/>
          <w14:ligatures w14:val="none"/>
        </w:rPr>
        <w:pict w14:anchorId="2005CD16">
          <v:rect id="_x0000_i1027" style="width:0;height:1.5pt" o:hralign="center" o:hrstd="t" o:hr="t" fillcolor="#a0a0a0" stroked="f"/>
        </w:pict>
      </w:r>
    </w:p>
    <w:p w14:paraId="0DA95864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3.2. Análisis Predictivo: Hipótesis y Escenarios</w:t>
      </w:r>
    </w:p>
    <w:p w14:paraId="34B0A3D5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 xml:space="preserve">Basándonos en la correlación negativa detectada en la fase de modelado entre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TotalChildren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 xml:space="preserve"> y la compra de bicicletas, establecemos la siguiente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Hipótesis Estratégica</w:t>
      </w:r>
      <w:r w:rsidRPr="00727138">
        <w:rPr>
          <w:rFonts w:ascii="Arial" w:eastAsia="Times New Roman" w:hAnsi="Arial" w:cs="Arial"/>
          <w:kern w:val="0"/>
          <w14:ligatures w14:val="none"/>
        </w:rPr>
        <w:t>:</w:t>
      </w:r>
    </w:p>
    <w:p w14:paraId="778A025C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 xml:space="preserve">"La tendencia global hacia la reducción de la natalidad y el aumento de hogares 'DINK' (Double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Income</w:t>
      </w:r>
      <w:proofErr w:type="spellEnd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 xml:space="preserve">, No </w:t>
      </w:r>
      <w:proofErr w:type="spellStart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Kids</w:t>
      </w:r>
      <w:proofErr w:type="spellEnd"/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) generará un aumento orgánico en la demanda de bicicletas, al liberar renta disponible y tiempo de ocio."</w:t>
      </w:r>
    </w:p>
    <w:p w14:paraId="0489776A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 xml:space="preserve">Para validar el impacto financiero, hemos proyectado </w:t>
      </w: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tres escenarios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de caída de natalidad, aplicando el coeficiente calculado (-0.039) y ajustando el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Medio por el poder adquisitivo real de cada país:</w:t>
      </w:r>
    </w:p>
    <w:p w14:paraId="28B6D7E1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Tabla de Proyección de Impacto en Ventas (Análisis de Sensibilidad)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943"/>
        <w:gridCol w:w="3051"/>
        <w:gridCol w:w="2241"/>
      </w:tblGrid>
      <w:tr w:rsidR="00727138" w:rsidRPr="00727138" w14:paraId="5C1C89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49953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ABCAD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Hipótesis (% Caída Natalidad)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5032D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7B662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Impacto Proyectado (Ventas Extra)</w:t>
            </w:r>
          </w:p>
        </w:tc>
      </w:tr>
      <w:tr w:rsidR="00727138" w:rsidRPr="00727138" w14:paraId="68151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3F11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Pesimista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F3B00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7684F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kern w:val="0"/>
                <w14:ligatures w14:val="none"/>
              </w:rPr>
              <w:t>Continuidad de la tendencia actual suave.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7B89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+$203,668</w:t>
            </w:r>
          </w:p>
        </w:tc>
      </w:tr>
      <w:tr w:rsidR="00727138" w:rsidRPr="00727138" w14:paraId="39DFF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89EDB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EE68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0E420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kern w:val="0"/>
                <w14:ligatures w14:val="none"/>
              </w:rPr>
              <w:t>Aceleración de la baja natalidad en occidente.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C5905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+$407,335</w:t>
            </w:r>
          </w:p>
        </w:tc>
      </w:tr>
      <w:tr w:rsidR="00727138" w:rsidRPr="00727138" w14:paraId="0F159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ABA6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Optimista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1EB21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1313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kern w:val="0"/>
                <w14:ligatures w14:val="none"/>
              </w:rPr>
              <w:t>Cambio generacional consolidado (Estilo de vida "Sin hijos").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A1AF" w14:textId="77777777" w:rsidR="00727138" w:rsidRPr="00727138" w:rsidRDefault="00727138" w:rsidP="0072713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71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+$814,670</w:t>
            </w:r>
          </w:p>
        </w:tc>
      </w:tr>
    </w:tbl>
    <w:p w14:paraId="498E6177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i/>
          <w:iCs/>
          <w:kern w:val="0"/>
          <w14:ligatures w14:val="none"/>
        </w:rPr>
        <w:t>Nota: El cálculo considera la base de 18,484 clientes actuales. Un escenario optimista supondría casi 1 millón de dólares adicionales sin inversión extra en marketing, solo por tendencia demográfica.</w:t>
      </w:r>
    </w:p>
    <w:p w14:paraId="763DE1CD" w14:textId="77777777" w:rsidR="00727138" w:rsidRPr="00727138" w:rsidRDefault="00727138" w:rsidP="0072713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Times New Roman" w:eastAsia="Times New Roman" w:hAnsi="Times New Roman" w:cs="Times New Roman"/>
          <w:kern w:val="0"/>
          <w14:ligatures w14:val="none"/>
        </w:rPr>
        <w:pict w14:anchorId="19997A6B">
          <v:rect id="_x0000_i1028" style="width:0;height:1.5pt" o:hralign="center" o:hrstd="t" o:hr="t" fillcolor="#a0a0a0" stroked="f"/>
        </w:pict>
      </w:r>
    </w:p>
    <w:p w14:paraId="3F0C71EE" w14:textId="77777777" w:rsidR="00727138" w:rsidRPr="00727138" w:rsidRDefault="00727138" w:rsidP="007271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3.3. Conclusiones y Recomendaciones Estratégicas</w:t>
      </w:r>
    </w:p>
    <w:p w14:paraId="5B7B860F" w14:textId="77777777" w:rsidR="00727138" w:rsidRPr="00727138" w:rsidRDefault="00727138" w:rsidP="0072713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kern w:val="0"/>
          <w14:ligatures w14:val="none"/>
        </w:rPr>
        <w:t>Tras aplicar el ciclo OSEMN, se derivan tres líneas de actuación para la dirección:</w:t>
      </w:r>
    </w:p>
    <w:p w14:paraId="2CD2DC0B" w14:textId="77777777" w:rsidR="00727138" w:rsidRPr="00727138" w:rsidRDefault="00727138" w:rsidP="0072713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Pivotar hacia el mercado australiano (Estrategia de Valor):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Aunque EE. UU. tiene más clientes, Australia es un 60% más rentable por transacción. Se recomienda reasignar presupuesto publicitario para captar cuota en Oceanía, donde el </w:t>
      </w:r>
      <w:proofErr w:type="gramStart"/>
      <w:r w:rsidRPr="00727138">
        <w:rPr>
          <w:rFonts w:ascii="Arial" w:eastAsia="Times New Roman" w:hAnsi="Arial" w:cs="Arial"/>
          <w:kern w:val="0"/>
          <w14:ligatures w14:val="none"/>
        </w:rPr>
        <w:t>ticket</w:t>
      </w:r>
      <w:proofErr w:type="gramEnd"/>
      <w:r w:rsidRPr="00727138">
        <w:rPr>
          <w:rFonts w:ascii="Arial" w:eastAsia="Times New Roman" w:hAnsi="Arial" w:cs="Arial"/>
          <w:kern w:val="0"/>
          <w14:ligatures w14:val="none"/>
        </w:rPr>
        <w:t xml:space="preserve"> medio supera los $4,000.</w:t>
      </w:r>
    </w:p>
    <w:p w14:paraId="30506FBC" w14:textId="77777777" w:rsidR="00727138" w:rsidRPr="00727138" w:rsidRDefault="00727138" w:rsidP="0072713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Marketing de "Movilidad Sostenible" (Estrategia de Segmentación):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Dado que la propiedad de automóviles es el mayor inhibidor de compra (correlación -0.18), las campañas no deben dirigirse a familias "</w:t>
      </w:r>
      <w:proofErr w:type="spellStart"/>
      <w:r w:rsidRPr="00727138">
        <w:rPr>
          <w:rFonts w:ascii="Arial" w:eastAsia="Times New Roman" w:hAnsi="Arial" w:cs="Arial"/>
          <w:kern w:val="0"/>
          <w14:ligatures w14:val="none"/>
        </w:rPr>
        <w:t>multicoche</w:t>
      </w:r>
      <w:proofErr w:type="spellEnd"/>
      <w:r w:rsidRPr="00727138">
        <w:rPr>
          <w:rFonts w:ascii="Arial" w:eastAsia="Times New Roman" w:hAnsi="Arial" w:cs="Arial"/>
          <w:kern w:val="0"/>
          <w14:ligatures w14:val="none"/>
        </w:rPr>
        <w:t>", sino a perfiles urbanos con 0 o 1 vehículo, posicionando la bicicleta como sustituto de transporte y no solo como ocio.</w:t>
      </w:r>
    </w:p>
    <w:p w14:paraId="18DB3BB1" w14:textId="77777777" w:rsidR="00727138" w:rsidRPr="00727138" w:rsidRDefault="00727138" w:rsidP="0072713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27138">
        <w:rPr>
          <w:rFonts w:ascii="Arial" w:eastAsia="Times New Roman" w:hAnsi="Arial" w:cs="Arial"/>
          <w:b/>
          <w:bCs/>
          <w:kern w:val="0"/>
          <w14:ligatures w14:val="none"/>
        </w:rPr>
        <w:t>Aprovechamiento de la tendencia demográfica:</w:t>
      </w:r>
      <w:r w:rsidRPr="00727138">
        <w:rPr>
          <w:rFonts w:ascii="Arial" w:eastAsia="Times New Roman" w:hAnsi="Arial" w:cs="Arial"/>
          <w:kern w:val="0"/>
          <w14:ligatures w14:val="none"/>
        </w:rPr>
        <w:t xml:space="preserve"> La proyección financiera confirma que los hogares con menos cargas familiares son el futuro del negocio. La comunicación visual de la marca debe evolucionar de "familias numerosas en bicicleta" a "parejas o individuos aventureros", alineándose con el escenario optimista que promete el mayor retorno.</w:t>
      </w:r>
    </w:p>
    <w:p w14:paraId="50214078" w14:textId="77777777" w:rsidR="00BB7759" w:rsidRDefault="00BB7759"/>
    <w:sectPr w:rsidR="00BB7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B69"/>
    <w:multiLevelType w:val="multilevel"/>
    <w:tmpl w:val="4638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6161F"/>
    <w:multiLevelType w:val="multilevel"/>
    <w:tmpl w:val="D22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13B79"/>
    <w:multiLevelType w:val="multilevel"/>
    <w:tmpl w:val="CB7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43786"/>
    <w:multiLevelType w:val="multilevel"/>
    <w:tmpl w:val="BA44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494972">
    <w:abstractNumId w:val="2"/>
  </w:num>
  <w:num w:numId="2" w16cid:durableId="1527058130">
    <w:abstractNumId w:val="3"/>
  </w:num>
  <w:num w:numId="3" w16cid:durableId="1463111242">
    <w:abstractNumId w:val="1"/>
  </w:num>
  <w:num w:numId="4" w16cid:durableId="12092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38"/>
    <w:rsid w:val="00727138"/>
    <w:rsid w:val="00BB0281"/>
    <w:rsid w:val="00BB7759"/>
    <w:rsid w:val="00BF13E4"/>
    <w:rsid w:val="00DE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62D8"/>
  <w15:chartTrackingRefBased/>
  <w15:docId w15:val="{6F34381F-3434-4601-86C3-2F1C0B58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1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1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1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1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2713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271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1150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Cita Serrano</dc:creator>
  <cp:keywords/>
  <dc:description/>
  <cp:lastModifiedBy>Alejandro Cita Serrano</cp:lastModifiedBy>
  <cp:revision>1</cp:revision>
  <dcterms:created xsi:type="dcterms:W3CDTF">2026-01-11T21:13:00Z</dcterms:created>
  <dcterms:modified xsi:type="dcterms:W3CDTF">2026-01-11T21:13:00Z</dcterms:modified>
</cp:coreProperties>
</file>