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Análisis Estratégico de Clientes: AdventureWorks</w:t>
      </w:r>
    </w:p>
    <w:p>
      <w:pPr>
        <w:jc w:val="center"/>
      </w:pPr>
      <w:r>
        <w:rPr>
          <w:b/>
        </w:rPr>
        <w:t>Grupo 3 – Lote 3</w:t>
      </w:r>
    </w:p>
    <w:p>
      <w:pPr>
        <w:jc w:val="center"/>
      </w:pPr>
      <w:r>
        <w:rPr>
          <w:sz w:val="22"/>
        </w:rPr>
        <w:t>Integrantes: Leticia, Alejandro, Iván</w:t>
      </w:r>
    </w:p>
    <w:p>
      <w:r>
        <w:rPr>
          <w:b/>
          <w:sz w:val="24"/>
        </w:rPr>
        <w:t>1. Análisis Exploratorio con IA</w:t>
      </w:r>
    </w:p>
    <w:p>
      <w:r>
        <w:rPr>
          <w:b/>
          <w:sz w:val="22"/>
        </w:rPr>
        <w:t>1.1 Metodología de Interacción</w:t>
      </w:r>
    </w:p>
    <w:p>
      <w:r>
        <w:t>Se utilizó IA (Claude) en un proceso iterativo de análisis:</w:t>
      </w:r>
    </w:p>
    <w:p>
      <w:pPr>
        <w:pStyle w:val="ListBullet"/>
      </w:pPr>
      <w:r>
        <w:t>Exploración inicial: Identificación de patrones de segmentación y correlaciones con BikePurchase.</w:t>
      </w:r>
    </w:p>
    <w:p>
      <w:pPr>
        <w:pStyle w:val="ListBullet"/>
      </w:pPr>
      <w:r>
        <w:t>Validación de cálculos: Verificación del coeficiente de regresión (-0,039) y ticket medio (3.146€).</w:t>
      </w:r>
    </w:p>
    <w:p>
      <w:pPr>
        <w:pStyle w:val="ListBullet"/>
      </w:pPr>
      <w:r>
        <w:t>Auditoría de conclusiones: Detección de imprecisiones en interpretaciones previas.</w:t>
      </w:r>
    </w:p>
    <w:p>
      <w:pPr>
        <w:pStyle w:val="ListBullet"/>
      </w:pPr>
      <w:r>
        <w:t>Cuantificación de oportunidades: Cálculo del potencial de ingresos por segmento.</w:t>
      </w:r>
    </w:p>
    <w:p>
      <w:r>
        <w:rPr>
          <w:b/>
          <w:sz w:val="22"/>
        </w:rPr>
        <w:t>1.2 Reflexión Crítica sobre el Uso de 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B80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320"/>
            <w:shd w:fill="E6B800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4320"/>
          </w:tcPr>
          <w:p>
            <w:r>
              <w:t>Fortalezas</w:t>
            </w:r>
          </w:p>
        </w:tc>
        <w:tc>
          <w:tcPr>
            <w:tcW w:type="dxa" w:w="4320"/>
          </w:tcPr>
          <w:p>
            <w:r>
              <w:t>Identificación rápida de correlaciones. Cálculo preciso de métricas estadísticas.</w:t>
            </w:r>
          </w:p>
        </w:tc>
      </w:tr>
      <w:tr>
        <w:tc>
          <w:tcPr>
            <w:tcW w:type="dxa" w:w="4320"/>
          </w:tcPr>
          <w:p>
            <w:r>
              <w:t>Limitaciones</w:t>
            </w:r>
          </w:p>
        </w:tc>
        <w:tc>
          <w:tcPr>
            <w:tcW w:type="dxa" w:w="4320"/>
          </w:tcPr>
          <w:p>
            <w:r>
              <w:t>Sugirió hipótesis genéricas que descartamos. No detectó automáticamente Pacific como mercado premium.</w:t>
            </w:r>
          </w:p>
        </w:tc>
      </w:tr>
      <w:tr>
        <w:tc>
          <w:tcPr>
            <w:tcW w:type="dxa" w:w="4320"/>
          </w:tcPr>
          <w:p>
            <w:r>
              <w:t>Mejoras aplicadas</w:t>
            </w:r>
          </w:p>
        </w:tc>
        <w:tc>
          <w:tcPr>
            <w:tcW w:type="dxa" w:w="4320"/>
          </w:tcPr>
          <w:p>
            <w:r>
              <w:t>Validación manual de cada conclusión. Corrección de interpretaciones sesgadas.</w:t>
            </w:r>
          </w:p>
        </w:tc>
      </w:tr>
    </w:tbl>
    <w:p>
      <w:r>
        <w:rPr>
          <w:b/>
        </w:rPr>
        <w:t xml:space="preserve">Aprendizaje: </w:t>
      </w:r>
      <w:r>
        <w:t>La IA es útil como punto de partida, pero requiere validación crítica humana.</w:t>
      </w:r>
    </w:p>
    <w:p>
      <w:r>
        <w:rPr>
          <w:b/>
          <w:sz w:val="24"/>
        </w:rPr>
        <w:t>2. KPIs y Metodología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B80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  <w:shd w:fill="E6B800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880"/>
            <w:shd w:fill="E6B800"/>
          </w:tcPr>
          <w:p>
            <w:r>
              <w:rPr>
                <w:b/>
              </w:rPr>
              <w:t>Beneficio</w:t>
            </w:r>
          </w:p>
        </w:tc>
      </w:tr>
      <w:tr>
        <w:tc>
          <w:tcPr>
            <w:tcW w:type="dxa" w:w="2880"/>
          </w:tcPr>
          <w:p>
            <w:r>
              <w:t>Tasa Conversión</w:t>
            </w:r>
          </w:p>
        </w:tc>
        <w:tc>
          <w:tcPr>
            <w:tcW w:type="dxa" w:w="2880"/>
          </w:tcPr>
          <w:p>
            <w:r>
              <w:t>(Compradores/Total)×100</w:t>
            </w:r>
          </w:p>
        </w:tc>
        <w:tc>
          <w:tcPr>
            <w:tcW w:type="dxa" w:w="2880"/>
          </w:tcPr>
          <w:p>
            <w:r>
              <w:t>Prioriza inversión marketing</w:t>
            </w:r>
          </w:p>
        </w:tc>
      </w:tr>
      <w:tr>
        <w:tc>
          <w:tcPr>
            <w:tcW w:type="dxa" w:w="2880"/>
          </w:tcPr>
          <w:p>
            <w:r>
              <w:t>Ticket Medio Región</w:t>
            </w:r>
          </w:p>
        </w:tc>
        <w:tc>
          <w:tcPr>
            <w:tcW w:type="dxa" w:w="2880"/>
          </w:tcPr>
          <w:p>
            <w:r>
              <w:t>Σ Amount / N clientes</w:t>
            </w:r>
          </w:p>
        </w:tc>
        <w:tc>
          <w:tcPr>
            <w:tcW w:type="dxa" w:w="2880"/>
          </w:tcPr>
          <w:p>
            <w:r>
              <w:t>Detecta mercados premium</w:t>
            </w:r>
          </w:p>
        </w:tc>
      </w:tr>
      <w:tr>
        <w:tc>
          <w:tcPr>
            <w:tcW w:type="dxa" w:w="2880"/>
          </w:tcPr>
          <w:p>
            <w:r>
              <w:t>Propensión Familiar</w:t>
            </w:r>
          </w:p>
        </w:tc>
        <w:tc>
          <w:tcPr>
            <w:tcW w:type="dxa" w:w="2880"/>
          </w:tcPr>
          <w:p>
            <w:r>
              <w:t>Tasa por TotalChildren</w:t>
            </w:r>
          </w:p>
        </w:tc>
        <w:tc>
          <w:tcPr>
            <w:tcW w:type="dxa" w:w="2880"/>
          </w:tcPr>
          <w:p>
            <w:r>
              <w:t>Segmentación familiar</w:t>
            </w:r>
          </w:p>
        </w:tc>
      </w:tr>
      <w:tr>
        <w:tc>
          <w:tcPr>
            <w:tcW w:type="dxa" w:w="2880"/>
          </w:tcPr>
          <w:p>
            <w:r>
              <w:t>ARPU</w:t>
            </w:r>
          </w:p>
        </w:tc>
        <w:tc>
          <w:tcPr>
            <w:tcW w:type="dxa" w:w="2880"/>
          </w:tcPr>
          <w:p>
            <w:r>
              <w:t>Σ Amount / N únicos</w:t>
            </w:r>
          </w:p>
        </w:tc>
        <w:tc>
          <w:tcPr>
            <w:tcW w:type="dxa" w:w="2880"/>
          </w:tcPr>
          <w:p>
            <w:r>
              <w:t>Rentabilidad por cliente</w:t>
            </w:r>
          </w:p>
        </w:tc>
      </w:tr>
    </w:tbl>
    <w:p>
      <w:r>
        <w:rPr>
          <w:b/>
          <w:sz w:val="24"/>
        </w:rPr>
        <w:t>3. Dashboard e Insights Clave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97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correg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7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Hallazgos principales:</w:t>
      </w:r>
    </w:p>
    <w:p>
      <w:pPr>
        <w:pStyle w:val="ListBullet"/>
      </w:pPr>
      <w:r>
        <w:t>Pacific = Mercado Premium: 60% conversión y 2.523€ ticket (doble que NA).</w:t>
      </w:r>
    </w:p>
    <w:p>
      <w:pPr>
        <w:pStyle w:val="ListBullet"/>
      </w:pPr>
      <w:r>
        <w:t>Pico en 1 hijo: 60% conversión máxima, oportunidad "Primera Bici Familiar".</w:t>
      </w:r>
    </w:p>
    <w:p>
      <w:pPr>
        <w:pStyle w:val="ListBullet"/>
      </w:pPr>
      <w:r>
        <w:t>Clerical lidera: 56% conversión vs 50% Professional. Segmento infraexplotado.</w:t>
      </w:r>
    </w:p>
    <w:p>
      <w:pPr>
        <w:pStyle w:val="ListBullet"/>
      </w:pPr>
      <w:r>
        <w:t>Educación predice: Bachelors (56%) duplica Partial High School (31%).</w:t>
      </w:r>
    </w:p>
    <w:p>
      <w:r>
        <w:rPr>
          <w:b/>
          <w:sz w:val="24"/>
        </w:rPr>
        <w:t>4. Acciones Estratégicas</w:t>
      </w:r>
    </w:p>
    <w:p>
      <w:r>
        <w:rPr>
          <w:b/>
        </w:rPr>
        <w:t xml:space="preserve">Contexto: </w:t>
      </w:r>
      <w:r>
        <w:t>El coef. regresión (-0,039) indica que menor natalidad favorece ventas. Proponemos acciones proactivas: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0AD47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880"/>
            <w:shd w:fill="70AD47"/>
          </w:tcPr>
          <w:p>
            <w:r>
              <w:rPr>
                <w:b/>
              </w:rPr>
              <w:t>Segmento Target</w:t>
            </w:r>
          </w:p>
        </w:tc>
        <w:tc>
          <w:tcPr>
            <w:tcW w:type="dxa" w:w="2880"/>
            <w:shd w:fill="70AD47"/>
          </w:tcPr>
          <w:p>
            <w:r>
              <w:rPr>
                <w:b/>
              </w:rPr>
              <w:t>Potencial</w:t>
            </w:r>
          </w:p>
        </w:tc>
      </w:tr>
      <w:tr>
        <w:tc>
          <w:tcPr>
            <w:tcW w:type="dxa" w:w="2880"/>
          </w:tcPr>
          <w:p>
            <w:r>
              <w:t>Campaña "Primera Bici Familiar"</w:t>
            </w:r>
          </w:p>
        </w:tc>
        <w:tc>
          <w:tcPr>
            <w:tcW w:type="dxa" w:w="2880"/>
          </w:tcPr>
          <w:p>
            <w:r>
              <w:t>Familias 1 hijo sin bici (1.447)</w:t>
            </w:r>
          </w:p>
        </w:tc>
        <w:tc>
          <w:tcPr>
            <w:tcW w:type="dxa" w:w="2880"/>
          </w:tcPr>
          <w:p>
            <w:r>
              <w:t>2,7M€</w:t>
            </w:r>
          </w:p>
        </w:tc>
      </w:tr>
      <w:tr>
        <w:tc>
          <w:tcPr>
            <w:tcW w:type="dxa" w:w="2880"/>
          </w:tcPr>
          <w:p>
            <w:r>
              <w:t>Expansión Premium Pacific</w:t>
            </w:r>
          </w:p>
        </w:tc>
        <w:tc>
          <w:tcPr>
            <w:tcW w:type="dxa" w:w="2880"/>
          </w:tcPr>
          <w:p>
            <w:r>
              <w:t>Australia sin bici (1.436)</w:t>
            </w:r>
          </w:p>
        </w:tc>
        <w:tc>
          <w:tcPr>
            <w:tcW w:type="dxa" w:w="2880"/>
          </w:tcPr>
          <w:p>
            <w:r>
              <w:t>2,7M€</w:t>
            </w:r>
          </w:p>
        </w:tc>
      </w:tr>
      <w:tr>
        <w:tc>
          <w:tcPr>
            <w:tcW w:type="dxa" w:w="2880"/>
          </w:tcPr>
          <w:p>
            <w:r>
              <w:t>Targeting Clerical + Edu Alta</w:t>
            </w:r>
          </w:p>
        </w:tc>
        <w:tc>
          <w:tcPr>
            <w:tcW w:type="dxa" w:w="2880"/>
          </w:tcPr>
          <w:p>
            <w:r>
              <w:t>Clerical con Bachelors/Graduate</w:t>
            </w:r>
          </w:p>
        </w:tc>
        <w:tc>
          <w:tcPr>
            <w:tcW w:type="dxa" w:w="2880"/>
          </w:tcPr>
          <w:p>
            <w:r>
              <w:t>56% conv.</w:t>
            </w:r>
          </w:p>
        </w:tc>
      </w:tr>
    </w:tbl>
    <w:p>
      <w:r>
        <w:rPr>
          <w:b/>
        </w:rPr>
        <w:t xml:space="preserve">Recomendación: </w:t>
      </w:r>
      <w:r>
        <w:t>Redirigir 20% presupuesto marketing de NA a Pacific (doble valor por cliente).</w:t>
      </w:r>
    </w:p>
    <w:p>
      <w:r>
        <w:rPr>
          <w:i/>
          <w:sz w:val="20"/>
        </w:rPr>
        <w:t>Nota: Análisis validado con IA y complementado con revisión crítica humana.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