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Análisis Estratégico de Clientes: AdventureWorks</w:t>
      </w:r>
    </w:p>
    <w:p>
      <w:pPr>
        <w:jc w:val="center"/>
      </w:pPr>
      <w:r>
        <w:rPr>
          <w:b/>
        </w:rPr>
        <w:t>Grupo 3 – Lote 3</w:t>
      </w:r>
    </w:p>
    <w:p>
      <w:pPr>
        <w:jc w:val="center"/>
      </w:pPr>
      <w:r>
        <w:rPr>
          <w:sz w:val="22"/>
        </w:rPr>
        <w:t>Integrantes: Leticia, Alejandro, Iván</w:t>
      </w:r>
    </w:p>
    <w:p>
      <w:r>
        <w:rPr>
          <w:b/>
          <w:sz w:val="24"/>
        </w:rPr>
        <w:t>1. Cómo la IA Transformó Nuestro Análisis</w:t>
      </w:r>
    </w:p>
    <w:p>
      <w:r>
        <w:rPr>
          <w:b/>
          <w:sz w:val="22"/>
        </w:rPr>
        <w:t>1.1 Limitación del Análisis Univariante</w:t>
      </w:r>
    </w:p>
    <w:p>
      <w:r>
        <w:t xml:space="preserve">El análisis tradicional examina una variable a la vez: "Pacific tiene 60% conversión", "1 hijo tiene 60% conversión". Pero este enfoque </w:t>
      </w:r>
      <w:r>
        <w:rPr>
          <w:i/>
        </w:rPr>
        <w:t>no detecta cómo las variables interactúan entre sí.</w:t>
      </w:r>
    </w:p>
    <w:p>
      <w:r>
        <w:rPr>
          <w:b/>
          <w:sz w:val="22"/>
        </w:rPr>
        <w:t>1.2 Descubrimiento: Las Variables se Amplifican al Cruzarse</w:t>
      </w:r>
    </w:p>
    <w:p>
      <w:r>
        <w:t xml:space="preserve">Mediante análisis cruzado con IA, descubrimos que los patrones se </w:t>
      </w:r>
      <w:r>
        <w:rPr>
          <w:b/>
        </w:rPr>
        <w:t>potencian</w:t>
      </w:r>
      <w:r>
        <w:t xml:space="preserve"> cuando combinamos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B800"/>
          </w:tcPr>
          <w:p>
            <w:r>
              <w:rPr>
                <w:b/>
              </w:rPr>
              <w:t>Variable Individual</w:t>
            </w:r>
          </w:p>
        </w:tc>
        <w:tc>
          <w:tcPr>
            <w:tcW w:type="dxa" w:w="2880"/>
            <w:shd w:fill="E6B800"/>
          </w:tcPr>
          <w:p>
            <w:r>
              <w:rPr>
                <w:b/>
              </w:rPr>
              <w:t>Cruce con Pacific</w:t>
            </w:r>
          </w:p>
        </w:tc>
        <w:tc>
          <w:tcPr>
            <w:tcW w:type="dxa" w:w="2880"/>
            <w:shd w:fill="E6B800"/>
          </w:tcPr>
          <w:p>
            <w:r>
              <w:rPr>
                <w:b/>
              </w:rPr>
              <w:t>Amplificación</w:t>
            </w:r>
          </w:p>
        </w:tc>
      </w:tr>
      <w:tr>
        <w:tc>
          <w:tcPr>
            <w:tcW w:type="dxa" w:w="2880"/>
          </w:tcPr>
          <w:p>
            <w:r>
              <w:t>1 hijo: 60% conv.</w:t>
            </w:r>
          </w:p>
        </w:tc>
        <w:tc>
          <w:tcPr>
            <w:tcW w:type="dxa" w:w="2880"/>
          </w:tcPr>
          <w:p>
            <w:r>
              <w:t>Pacific + 1 hijo: 78%</w:t>
            </w:r>
          </w:p>
        </w:tc>
        <w:tc>
          <w:tcPr>
            <w:tcW w:type="dxa" w:w="2880"/>
          </w:tcPr>
          <w:p>
            <w:r>
              <w:t>+18 puntos</w:t>
            </w:r>
          </w:p>
        </w:tc>
      </w:tr>
      <w:tr>
        <w:tc>
          <w:tcPr>
            <w:tcW w:type="dxa" w:w="2880"/>
          </w:tcPr>
          <w:p>
            <w:r>
              <w:t>Manual: 44% conv.</w:t>
            </w:r>
          </w:p>
        </w:tc>
        <w:tc>
          <w:tcPr>
            <w:tcW w:type="dxa" w:w="2880"/>
          </w:tcPr>
          <w:p>
            <w:r>
              <w:t>Pacific + Manual: 85%</w:t>
            </w:r>
          </w:p>
        </w:tc>
        <w:tc>
          <w:tcPr>
            <w:tcW w:type="dxa" w:w="2880"/>
          </w:tcPr>
          <w:p>
            <w:r>
              <w:t>+41 puntos</w:t>
            </w:r>
          </w:p>
        </w:tc>
      </w:tr>
      <w:tr>
        <w:tc>
          <w:tcPr>
            <w:tcW w:type="dxa" w:w="2880"/>
          </w:tcPr>
          <w:p>
            <w:r>
              <w:t>0 hijos: 51% conv.</w:t>
            </w:r>
          </w:p>
        </w:tc>
        <w:tc>
          <w:tcPr>
            <w:tcW w:type="dxa" w:w="2880"/>
          </w:tcPr>
          <w:p>
            <w:r>
              <w:t>Pacific + Clerical + 0 hijos: 92%</w:t>
            </w:r>
          </w:p>
        </w:tc>
        <w:tc>
          <w:tcPr>
            <w:tcW w:type="dxa" w:w="2880"/>
          </w:tcPr>
          <w:p>
            <w:r>
              <w:t>+41 puntos</w:t>
            </w:r>
          </w:p>
        </w:tc>
      </w:tr>
    </w:tbl>
    <w:p>
      <w:r>
        <w:rPr>
          <w:b/>
          <w:sz w:val="22"/>
        </w:rPr>
        <w:t>1.3 Reflexión Crítica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B80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  <w:shd w:fill="E6B80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4320"/>
          </w:tcPr>
          <w:p>
            <w:r>
              <w:t>Fortaleza clave</w:t>
            </w:r>
          </w:p>
        </w:tc>
        <w:tc>
          <w:tcPr>
            <w:tcW w:type="dxa" w:w="4320"/>
          </w:tcPr>
          <w:p>
            <w:r>
              <w:t>Capacidad de cruzar múltiples variables simultáneamente y detectar patrones ocultos que el análisis humano univariante no ve.</w:t>
            </w:r>
          </w:p>
        </w:tc>
      </w:tr>
      <w:tr>
        <w:tc>
          <w:tcPr>
            <w:tcW w:type="dxa" w:w="4320"/>
          </w:tcPr>
          <w:p>
            <w:r>
              <w:t>Limitación</w:t>
            </w:r>
          </w:p>
        </w:tc>
        <w:tc>
          <w:tcPr>
            <w:tcW w:type="dxa" w:w="4320"/>
          </w:tcPr>
          <w:p>
            <w:r>
              <w:t>Requiere que el humano formule las preguntas correctas y valide que los segmentos tengan tamaño suficiente.</w:t>
            </w:r>
          </w:p>
        </w:tc>
      </w:tr>
      <w:tr>
        <w:tc>
          <w:tcPr>
            <w:tcW w:type="dxa" w:w="4320"/>
          </w:tcPr>
          <w:p>
            <w:r>
              <w:t>Mejora aplicada</w:t>
            </w:r>
          </w:p>
        </w:tc>
        <w:tc>
          <w:tcPr>
            <w:tcW w:type="dxa" w:w="4320"/>
          </w:tcPr>
          <w:p>
            <w:r>
              <w:t>Filtramos segmentos con mínimo 50 clientes para asegurar significancia estadística.</w:t>
            </w:r>
          </w:p>
        </w:tc>
      </w:tr>
    </w:tbl>
    <w:p>
      <w:r>
        <w:rPr>
          <w:b/>
          <w:sz w:val="24"/>
        </w:rPr>
        <w:t>2. KPIs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B80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  <w:shd w:fill="E6B800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880"/>
            <w:shd w:fill="E6B80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Tasa Conversión Segmento</w:t>
            </w:r>
          </w:p>
        </w:tc>
        <w:tc>
          <w:tcPr>
            <w:tcW w:type="dxa" w:w="2880"/>
          </w:tcPr>
          <w:p>
            <w:r>
              <w:t>(Compradores/Total)×100</w:t>
            </w:r>
          </w:p>
        </w:tc>
        <w:tc>
          <w:tcPr>
            <w:tcW w:type="dxa" w:w="2880"/>
          </w:tcPr>
          <w:p>
            <w:r>
              <w:t>Priorizar inversión</w:t>
            </w:r>
          </w:p>
        </w:tc>
      </w:tr>
      <w:tr>
        <w:tc>
          <w:tcPr>
            <w:tcW w:type="dxa" w:w="2880"/>
          </w:tcPr>
          <w:p>
            <w:r>
              <w:t>Ticket Medio</w:t>
            </w:r>
          </w:p>
        </w:tc>
        <w:tc>
          <w:tcPr>
            <w:tcW w:type="dxa" w:w="2880"/>
          </w:tcPr>
          <w:p>
            <w:r>
              <w:t>Σ Amount / N</w:t>
            </w:r>
          </w:p>
        </w:tc>
        <w:tc>
          <w:tcPr>
            <w:tcW w:type="dxa" w:w="2880"/>
          </w:tcPr>
          <w:p>
            <w:r>
              <w:t>Identificar mercados premium</w:t>
            </w:r>
          </w:p>
        </w:tc>
      </w:tr>
      <w:tr>
        <w:tc>
          <w:tcPr>
            <w:tcW w:type="dxa" w:w="2880"/>
          </w:tcPr>
          <w:p>
            <w:r>
              <w:t>Potencial €</w:t>
            </w:r>
          </w:p>
        </w:tc>
        <w:tc>
          <w:tcPr>
            <w:tcW w:type="dxa" w:w="2880"/>
          </w:tcPr>
          <w:p>
            <w:r>
              <w:t>No_compradores × Tasa × Ticket</w:t>
            </w:r>
          </w:p>
        </w:tc>
        <w:tc>
          <w:tcPr>
            <w:tcW w:type="dxa" w:w="2880"/>
          </w:tcPr>
          <w:p>
            <w:r>
              <w:t>Cuantificar oportunidad</w:t>
            </w:r>
          </w:p>
        </w:tc>
      </w:tr>
    </w:tbl>
    <w:p>
      <w:r>
        <w:rPr>
          <w:b/>
          <w:sz w:val="24"/>
        </w:rPr>
        <w:t>3. Dashboard e Insights del Análisis Cruzado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97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correg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7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Hallazgos del análisis cruzado:</w:t>
      </w:r>
    </w:p>
    <w:p>
      <w:pPr>
        <w:pStyle w:val="ListBullet"/>
      </w:pPr>
      <w:r>
        <w:t>Pacific + 1 hijo = 78% conversión: El efecto "primera bici familiar" se amplifica en Australia.</w:t>
      </w:r>
    </w:p>
    <w:p>
      <w:pPr>
        <w:pStyle w:val="ListBullet"/>
      </w:pPr>
      <w:r>
        <w:t>Pacific + Manual = 85% conversión: Trabajadores manuales australianos son el segmento estrella.</w:t>
      </w:r>
    </w:p>
    <w:p>
      <w:pPr>
        <w:pStyle w:val="ListBullet"/>
      </w:pPr>
      <w:r>
        <w:t>Pacific + Clerical + 0 hijos = 92% conversión: Segmento hiperespecífico con conversión casi total.</w:t>
      </w:r>
    </w:p>
    <w:p>
      <w:pPr>
        <w:pStyle w:val="ListBullet"/>
      </w:pPr>
      <w:r>
        <w:t>Europe + Clerical + 0 hijos = 75% conversión con 143 sin bici: Mayor potencial en Europa.</w:t>
      </w:r>
    </w:p>
    <w:p>
      <w:r>
        <w:rPr>
          <w:b/>
          <w:sz w:val="24"/>
        </w:rPr>
        <w:t>4. Acciones Estratégicas Hipersegmentadas</w:t>
      </w:r>
    </w:p>
    <w:p>
      <w:r>
        <w:t>El análisis cruzado permite acciones de precisión quirúrgica: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0AD47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  <w:shd w:fill="70AD47"/>
          </w:tcPr>
          <w:p>
            <w:r>
              <w:rPr>
                <w:b/>
              </w:rPr>
              <w:t>Segmento Específico</w:t>
            </w:r>
          </w:p>
        </w:tc>
        <w:tc>
          <w:tcPr>
            <w:tcW w:type="dxa" w:w="2880"/>
            <w:shd w:fill="70AD47"/>
          </w:tcPr>
          <w:p>
            <w:r>
              <w:rPr>
                <w:b/>
              </w:rPr>
              <w:t>Potencial</w:t>
            </w:r>
          </w:p>
        </w:tc>
      </w:tr>
      <w:tr>
        <w:tc>
          <w:tcPr>
            <w:tcW w:type="dxa" w:w="2880"/>
          </w:tcPr>
          <w:p>
            <w:r>
              <w:t>Campaña "Primera Bici" Australia</w:t>
            </w:r>
          </w:p>
        </w:tc>
        <w:tc>
          <w:tcPr>
            <w:tcW w:type="dxa" w:w="2880"/>
          </w:tcPr>
          <w:p>
            <w:r>
              <w:t>Pacific + 1 hijo (78% conv.)</w:t>
            </w:r>
          </w:p>
        </w:tc>
        <w:tc>
          <w:tcPr>
            <w:tcW w:type="dxa" w:w="2880"/>
          </w:tcPr>
          <w:p>
            <w:r>
              <w:t>Alto valor</w:t>
            </w:r>
          </w:p>
        </w:tc>
      </w:tr>
      <w:tr>
        <w:tc>
          <w:tcPr>
            <w:tcW w:type="dxa" w:w="2880"/>
          </w:tcPr>
          <w:p>
            <w:r>
              <w:t>Targeting Clerical Europa</w:t>
            </w:r>
          </w:p>
        </w:tc>
        <w:tc>
          <w:tcPr>
            <w:tcW w:type="dxa" w:w="2880"/>
          </w:tcPr>
          <w:p>
            <w:r>
              <w:t>Europe + Clerical + 0 hijos (75%)</w:t>
            </w:r>
          </w:p>
        </w:tc>
        <w:tc>
          <w:tcPr>
            <w:tcW w:type="dxa" w:w="2880"/>
          </w:tcPr>
          <w:p>
            <w:r>
              <w:t>246K€</w:t>
            </w:r>
          </w:p>
        </w:tc>
      </w:tr>
      <w:tr>
        <w:tc>
          <w:tcPr>
            <w:tcW w:type="dxa" w:w="2880"/>
          </w:tcPr>
          <w:p>
            <w:r>
              <w:t>Premium Professionals Pacific</w:t>
            </w:r>
          </w:p>
        </w:tc>
        <w:tc>
          <w:tcPr>
            <w:tcW w:type="dxa" w:w="2880"/>
          </w:tcPr>
          <w:p>
            <w:r>
              <w:t>Pacific + Professional + 0 hijos</w:t>
            </w:r>
          </w:p>
        </w:tc>
        <w:tc>
          <w:tcPr>
            <w:tcW w:type="dxa" w:w="2880"/>
          </w:tcPr>
          <w:p>
            <w:r>
              <w:t>539K€</w:t>
            </w:r>
          </w:p>
        </w:tc>
      </w:tr>
    </w:tbl>
    <w:p>
      <w:r>
        <w:rPr>
          <w:b/>
        </w:rPr>
        <w:t xml:space="preserve">Recomendación: </w:t>
      </w:r>
      <w:r>
        <w:t>Abandonar campañas genéricas. El análisis cruzado demuestra que segmentos específicos (3 variables) alcanzan &gt;85% conversión. Cada euro invertido en estos microsegmentos tiene ROI muy superior.</w:t>
      </w:r>
    </w:p>
    <w:p>
      <w:r>
        <w:rPr>
          <w:i/>
        </w:rPr>
        <w:t xml:space="preserve">Nota: </w:t>
      </w:r>
      <w:r>
        <w:rPr>
          <w:i/>
          <w:sz w:val="20"/>
        </w:rPr>
        <w:t>La IA no solo validó datos; transformó el análisis al revelar interacciones entre variables que el enfoque univariante humano no detecta.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