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4002F" w14:textId="2A8240AF" w:rsidR="00011267" w:rsidRPr="006F6F6D" w:rsidRDefault="006F6F6D">
      <w:pPr>
        <w:rPr>
          <w:b/>
          <w:bCs/>
          <w:i/>
          <w:iCs/>
        </w:rPr>
      </w:pPr>
      <w:r w:rsidRPr="006F6F6D">
        <w:rPr>
          <w:b/>
          <w:bCs/>
          <w:i/>
          <w:iCs/>
        </w:rPr>
        <w:t>Posibles hipótesi</w:t>
      </w:r>
      <w:r>
        <w:rPr>
          <w:b/>
          <w:bCs/>
          <w:i/>
          <w:iCs/>
        </w:rPr>
        <w:t>s</w:t>
      </w:r>
    </w:p>
    <w:p w14:paraId="631DA586" w14:textId="0CD78CE7" w:rsidR="006F6F6D" w:rsidRDefault="006F6F6D" w:rsidP="006F6F6D">
      <w:pPr>
        <w:rPr>
          <w:i/>
          <w:iCs/>
        </w:rPr>
      </w:pPr>
      <w:r w:rsidRPr="006F6F6D">
        <w:rPr>
          <w:b/>
          <w:bCs/>
        </w:rPr>
        <w:t>Hipótesis 1. Diferenciación regional del comprador de bicicletas</w:t>
      </w:r>
      <w:r w:rsidRPr="006F6F6D">
        <w:br/>
      </w:r>
      <w:r w:rsidRPr="006F6F6D">
        <w:rPr>
          <w:i/>
          <w:iCs/>
        </w:rPr>
        <w:t>El perfil sociodemográfico y económico de los clientes que han comprado bicicletas presenta diferencias significativas entre regiones geográficas, concretamente entre Francia y Australia, lo que implica que una estrategia de marketing homogénea para el segmento de “Compradores de Bicicletas” no resulta óptima y requiere adaptaciones específicas por mercado.</w:t>
      </w:r>
    </w:p>
    <w:p w14:paraId="50C45FA8" w14:textId="19F6A2A6" w:rsidR="003040DA" w:rsidRPr="006F6F6D" w:rsidRDefault="003040DA" w:rsidP="006F6F6D">
      <w:pPr>
        <w:rPr>
          <w:b/>
          <w:bCs/>
        </w:rPr>
      </w:pPr>
      <w:r>
        <w:t>Analiza si el comportamiento y el valor del comprador varía entre mercados. Permitiría justificar estrategias de marketing diferenciadas por país.</w:t>
      </w:r>
    </w:p>
    <w:p w14:paraId="5AA0EC3E" w14:textId="69029EE7" w:rsidR="006F6F6D" w:rsidRDefault="006F6F6D" w:rsidP="006F6F6D">
      <w:pPr>
        <w:rPr>
          <w:i/>
          <w:iCs/>
        </w:rPr>
      </w:pPr>
      <w:r w:rsidRPr="006F6F6D">
        <w:rPr>
          <w:b/>
          <w:bCs/>
        </w:rPr>
        <w:t>Hipótesis 2. Existencia de un “segmento espejo” con alto potencial de conversión</w:t>
      </w:r>
      <w:r w:rsidRPr="006F6F6D">
        <w:br/>
      </w:r>
      <w:r w:rsidRPr="006F6F6D">
        <w:rPr>
          <w:i/>
          <w:iCs/>
        </w:rPr>
        <w:t>Existe un “segmento espejo” de clientes que no han comprado bicicletas (</w:t>
      </w:r>
      <w:proofErr w:type="spellStart"/>
      <w:r w:rsidRPr="006F6F6D">
        <w:rPr>
          <w:i/>
          <w:iCs/>
        </w:rPr>
        <w:t>Bike</w:t>
      </w:r>
      <w:proofErr w:type="spellEnd"/>
      <w:r w:rsidRPr="006F6F6D">
        <w:rPr>
          <w:i/>
          <w:iCs/>
        </w:rPr>
        <w:t xml:space="preserve"> </w:t>
      </w:r>
      <w:proofErr w:type="spellStart"/>
      <w:r w:rsidRPr="006F6F6D">
        <w:rPr>
          <w:i/>
          <w:iCs/>
        </w:rPr>
        <w:t>Purchase</w:t>
      </w:r>
      <w:proofErr w:type="spellEnd"/>
      <w:r w:rsidRPr="006F6F6D">
        <w:rPr>
          <w:i/>
          <w:iCs/>
        </w:rPr>
        <w:t xml:space="preserve"> = 0) pero que comparten características clave —como nivel de ingresos, edad y número de vehículos— con los clientes compradores de bicicletas de mayor valor económico, lo que representa una oportunidad de venta cruzada con un riesgo de conversión reducido.</w:t>
      </w:r>
    </w:p>
    <w:p w14:paraId="150F2802" w14:textId="6FA48F08" w:rsidR="003734C7" w:rsidRPr="006F6F6D" w:rsidRDefault="003734C7" w:rsidP="006F6F6D">
      <w:pPr>
        <w:rPr>
          <w:b/>
          <w:bCs/>
        </w:rPr>
      </w:pPr>
      <w:r>
        <w:t xml:space="preserve">Identificamos clientes de alto valor que aún no han comprado </w:t>
      </w:r>
      <w:proofErr w:type="gramStart"/>
      <w:r>
        <w:t>bici</w:t>
      </w:r>
      <w:proofErr w:type="gramEnd"/>
      <w:r>
        <w:t xml:space="preserve"> pero tienen características similares a los que han comprado. Permite diseñar acciones de venta cruzada.</w:t>
      </w:r>
    </w:p>
    <w:p w14:paraId="48A563D7" w14:textId="1CE2725F" w:rsidR="006F6F6D" w:rsidRDefault="006F6F6D" w:rsidP="006F6F6D">
      <w:pPr>
        <w:rPr>
          <w:i/>
          <w:iCs/>
        </w:rPr>
      </w:pPr>
      <w:r w:rsidRPr="006F6F6D">
        <w:rPr>
          <w:b/>
          <w:bCs/>
        </w:rPr>
        <w:t>Hipótesis 3. Variables patrimoniales como mejores predictores de gasto</w:t>
      </w:r>
      <w:r w:rsidRPr="006F6F6D">
        <w:br/>
      </w:r>
      <w:r w:rsidRPr="006F6F6D">
        <w:rPr>
          <w:i/>
          <w:iCs/>
        </w:rPr>
        <w:t xml:space="preserve">Las variables patrimoniales, como el número de vehículos en propiedad y la posesión de vivienda (Home </w:t>
      </w:r>
      <w:proofErr w:type="spellStart"/>
      <w:r w:rsidRPr="006F6F6D">
        <w:rPr>
          <w:i/>
          <w:iCs/>
        </w:rPr>
        <w:t>Owner</w:t>
      </w:r>
      <w:proofErr w:type="spellEnd"/>
      <w:r w:rsidRPr="006F6F6D">
        <w:rPr>
          <w:i/>
          <w:iCs/>
        </w:rPr>
        <w:t xml:space="preserve">), explican de manera más eficaz el gasto total acumulado de los clientes (Total </w:t>
      </w:r>
      <w:proofErr w:type="spellStart"/>
      <w:r w:rsidRPr="006F6F6D">
        <w:rPr>
          <w:i/>
          <w:iCs/>
        </w:rPr>
        <w:t>Amount</w:t>
      </w:r>
      <w:proofErr w:type="spellEnd"/>
      <w:r w:rsidRPr="006F6F6D">
        <w:rPr>
          <w:i/>
          <w:iCs/>
        </w:rPr>
        <w:t>) que el nivel de ingresos declarado, especialmente en el mercado norteamericano, donde los ingresos se presentan de forma categórica y agregada.</w:t>
      </w:r>
    </w:p>
    <w:p w14:paraId="5FB29654" w14:textId="419D117F" w:rsidR="003734C7" w:rsidRPr="006F6F6D" w:rsidRDefault="003734C7" w:rsidP="006F6F6D">
      <w:pPr>
        <w:rPr>
          <w:b/>
          <w:bCs/>
        </w:rPr>
      </w:pPr>
      <w:r>
        <w:t xml:space="preserve">Evalúa si las variables patrimoniales reflejan mejor el comportamiento de gasto que los ingresos declarados. </w:t>
      </w:r>
    </w:p>
    <w:p w14:paraId="2B9AC29A" w14:textId="349AFF07" w:rsidR="006F6F6D" w:rsidRPr="00001A8C" w:rsidRDefault="006F6F6D">
      <w:pPr>
        <w:rPr>
          <w:b/>
          <w:bCs/>
          <w:i/>
          <w:iCs/>
        </w:rPr>
      </w:pPr>
      <w:r w:rsidRPr="00001A8C">
        <w:rPr>
          <w:b/>
          <w:bCs/>
          <w:i/>
          <w:iCs/>
        </w:rPr>
        <w:t>Posibles transformaciones en las variables</w:t>
      </w:r>
    </w:p>
    <w:p w14:paraId="505A09DE" w14:textId="47CDC67C" w:rsidR="006F6F6D" w:rsidRDefault="00F23BE6">
      <w:r>
        <w:t>1.- Ingreso estimado (marca de clase). Relacionada con la hipótesis 3.</w:t>
      </w:r>
    </w:p>
    <w:p w14:paraId="23B538C5" w14:textId="169A324D" w:rsidR="00F23BE6" w:rsidRDefault="00F23BE6">
      <w:r>
        <w:t xml:space="preserve">Convertir los tramos de ingresos en una marca de clase. </w:t>
      </w:r>
    </w:p>
    <w:p w14:paraId="6EE464BC" w14:textId="5BEA0FB7" w:rsidR="00F23BE6" w:rsidRDefault="00F23BE6">
      <w:r>
        <w:t xml:space="preserve">Sirve para demostrar que los ingresos no siempre explican mejor el gasto y los podemos comparar con número de coches y vivienda propia. </w:t>
      </w:r>
    </w:p>
    <w:p w14:paraId="1BA6D416" w14:textId="104CCCE3" w:rsidR="00F23BE6" w:rsidRDefault="00F23BE6">
      <w:r>
        <w:t>2.- Segmento de valor del cliente. Relacionada con la hipótesis 2.</w:t>
      </w:r>
    </w:p>
    <w:p w14:paraId="1CB47C4E" w14:textId="6C3C4D54" w:rsidR="00F23BE6" w:rsidRDefault="00F23BE6">
      <w:r>
        <w:t xml:space="preserve">Clasificamos a los clientes según su gasto total acumulado. Por ejemplo, en bajo, medio y alto valor. </w:t>
      </w:r>
    </w:p>
    <w:p w14:paraId="0B1C033F" w14:textId="30B314A2" w:rsidR="00F23BE6" w:rsidRDefault="00F23BE6">
      <w:r>
        <w:lastRenderedPageBreak/>
        <w:t>Sirve para comparar compradores de bici de alto valor, no compara compradores con el mismo perfil.</w:t>
      </w:r>
    </w:p>
    <w:p w14:paraId="27C68FE4" w14:textId="0E7B9C46" w:rsidR="00001A8C" w:rsidRDefault="00F23BE6">
      <w:r>
        <w:t>3.-</w:t>
      </w:r>
      <w:r w:rsidR="00001A8C">
        <w:t xml:space="preserve"> Uso de variables patrimoniales como proxy de riqueza (a través de número de coches y casa propia). </w:t>
      </w:r>
    </w:p>
    <w:p w14:paraId="654CE5FB" w14:textId="799898CD" w:rsidR="00E10543" w:rsidRDefault="00001A8C">
      <w:r>
        <w:t xml:space="preserve">Sirve para evaluar si los clientes con mayor patrimonio gastan más, presentan distintos comportamientos y ver si explica los ingresos declarados. </w:t>
      </w:r>
    </w:p>
    <w:p w14:paraId="3BAA655F" w14:textId="3DC47D2F" w:rsidR="00001A8C" w:rsidRPr="006E22AF" w:rsidRDefault="00001A8C">
      <w:pPr>
        <w:rPr>
          <w:b/>
          <w:bCs/>
          <w:i/>
          <w:iCs/>
        </w:rPr>
      </w:pPr>
      <w:r w:rsidRPr="006E22AF">
        <w:rPr>
          <w:b/>
          <w:bCs/>
          <w:i/>
          <w:iCs/>
        </w:rPr>
        <w:t>Posibles KPI</w:t>
      </w:r>
    </w:p>
    <w:p w14:paraId="257D68D5" w14:textId="0A2647AE" w:rsidR="00E10543" w:rsidRDefault="00E10543">
      <w:r>
        <w:t>KPI 1: % De clientes que han comprado bicicleta en cada país</w:t>
      </w:r>
      <w:r w:rsidR="00633CC5">
        <w:t xml:space="preserve"> (relacionado con hipótesis 1). </w:t>
      </w:r>
      <w:r w:rsidR="003040DA">
        <w:t xml:space="preserve">(Número de clientes que han comprado bici/número total de clientes por país). Gráfico de barras X País Y % de clientes que compran. </w:t>
      </w:r>
    </w:p>
    <w:p w14:paraId="62CD3D55" w14:textId="65E9C04A" w:rsidR="00E10543" w:rsidRDefault="00E10543">
      <w:r>
        <w:t>KPI 2: Gasto medio acumulado de los compradores de bicicletas por país</w:t>
      </w:r>
      <w:r w:rsidR="00633CC5">
        <w:t xml:space="preserve"> (relacionado con hipótesis 1). </w:t>
      </w:r>
      <w:r w:rsidR="003040DA">
        <w:t>(</w:t>
      </w:r>
      <w:r w:rsidR="00F75397">
        <w:t xml:space="preserve">Eje X país, Eje Y </w:t>
      </w:r>
      <w:r w:rsidR="003040DA">
        <w:t xml:space="preserve">Media de total </w:t>
      </w:r>
      <w:proofErr w:type="spellStart"/>
      <w:r w:rsidR="003040DA">
        <w:t>amount</w:t>
      </w:r>
      <w:proofErr w:type="spellEnd"/>
      <w:r w:rsidR="00F75397">
        <w:t xml:space="preserve"> de los que compran)</w:t>
      </w:r>
    </w:p>
    <w:p w14:paraId="166B4935" w14:textId="761E0FDB" w:rsidR="00633CC5" w:rsidRDefault="00633CC5">
      <w:r>
        <w:t xml:space="preserve">KPI 3: % de clientes de alto valor que no han comprado bicicleta (relacionado con hipótesis 2). </w:t>
      </w:r>
      <w:r w:rsidR="003734C7">
        <w:t xml:space="preserve">(clientes de alto valor que no han comprado/total de clientes alto valor) Barras. </w:t>
      </w:r>
    </w:p>
    <w:p w14:paraId="37D97B4B" w14:textId="412573E6" w:rsidR="00001A8C" w:rsidRDefault="00633CC5">
      <w:r>
        <w:t>KPI 4: Gasto medio de compradores de bicicletas de alto valor y clientes del segmento espejo</w:t>
      </w:r>
      <w:r w:rsidR="00DA0F31">
        <w:t xml:space="preserve"> (relacionado con hipótesis 2</w:t>
      </w:r>
      <w:proofErr w:type="gramStart"/>
      <w:r w:rsidR="00DA0F31">
        <w:t>).</w:t>
      </w:r>
      <w:r w:rsidR="003734C7">
        <w:t>(</w:t>
      </w:r>
      <w:proofErr w:type="gramEnd"/>
      <w:r w:rsidR="003734C7">
        <w:t xml:space="preserve">media de total </w:t>
      </w:r>
      <w:proofErr w:type="spellStart"/>
      <w:r w:rsidR="003734C7">
        <w:t>amount</w:t>
      </w:r>
      <w:proofErr w:type="spellEnd"/>
      <w:r w:rsidR="003734C7">
        <w:t xml:space="preserve"> para compradores de alto valor y clientes alto valor sin compra). X tipo de cliente Y gasto medio acumulado. </w:t>
      </w:r>
    </w:p>
    <w:p w14:paraId="63D5455C" w14:textId="589F99F1" w:rsidR="00001A8C" w:rsidRDefault="00DA0F31">
      <w:r>
        <w:t xml:space="preserve">KPI 5: </w:t>
      </w:r>
      <w:r w:rsidR="006E22AF">
        <w:t xml:space="preserve">Gasto medio según nivel patrimonial y nivel de ingresos (relacionado con hipótesis 3). </w:t>
      </w:r>
      <w:r w:rsidR="003734C7">
        <w:t xml:space="preserve">Vamos a filtrar el mercado de Norteamérica para evitar mezclar mercados distintos. (Media total </w:t>
      </w:r>
      <w:proofErr w:type="spellStart"/>
      <w:r w:rsidR="003734C7">
        <w:t>amount</w:t>
      </w:r>
      <w:proofErr w:type="spellEnd"/>
      <w:r w:rsidR="003734C7">
        <w:t xml:space="preserve">, filtro región </w:t>
      </w:r>
      <w:proofErr w:type="gramStart"/>
      <w:r w:rsidR="003734C7">
        <w:t>Norteamérica  y</w:t>
      </w:r>
      <w:proofErr w:type="gramEnd"/>
      <w:r w:rsidR="003734C7">
        <w:t xml:space="preserve"> segmentado por nivel patrimonial). Puede ser dos gráficos de columnas, una de gasto medio por tramo de ingresos, otra de gasto medio por nivel patrimonial).</w:t>
      </w:r>
    </w:p>
    <w:p w14:paraId="526617E5" w14:textId="77777777" w:rsidR="003734C7" w:rsidRDefault="003734C7"/>
    <w:sectPr w:rsidR="00373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6D"/>
    <w:rsid w:val="00001A8C"/>
    <w:rsid w:val="00011267"/>
    <w:rsid w:val="0017302C"/>
    <w:rsid w:val="003040DA"/>
    <w:rsid w:val="003734C7"/>
    <w:rsid w:val="004D37B8"/>
    <w:rsid w:val="00633CC5"/>
    <w:rsid w:val="006E22AF"/>
    <w:rsid w:val="006F6F6D"/>
    <w:rsid w:val="00DA0F31"/>
    <w:rsid w:val="00E10543"/>
    <w:rsid w:val="00EB362F"/>
    <w:rsid w:val="00F23BE6"/>
    <w:rsid w:val="00F7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8873"/>
  <w15:chartTrackingRefBased/>
  <w15:docId w15:val="{D27B25E6-E65D-4277-9D8C-D67BCB36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F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F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9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pino florido ramirez</dc:creator>
  <cp:keywords/>
  <dc:description/>
  <cp:lastModifiedBy>leticia de pino florido ramirez</cp:lastModifiedBy>
  <cp:revision>3</cp:revision>
  <dcterms:created xsi:type="dcterms:W3CDTF">2026-01-10T11:02:00Z</dcterms:created>
  <dcterms:modified xsi:type="dcterms:W3CDTF">2026-01-10T12:22:00Z</dcterms:modified>
</cp:coreProperties>
</file>