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Comparador de Documentos Legales</w:t>
      </w:r>
    </w:p>
    <w:p>
      <w:pPr>
        <w:spacing w:after="60"/>
      </w:pPr>
      <w:r>
        <w:rPr>
          <w:color w:val="555555"/>
          <w:sz w:val="24"/>
          <w:szCs w:val="24"/>
        </w:rPr>
        <w:t xml:space="preserve">Documento de Arquitectura — SaaS multi-tenant para comparación de convenciones colectivas</w:t>
      </w:r>
    </w:p>
    <w:p>
      <w:pPr>
        <w:spacing w:after="500"/>
      </w:pPr>
      <w:r>
        <w:rPr>
          <w:i/>
          <w:iCs/>
          <w:color w:val="777777"/>
          <w:sz w:val="20"/>
          <w:szCs w:val="20"/>
        </w:rPr>
        <w:t xml:space="preserve">Preparado para Alex Campos · 8 de agosto de 2026</w:t>
      </w:r>
    </w:p>
    <w:p>
      <w:pPr>
        <w:pStyle w:val="Heading1"/>
        <w:spacing w:after="160" w:before="360"/>
      </w:pPr>
      <w:r>
        <w:t xml:space="preserve">1. Resumen ejecutivo</w:t>
      </w:r>
    </w:p>
    <w:p>
      <w:pPr>
        <w:spacing w:after="160"/>
      </w:pPr>
      <w:r>
        <w:t xml:space="preserve">Este documento define la arquitectura del nuevo Comparador de Documentos Legales: un SaaS multi-tenant, multi-país, que reemplaza un sistema PHP de hace ~20 años (“convenciones”) construido para comparar convenciones colectivas de trabajo. El sistema original funcionaba con clasificación 100% manual; el objetivo del nuevo producto es automatizar la lectura, clasificación y extracción de cláusulas mediante IA, manteniendo un paso de revisión humana antes de publicar.</w:t>
      </w:r>
    </w:p>
    <w:p>
      <w:pPr>
        <w:spacing w:after="160"/>
      </w:pPr>
      <w:r>
        <w:rPr>
          <w:b/>
          <w:bCs/>
        </w:rPr>
        <w:t xml:space="preserve">Alcance acordado: </w:t>
      </w:r>
      <w:r>
        <w:t xml:space="preserve">convenciones colectivas de trabajo (no documentos legales genéricos) en Venezuela, Uruguay, Argentina y Chile, con taxonomía de cláusulas versionada por país, tenants de un solo país cada uno, y revisión interna de todo el contenido antes de publicarse.</w:t>
      </w:r>
    </w:p>
    <w:p>
      <w:pPr>
        <w:spacing w:after="160"/>
      </w:pPr>
      <w:r>
        <w:t xml:space="preserve">Las secciones siguientes cubren el modelo de dominio, el modelo de datos, el stack técnico, el pipeline de IA, seguridad, licenciamiento, escalabilidad, el plan de migración del sistema legado y el roadmap propuesto.</w:t>
      </w:r>
    </w:p>
    <w:p>
      <w:pPr>
        <w:pStyle w:val="Heading1"/>
        <w:spacing w:after="160" w:before="360"/>
      </w:pPr>
      <w:r>
        <w:t xml:space="preserve">2. Decisiones de alcance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800"/>
      </w:tblGrid>
      <w:tr>
        <w:trPr>
          <w:tblHeader/>
        </w:trPr>
        <w:tc>
          <w:tcPr>
            <w:tcW w:type="dxa" w:w="2600"/>
            <w:shd w:fill="1F4E5F" w:val="clear"/>
            <w:tcMar>
              <w:top w:type="dxa" w:w="80"/>
              <w:left w:type="dxa" w:w="100"/>
              <w:bottom w:type="dxa" w:w="80"/>
              <w:right w:type="dxa" w:w="100"/>
            </w:tcMar>
          </w:tcPr>
          <w:p>
            <w:pPr>
              <w:jc w:val="left"/>
            </w:pPr>
            <w:r>
              <w:rPr>
                <w:b/>
                <w:bCs/>
              </w:rPr>
              <w:t xml:space="preserve">Dimensión</w:t>
            </w:r>
          </w:p>
        </w:tc>
        <w:tc>
          <w:tcPr>
            <w:tcW w:type="dxa" w:w="3600"/>
            <w:shd w:fill="1F4E5F" w:val="clear"/>
            <w:tcMar>
              <w:top w:type="dxa" w:w="80"/>
              <w:left w:type="dxa" w:w="100"/>
              <w:bottom w:type="dxa" w:w="80"/>
              <w:right w:type="dxa" w:w="100"/>
            </w:tcMar>
          </w:tcPr>
          <w:p>
            <w:pPr>
              <w:jc w:val="left"/>
            </w:pPr>
            <w:r>
              <w:rPr>
                <w:b/>
                <w:bCs/>
              </w:rPr>
              <w:t xml:space="preserve">Decisión</w:t>
            </w:r>
          </w:p>
        </w:tc>
        <w:tc>
          <w:tcPr>
            <w:tcW w:type="dxa" w:w="3800"/>
            <w:shd w:fill="1F4E5F" w:val="clear"/>
            <w:tcMar>
              <w:top w:type="dxa" w:w="80"/>
              <w:left w:type="dxa" w:w="100"/>
              <w:bottom w:type="dxa" w:w="80"/>
              <w:right w:type="dxa" w:w="100"/>
            </w:tcMar>
          </w:tcPr>
          <w:p>
            <w:pPr>
              <w:jc w:val="left"/>
            </w:pPr>
            <w:r>
              <w:rPr>
                <w:b/>
                <w:bCs/>
              </w:rPr>
              <w:t xml:space="preserve">Implicación</w:t>
            </w:r>
          </w:p>
        </w:tc>
      </w:tr>
      <w:tr>
        <w:tc>
          <w:tcPr>
            <w:tcW w:type="dxa" w:w="2600"/>
            <w:tcMar>
              <w:top w:type="dxa" w:w="80"/>
              <w:left w:type="dxa" w:w="100"/>
              <w:bottom w:type="dxa" w:w="80"/>
              <w:right w:type="dxa" w:w="100"/>
            </w:tcMar>
          </w:tcPr>
          <w:p>
            <w:pPr>
              <w:jc w:val="left"/>
            </w:pPr>
            <w:r>
              <w:rPr>
                <w:b w:val="false"/>
                <w:bCs w:val="false"/>
              </w:rPr>
              <w:t xml:space="preserve">Dominio de documento</w:t>
            </w:r>
          </w:p>
        </w:tc>
        <w:tc>
          <w:tcPr>
            <w:tcW w:type="dxa" w:w="3600"/>
            <w:tcMar>
              <w:top w:type="dxa" w:w="80"/>
              <w:left w:type="dxa" w:w="100"/>
              <w:bottom w:type="dxa" w:w="80"/>
              <w:right w:type="dxa" w:w="100"/>
            </w:tcMar>
          </w:tcPr>
          <w:p>
            <w:pPr>
              <w:jc w:val="left"/>
            </w:pPr>
            <w:r>
              <w:rPr>
                <w:b w:val="false"/>
                <w:bCs w:val="false"/>
              </w:rPr>
              <w:t xml:space="preserve">Solo convenciones colectivas de trabajo</w:t>
            </w:r>
          </w:p>
        </w:tc>
        <w:tc>
          <w:tcPr>
            <w:tcW w:type="dxa" w:w="3800"/>
            <w:tcMar>
              <w:top w:type="dxa" w:w="80"/>
              <w:left w:type="dxa" w:w="100"/>
              <w:bottom w:type="dxa" w:w="80"/>
              <w:right w:type="dxa" w:w="100"/>
            </w:tcMar>
          </w:tcPr>
          <w:p>
            <w:pPr>
              <w:jc w:val="left"/>
            </w:pPr>
            <w:r>
              <w:rPr>
                <w:b w:val="false"/>
                <w:bCs w:val="false"/>
              </w:rPr>
              <w:t xml:space="preserve">Se reutiliza la taxonomía y el dataset del sistema legado; no se diseña clasificación genérica para otros tipos de documento legal en esta fase.</w:t>
            </w:r>
          </w:p>
        </w:tc>
      </w:tr>
      <w:tr>
        <w:tc>
          <w:tcPr>
            <w:tcW w:type="dxa" w:w="2600"/>
            <w:shd w:fill="EAF1F4" w:val="clear"/>
            <w:tcMar>
              <w:top w:type="dxa" w:w="80"/>
              <w:left w:type="dxa" w:w="100"/>
              <w:bottom w:type="dxa" w:w="80"/>
              <w:right w:type="dxa" w:w="100"/>
            </w:tcMar>
          </w:tcPr>
          <w:p>
            <w:pPr>
              <w:jc w:val="left"/>
            </w:pPr>
            <w:r>
              <w:rPr>
                <w:b w:val="false"/>
                <w:bCs w:val="false"/>
              </w:rPr>
              <w:t xml:space="preserve">Países</w:t>
            </w:r>
          </w:p>
        </w:tc>
        <w:tc>
          <w:tcPr>
            <w:tcW w:type="dxa" w:w="3600"/>
            <w:shd w:fill="EAF1F4" w:val="clear"/>
            <w:tcMar>
              <w:top w:type="dxa" w:w="80"/>
              <w:left w:type="dxa" w:w="100"/>
              <w:bottom w:type="dxa" w:w="80"/>
              <w:right w:type="dxa" w:w="100"/>
            </w:tcMar>
          </w:tcPr>
          <w:p>
            <w:pPr>
              <w:jc w:val="left"/>
            </w:pPr>
            <w:r>
              <w:rPr>
                <w:b w:val="false"/>
                <w:bCs w:val="false"/>
              </w:rPr>
              <w:t xml:space="preserve">Venezuela, Uruguay, Argentina, Chile</w:t>
            </w:r>
          </w:p>
        </w:tc>
        <w:tc>
          <w:tcPr>
            <w:tcW w:type="dxa" w:w="3800"/>
            <w:shd w:fill="EAF1F4" w:val="clear"/>
            <w:tcMar>
              <w:top w:type="dxa" w:w="80"/>
              <w:left w:type="dxa" w:w="100"/>
              <w:bottom w:type="dxa" w:w="80"/>
              <w:right w:type="dxa" w:w="100"/>
            </w:tcMar>
          </w:tcPr>
          <w:p>
            <w:pPr>
              <w:jc w:val="left"/>
            </w:pPr>
            <w:r>
              <w:rPr>
                <w:b w:val="false"/>
                <w:bCs w:val="false"/>
              </w:rPr>
              <w:t xml:space="preserve">Cada país requiere su propia versión de la taxonomía de cláusulas, validada legalmente antes de activarse.</w:t>
            </w:r>
          </w:p>
        </w:tc>
      </w:tr>
      <w:tr>
        <w:tc>
          <w:tcPr>
            <w:tcW w:type="dxa" w:w="2600"/>
            <w:tcMar>
              <w:top w:type="dxa" w:w="80"/>
              <w:left w:type="dxa" w:w="100"/>
              <w:bottom w:type="dxa" w:w="80"/>
              <w:right w:type="dxa" w:w="100"/>
            </w:tcMar>
          </w:tcPr>
          <w:p>
            <w:pPr>
              <w:jc w:val="left"/>
            </w:pPr>
            <w:r>
              <w:rPr>
                <w:b w:val="false"/>
                <w:bCs w:val="false"/>
              </w:rPr>
              <w:t xml:space="preserve">Modelo tenant–país</w:t>
            </w:r>
          </w:p>
        </w:tc>
        <w:tc>
          <w:tcPr>
            <w:tcW w:type="dxa" w:w="3600"/>
            <w:tcMar>
              <w:top w:type="dxa" w:w="80"/>
              <w:left w:type="dxa" w:w="100"/>
              <w:bottom w:type="dxa" w:w="80"/>
              <w:right w:type="dxa" w:w="100"/>
            </w:tcMar>
          </w:tcPr>
          <w:p>
            <w:pPr>
              <w:jc w:val="left"/>
            </w:pPr>
            <w:r>
              <w:rPr>
                <w:b w:val="false"/>
                <w:bCs w:val="false"/>
              </w:rPr>
              <w:t xml:space="preserve">1 tenant = 1 empresa/firma en 1 país</w:t>
            </w:r>
          </w:p>
        </w:tc>
        <w:tc>
          <w:tcPr>
            <w:tcW w:type="dxa" w:w="3800"/>
            <w:tcMar>
              <w:top w:type="dxa" w:w="80"/>
              <w:left w:type="dxa" w:w="100"/>
              <w:bottom w:type="dxa" w:w="80"/>
              <w:right w:type="dxa" w:w="100"/>
            </w:tcMar>
          </w:tcPr>
          <w:p>
            <w:pPr>
              <w:jc w:val="left"/>
            </w:pPr>
            <w:r>
              <w:rPr>
                <w:b w:val="false"/>
                <w:bCs w:val="false"/>
              </w:rPr>
              <w:t xml:space="preserve">Simplifica el modelo de datos: cada tenant queda atado a la taxonomía y el marco legal de su país, sin lógica de acceso cruzado.</w:t>
            </w:r>
          </w:p>
        </w:tc>
      </w:tr>
      <w:tr>
        <w:tc>
          <w:tcPr>
            <w:tcW w:type="dxa" w:w="2600"/>
            <w:shd w:fill="EAF1F4" w:val="clear"/>
            <w:tcMar>
              <w:top w:type="dxa" w:w="80"/>
              <w:left w:type="dxa" w:w="100"/>
              <w:bottom w:type="dxa" w:w="80"/>
              <w:right w:type="dxa" w:w="100"/>
            </w:tcMar>
          </w:tcPr>
          <w:p>
            <w:pPr>
              <w:jc w:val="left"/>
            </w:pPr>
            <w:r>
              <w:rPr>
                <w:b w:val="false"/>
                <w:bCs w:val="false"/>
              </w:rPr>
              <w:t xml:space="preserve">Revisión de contenido</w:t>
            </w:r>
          </w:p>
        </w:tc>
        <w:tc>
          <w:tcPr>
            <w:tcW w:type="dxa" w:w="3600"/>
            <w:shd w:fill="EAF1F4" w:val="clear"/>
            <w:tcMar>
              <w:top w:type="dxa" w:w="80"/>
              <w:left w:type="dxa" w:w="100"/>
              <w:bottom w:type="dxa" w:w="80"/>
              <w:right w:type="dxa" w:w="100"/>
            </w:tcMar>
          </w:tcPr>
          <w:p>
            <w:pPr>
              <w:jc w:val="left"/>
            </w:pPr>
            <w:r>
              <w:rPr>
                <w:b w:val="false"/>
                <w:bCs w:val="false"/>
              </w:rPr>
              <w:t xml:space="preserve">Equipo interno revisa todo antes de publicar</w:t>
            </w:r>
          </w:p>
        </w:tc>
        <w:tc>
          <w:tcPr>
            <w:tcW w:type="dxa" w:w="3800"/>
            <w:shd w:fill="EAF1F4" w:val="clear"/>
            <w:tcMar>
              <w:top w:type="dxa" w:w="80"/>
              <w:left w:type="dxa" w:w="100"/>
              <w:bottom w:type="dxa" w:w="80"/>
              <w:right w:type="dxa" w:w="100"/>
            </w:tcMar>
          </w:tcPr>
          <w:p>
            <w:pPr>
              <w:jc w:val="left"/>
            </w:pPr>
            <w:r>
              <w:rPr>
                <w:b w:val="false"/>
                <w:bCs w:val="false"/>
              </w:rPr>
              <w:t xml:space="preserve">Existe un rol de “revisor” equivalente al “Transcriptor” del sistema legado, ahora corrigiendo sugerencias de IA en vez de transcribir a mano.</w:t>
            </w:r>
          </w:p>
        </w:tc>
      </w:tr>
      <w:tr>
        <w:tc>
          <w:tcPr>
            <w:tcW w:type="dxa" w:w="2600"/>
            <w:tcMar>
              <w:top w:type="dxa" w:w="80"/>
              <w:left w:type="dxa" w:w="100"/>
              <w:bottom w:type="dxa" w:w="80"/>
              <w:right w:type="dxa" w:w="100"/>
            </w:tcMar>
          </w:tcPr>
          <w:p>
            <w:pPr>
              <w:jc w:val="left"/>
            </w:pPr>
            <w:r>
              <w:rPr>
                <w:b w:val="false"/>
                <w:bCs w:val="false"/>
              </w:rPr>
              <w:t xml:space="preserve">Entregable al usuario</w:t>
            </w:r>
          </w:p>
        </w:tc>
        <w:tc>
          <w:tcPr>
            <w:tcW w:type="dxa" w:w="3600"/>
            <w:tcMar>
              <w:top w:type="dxa" w:w="80"/>
              <w:left w:type="dxa" w:w="100"/>
              <w:bottom w:type="dxa" w:w="80"/>
              <w:right w:type="dxa" w:w="100"/>
            </w:tcMar>
          </w:tcPr>
          <w:p>
            <w:pPr>
              <w:jc w:val="left"/>
            </w:pPr>
            <w:r>
              <w:rPr>
                <w:b w:val="false"/>
                <w:bCs w:val="false"/>
              </w:rPr>
              <w:t xml:space="preserve">Reporte + versión web navegable</w:t>
            </w:r>
          </w:p>
        </w:tc>
        <w:tc>
          <w:tcPr>
            <w:tcW w:type="dxa" w:w="3800"/>
            <w:tcMar>
              <w:top w:type="dxa" w:w="80"/>
              <w:left w:type="dxa" w:w="100"/>
              <w:bottom w:type="dxa" w:w="80"/>
              <w:right w:type="dxa" w:w="100"/>
            </w:tcMar>
          </w:tcPr>
          <w:p>
            <w:pPr>
              <w:jc w:val="left"/>
            </w:pPr>
            <w:r>
              <w:rPr>
                <w:b w:val="false"/>
                <w:bCs w:val="false"/>
              </w:rPr>
              <w:t xml:space="preserve">El resultado de la extracción se modela como datos estructurados; el reporte (PDF/export) y la vista web se generan desde la misma fuente.</w:t>
            </w:r>
          </w:p>
        </w:tc>
      </w:tr>
    </w:tbl>
    <w:p>
      <w:r>
        <w:br w:type="page"/>
      </w:r>
    </w:p>
    <w:p>
      <w:pPr>
        <w:pStyle w:val="Heading1"/>
        <w:spacing w:after="160" w:before="360"/>
      </w:pPr>
      <w:r>
        <w:t xml:space="preserve">3. Modelo de dominio y taxonomía</w:t>
      </w:r>
    </w:p>
    <w:p>
      <w:pPr>
        <w:spacing w:after="160"/>
      </w:pPr>
      <w:r>
        <w:t xml:space="preserve">El sistema legado organiza las cláusulas en dos niveles: 5 categorías (GENERALES, ECONÓMICO, SOCIOECONÓMICAS, SINDICALES, SEGURIDAD OCUPACIONAL) y dentro de ellas ~60 “títulos comparativos” (Salario Básico, Vacaciones, Utilidades/Aguinaldos, HCM, Transporte, Plan de Ahorro, Jubilación, etc.), cada uno con un indicador de si requiere un campo de comparación económica. Una revisión del marco legal de los otros tres países confirma que la misma estructura conceptual aplica en Argentina (Ley 14.250, Comisiones Paritárias), Uruguay (Ley 18.566, Consejos de Salarios) y Chile (Código del Trabajo, Libro IV): remuneración, beneficios/condiciones de trabajo y aportes sindicales son categorías transversales en los cuatro países.</w:t>
      </w:r>
    </w:p>
    <w:p>
      <w:pPr>
        <w:spacing w:after="160"/>
      </w:pPr>
      <w:r>
        <w:rPr>
          <w:b/>
          <w:bCs/>
        </w:rPr>
        <w:t xml:space="preserve">Diseño propuesto: </w:t>
      </w:r>
      <w:r>
        <w:t xml:space="preserve">un núcleo de categorías comunes a los cuatro países, con una capa de “títulos” versionada por país que permite agregar, renombrar o desactivar títulos sin tocar el núcleo. Cada país mantiene su propia tabla de títulos vigente, referenciando el marco legal que le dio origen.</w:t>
      </w:r>
    </w:p>
    <w:p>
      <w:pPr>
        <w:spacing w:after="160"/>
      </w:pPr>
      <w:r>
        <w:rPr>
          <w:b/>
          <w:bCs/>
        </w:rPr>
        <w:t xml:space="preserve">Riesgo a gestionar: </w:t>
      </w:r>
      <w:r>
        <w:t xml:space="preserve">la exactitud legal fina por país no se puede resolver solo con investigación web. Antes de activar cada país nuevo, la taxonomía debe validarse con un abogado laboral local.</w:t>
      </w:r>
    </w:p>
    <w:p>
      <w:pPr>
        <w:pStyle w:val="Heading1"/>
        <w:spacing w:after="160" w:before="360"/>
      </w:pPr>
      <w:r>
        <w:t xml:space="preserve">4. Modelo de datos</w:t>
      </w:r>
    </w:p>
    <w:p>
      <w:pPr>
        <w:spacing w:after="160"/>
      </w:pPr>
      <w:r>
        <w:t xml:space="preserve">Entidades principales del sistema nuevo. Los nombres son conceptuales, no nombres de tabla definitivos.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400"/>
        <w:gridCol w:w="5800"/>
        <w:gridCol w:w="1800"/>
      </w:tblGrid>
      <w:tr>
        <w:trPr>
          <w:tblHeader/>
        </w:trPr>
        <w:tc>
          <w:tcPr>
            <w:tcW w:type="dxa" w:w="2400"/>
            <w:shd w:fill="1F4E5F" w:val="clear"/>
            <w:tcMar>
              <w:top w:type="dxa" w:w="80"/>
              <w:left w:type="dxa" w:w="100"/>
              <w:bottom w:type="dxa" w:w="80"/>
              <w:right w:type="dxa" w:w="100"/>
            </w:tcMar>
          </w:tcPr>
          <w:p>
            <w:pPr>
              <w:jc w:val="left"/>
            </w:pPr>
            <w:r>
              <w:rPr>
                <w:b/>
                <w:bCs/>
              </w:rPr>
              <w:t xml:space="preserve">Entidad</w:t>
            </w:r>
          </w:p>
        </w:tc>
        <w:tc>
          <w:tcPr>
            <w:tcW w:type="dxa" w:w="5800"/>
            <w:shd w:fill="1F4E5F" w:val="clear"/>
            <w:tcMar>
              <w:top w:type="dxa" w:w="80"/>
              <w:left w:type="dxa" w:w="100"/>
              <w:bottom w:type="dxa" w:w="80"/>
              <w:right w:type="dxa" w:w="100"/>
            </w:tcMar>
          </w:tcPr>
          <w:p>
            <w:pPr>
              <w:jc w:val="left"/>
            </w:pPr>
            <w:r>
              <w:rPr>
                <w:b/>
                <w:bCs/>
              </w:rPr>
              <w:t xml:space="preserve">Descripción</w:t>
            </w:r>
          </w:p>
        </w:tc>
        <w:tc>
          <w:tcPr>
            <w:tcW w:type="dxa" w:w="1800"/>
            <w:shd w:fill="1F4E5F" w:val="clear"/>
            <w:tcMar>
              <w:top w:type="dxa" w:w="80"/>
              <w:left w:type="dxa" w:w="100"/>
              <w:bottom w:type="dxa" w:w="80"/>
              <w:right w:type="dxa" w:w="100"/>
            </w:tcMar>
          </w:tcPr>
          <w:p>
            <w:pPr>
              <w:jc w:val="left"/>
            </w:pPr>
            <w:r>
              <w:rPr>
                <w:b/>
                <w:bCs/>
              </w:rPr>
              <w:t xml:space="preserve">Origen</w:t>
            </w:r>
          </w:p>
        </w:tc>
      </w:tr>
      <w:tr>
        <w:tc>
          <w:tcPr>
            <w:tcW w:type="dxa" w:w="2400"/>
            <w:tcMar>
              <w:top w:type="dxa" w:w="80"/>
              <w:left w:type="dxa" w:w="100"/>
              <w:bottom w:type="dxa" w:w="80"/>
              <w:right w:type="dxa" w:w="100"/>
            </w:tcMar>
          </w:tcPr>
          <w:p>
            <w:pPr>
              <w:jc w:val="left"/>
            </w:pPr>
            <w:r>
              <w:rPr>
                <w:b w:val="false"/>
                <w:bCs w:val="false"/>
              </w:rPr>
              <w:t xml:space="preserve">Tenant</w:t>
            </w:r>
          </w:p>
        </w:tc>
        <w:tc>
          <w:tcPr>
            <w:tcW w:type="dxa" w:w="5800"/>
            <w:tcMar>
              <w:top w:type="dxa" w:w="80"/>
              <w:left w:type="dxa" w:w="100"/>
              <w:bottom w:type="dxa" w:w="80"/>
              <w:right w:type="dxa" w:w="100"/>
            </w:tcMar>
          </w:tcPr>
          <w:p>
            <w:pPr>
              <w:jc w:val="left"/>
            </w:pPr>
            <w:r>
              <w:rPr>
                <w:b w:val="false"/>
                <w:bCs w:val="false"/>
              </w:rPr>
              <w:t xml:space="preserve">Empresa o firma cliente; asociado a un país, un plan de licencia y su fecha de vencimiento.</w:t>
            </w:r>
          </w:p>
        </w:tc>
        <w:tc>
          <w:tcPr>
            <w:tcW w:type="dxa" w:w="1800"/>
            <w:tcMar>
              <w:top w:type="dxa" w:w="80"/>
              <w:left w:type="dxa" w:w="100"/>
              <w:bottom w:type="dxa" w:w="80"/>
              <w:right w:type="dxa" w:w="100"/>
            </w:tcMar>
          </w:tcPr>
          <w:p>
            <w:pPr>
              <w:jc w:val="left"/>
            </w:pPr>
            <w:r>
              <w:rPr>
                <w:b w:val="false"/>
                <w:bCs w:val="false"/>
              </w:rPr>
              <w:t xml:space="preserve">Nuevo (el legado no tenía multi-tenancy real)</w:t>
            </w:r>
          </w:p>
        </w:tc>
      </w:tr>
      <w:tr>
        <w:tc>
          <w:tcPr>
            <w:tcW w:type="dxa" w:w="2400"/>
            <w:shd w:fill="EAF1F4" w:val="clear"/>
            <w:tcMar>
              <w:top w:type="dxa" w:w="80"/>
              <w:left w:type="dxa" w:w="100"/>
              <w:bottom w:type="dxa" w:w="80"/>
              <w:right w:type="dxa" w:w="100"/>
            </w:tcMar>
          </w:tcPr>
          <w:p>
            <w:pPr>
              <w:jc w:val="left"/>
            </w:pPr>
            <w:r>
              <w:rPr>
                <w:b w:val="false"/>
                <w:bCs w:val="false"/>
              </w:rPr>
              <w:t xml:space="preserve">Usuario / Rol</w:t>
            </w:r>
          </w:p>
        </w:tc>
        <w:tc>
          <w:tcPr>
            <w:tcW w:type="dxa" w:w="5800"/>
            <w:shd w:fill="EAF1F4" w:val="clear"/>
            <w:tcMar>
              <w:top w:type="dxa" w:w="80"/>
              <w:left w:type="dxa" w:w="100"/>
              <w:bottom w:type="dxa" w:w="80"/>
              <w:right w:type="dxa" w:w="100"/>
            </w:tcMar>
          </w:tcPr>
          <w:p>
            <w:pPr>
              <w:jc w:val="left"/>
            </w:pPr>
            <w:r>
              <w:rPr>
                <w:b w:val="false"/>
                <w:bCs w:val="false"/>
              </w:rPr>
              <w:t xml:space="preserve">Usuarios pertenecen a un tenant y tienen un rol (Admin Tenant, Revisor, Editor, Visualizador); los roles se definen en la instalación.</w:t>
            </w:r>
          </w:p>
        </w:tc>
        <w:tc>
          <w:tcPr>
            <w:tcW w:type="dxa" w:w="1800"/>
            <w:shd w:fill="EAF1F4" w:val="clear"/>
            <w:tcMar>
              <w:top w:type="dxa" w:w="80"/>
              <w:left w:type="dxa" w:w="100"/>
              <w:bottom w:type="dxa" w:w="80"/>
              <w:right w:type="dxa" w:w="100"/>
            </w:tcMar>
          </w:tcPr>
          <w:p>
            <w:pPr>
              <w:jc w:val="left"/>
            </w:pPr>
            <w:r>
              <w:rPr>
                <w:b w:val="false"/>
                <w:bCs w:val="false"/>
              </w:rPr>
              <w:t xml:space="preserve">Adaptado de tipos_de_usuarios y seguridades</w:t>
            </w:r>
          </w:p>
        </w:tc>
      </w:tr>
      <w:tr>
        <w:tc>
          <w:tcPr>
            <w:tcW w:type="dxa" w:w="2400"/>
            <w:tcMar>
              <w:top w:type="dxa" w:w="80"/>
              <w:left w:type="dxa" w:w="100"/>
              <w:bottom w:type="dxa" w:w="80"/>
              <w:right w:type="dxa" w:w="100"/>
            </w:tcMar>
          </w:tcPr>
          <w:p>
            <w:pPr>
              <w:jc w:val="left"/>
            </w:pPr>
            <w:r>
              <w:rPr>
                <w:b w:val="false"/>
                <w:bCs w:val="false"/>
              </w:rPr>
              <w:t xml:space="preserve">País</w:t>
            </w:r>
          </w:p>
        </w:tc>
        <w:tc>
          <w:tcPr>
            <w:tcW w:type="dxa" w:w="5800"/>
            <w:tcMar>
              <w:top w:type="dxa" w:w="80"/>
              <w:left w:type="dxa" w:w="100"/>
              <w:bottom w:type="dxa" w:w="80"/>
              <w:right w:type="dxa" w:w="100"/>
            </w:tcMar>
          </w:tcPr>
          <w:p>
            <w:pPr>
              <w:jc w:val="left"/>
            </w:pPr>
            <w:r>
              <w:rPr>
                <w:b w:val="false"/>
                <w:bCs w:val="false"/>
              </w:rPr>
              <w:t xml:space="preserve">Catálogo de países soportados con su marco legal de referencia.</w:t>
            </w:r>
          </w:p>
        </w:tc>
        <w:tc>
          <w:tcPr>
            <w:tcW w:type="dxa" w:w="1800"/>
            <w:tcMar>
              <w:top w:type="dxa" w:w="80"/>
              <w:left w:type="dxa" w:w="100"/>
              <w:bottom w:type="dxa" w:w="80"/>
              <w:right w:type="dxa" w:w="100"/>
            </w:tcMar>
          </w:tcPr>
          <w:p>
            <w:pPr>
              <w:jc w:val="left"/>
            </w:pPr>
            <w:r>
              <w:rPr>
                <w:b w:val="false"/>
                <w:bCs w:val="false"/>
              </w:rPr>
              <w:t xml:space="preserve">Adaptado de paises</w:t>
            </w:r>
          </w:p>
        </w:tc>
      </w:tr>
      <w:tr>
        <w:tc>
          <w:tcPr>
            <w:tcW w:type="dxa" w:w="2400"/>
            <w:shd w:fill="EAF1F4" w:val="clear"/>
            <w:tcMar>
              <w:top w:type="dxa" w:w="80"/>
              <w:left w:type="dxa" w:w="100"/>
              <w:bottom w:type="dxa" w:w="80"/>
              <w:right w:type="dxa" w:w="100"/>
            </w:tcMar>
          </w:tcPr>
          <w:p>
            <w:pPr>
              <w:jc w:val="left"/>
            </w:pPr>
            <w:r>
              <w:rPr>
                <w:b w:val="false"/>
                <w:bCs w:val="false"/>
              </w:rPr>
              <w:t xml:space="preserve">Categoría / Título (taxonomía)</w:t>
            </w:r>
          </w:p>
        </w:tc>
        <w:tc>
          <w:tcPr>
            <w:tcW w:type="dxa" w:w="5800"/>
            <w:shd w:fill="EAF1F4" w:val="clear"/>
            <w:tcMar>
              <w:top w:type="dxa" w:w="80"/>
              <w:left w:type="dxa" w:w="100"/>
              <w:bottom w:type="dxa" w:w="80"/>
              <w:right w:type="dxa" w:w="100"/>
            </w:tcMar>
          </w:tcPr>
          <w:p>
            <w:pPr>
              <w:jc w:val="left"/>
            </w:pPr>
            <w:r>
              <w:rPr>
                <w:b w:val="false"/>
                <w:bCs w:val="false"/>
              </w:rPr>
              <w:t xml:space="preserve">Árbol de clasificación de cláusulas, versionado por país.</w:t>
            </w:r>
          </w:p>
        </w:tc>
        <w:tc>
          <w:tcPr>
            <w:tcW w:type="dxa" w:w="1800"/>
            <w:shd w:fill="EAF1F4" w:val="clear"/>
            <w:tcMar>
              <w:top w:type="dxa" w:w="80"/>
              <w:left w:type="dxa" w:w="100"/>
              <w:bottom w:type="dxa" w:w="80"/>
              <w:right w:type="dxa" w:w="100"/>
            </w:tcMar>
          </w:tcPr>
          <w:p>
            <w:pPr>
              <w:jc w:val="left"/>
            </w:pPr>
            <w:r>
              <w:rPr>
                <w:b w:val="false"/>
                <w:bCs w:val="false"/>
              </w:rPr>
              <w:t xml:space="preserve">Adaptado de categorias_titulos y titulos</w:t>
            </w:r>
          </w:p>
        </w:tc>
      </w:tr>
      <w:tr>
        <w:tc>
          <w:tcPr>
            <w:tcW w:type="dxa" w:w="2400"/>
            <w:tcMar>
              <w:top w:type="dxa" w:w="80"/>
              <w:left w:type="dxa" w:w="100"/>
              <w:bottom w:type="dxa" w:w="80"/>
              <w:right w:type="dxa" w:w="100"/>
            </w:tcMar>
          </w:tcPr>
          <w:p>
            <w:pPr>
              <w:jc w:val="left"/>
            </w:pPr>
            <w:r>
              <w:rPr>
                <w:b w:val="false"/>
                <w:bCs w:val="false"/>
              </w:rPr>
              <w:t xml:space="preserve">Documento / Contrato</w:t>
            </w:r>
          </w:p>
        </w:tc>
        <w:tc>
          <w:tcPr>
            <w:tcW w:type="dxa" w:w="5800"/>
            <w:tcMar>
              <w:top w:type="dxa" w:w="80"/>
              <w:left w:type="dxa" w:w="100"/>
              <w:bottom w:type="dxa" w:w="80"/>
              <w:right w:type="dxa" w:w="100"/>
            </w:tcMar>
          </w:tcPr>
          <w:p>
            <w:pPr>
              <w:jc w:val="left"/>
            </w:pPr>
            <w:r>
              <w:rPr>
                <w:b w:val="false"/>
                <w:bCs w:val="false"/>
              </w:rPr>
              <w:t xml:space="preserve">Convención colectiva capturada por URL o carga; guarda tenant, país, empresa de origen, vigencia y estado público/privado.</w:t>
            </w:r>
          </w:p>
        </w:tc>
        <w:tc>
          <w:tcPr>
            <w:tcW w:type="dxa" w:w="1800"/>
            <w:tcMar>
              <w:top w:type="dxa" w:w="80"/>
              <w:left w:type="dxa" w:w="100"/>
              <w:bottom w:type="dxa" w:w="80"/>
              <w:right w:type="dxa" w:w="100"/>
            </w:tcMar>
          </w:tcPr>
          <w:p>
            <w:pPr>
              <w:jc w:val="left"/>
            </w:pPr>
            <w:r>
              <w:rPr>
                <w:b w:val="false"/>
                <w:bCs w:val="false"/>
              </w:rPr>
              <w:t xml:space="preserve">Adaptado de contratos</w:t>
            </w:r>
          </w:p>
        </w:tc>
      </w:tr>
      <w:tr>
        <w:tc>
          <w:tcPr>
            <w:tcW w:type="dxa" w:w="2400"/>
            <w:shd w:fill="EAF1F4" w:val="clear"/>
            <w:tcMar>
              <w:top w:type="dxa" w:w="80"/>
              <w:left w:type="dxa" w:w="100"/>
              <w:bottom w:type="dxa" w:w="80"/>
              <w:right w:type="dxa" w:w="100"/>
            </w:tcMar>
          </w:tcPr>
          <w:p>
            <w:pPr>
              <w:jc w:val="left"/>
            </w:pPr>
            <w:r>
              <w:rPr>
                <w:b w:val="false"/>
                <w:bCs w:val="false"/>
              </w:rPr>
              <w:t xml:space="preserve">Cláusula / Artículo</w:t>
            </w:r>
          </w:p>
        </w:tc>
        <w:tc>
          <w:tcPr>
            <w:tcW w:type="dxa" w:w="5800"/>
            <w:shd w:fill="EAF1F4" w:val="clear"/>
            <w:tcMar>
              <w:top w:type="dxa" w:w="80"/>
              <w:left w:type="dxa" w:w="100"/>
              <w:bottom w:type="dxa" w:w="80"/>
              <w:right w:type="dxa" w:w="100"/>
            </w:tcMar>
          </w:tcPr>
          <w:p>
            <w:pPr>
              <w:jc w:val="left"/>
            </w:pPr>
            <w:r>
              <w:rPr>
                <w:b w:val="false"/>
                <w:bCs w:val="false"/>
              </w:rPr>
              <w:t xml:space="preserve">Unidad extraída del documento: número, texto completo, resumen, título asignado, campo comparativo estructurado, estado de revisión y nivel de confianza del modelo.</w:t>
            </w:r>
          </w:p>
        </w:tc>
        <w:tc>
          <w:tcPr>
            <w:tcW w:type="dxa" w:w="1800"/>
            <w:shd w:fill="EAF1F4" w:val="clear"/>
            <w:tcMar>
              <w:top w:type="dxa" w:w="80"/>
              <w:left w:type="dxa" w:w="100"/>
              <w:bottom w:type="dxa" w:w="80"/>
              <w:right w:type="dxa" w:w="100"/>
            </w:tcMar>
          </w:tcPr>
          <w:p>
            <w:pPr>
              <w:jc w:val="left"/>
            </w:pPr>
            <w:r>
              <w:rPr>
                <w:b w:val="false"/>
                <w:bCs w:val="false"/>
              </w:rPr>
              <w:t xml:space="preserve">Adaptado de articulos_contratos, ahora con campos de IA</w:t>
            </w:r>
          </w:p>
        </w:tc>
      </w:tr>
      <w:tr>
        <w:tc>
          <w:tcPr>
            <w:tcW w:type="dxa" w:w="2400"/>
            <w:tcMar>
              <w:top w:type="dxa" w:w="80"/>
              <w:left w:type="dxa" w:w="100"/>
              <w:bottom w:type="dxa" w:w="80"/>
              <w:right w:type="dxa" w:w="100"/>
            </w:tcMar>
          </w:tcPr>
          <w:p>
            <w:pPr>
              <w:jc w:val="left"/>
            </w:pPr>
            <w:r>
              <w:rPr>
                <w:b w:val="false"/>
                <w:bCs w:val="false"/>
              </w:rPr>
              <w:t xml:space="preserve">Revisión / Bitácora</w:t>
            </w:r>
          </w:p>
        </w:tc>
        <w:tc>
          <w:tcPr>
            <w:tcW w:type="dxa" w:w="5800"/>
            <w:tcMar>
              <w:top w:type="dxa" w:w="80"/>
              <w:left w:type="dxa" w:w="100"/>
              <w:bottom w:type="dxa" w:w="80"/>
              <w:right w:type="dxa" w:w="100"/>
            </w:tcMar>
          </w:tcPr>
          <w:p>
            <w:pPr>
              <w:jc w:val="left"/>
            </w:pPr>
            <w:r>
              <w:rPr>
                <w:b w:val="false"/>
                <w:bCs w:val="false"/>
              </w:rPr>
              <w:t xml:space="preserve">Registro de cambios y aprobaciones sobre cada cláusula (quién, cuándo, qué corrigió).</w:t>
            </w:r>
          </w:p>
        </w:tc>
        <w:tc>
          <w:tcPr>
            <w:tcW w:type="dxa" w:w="1800"/>
            <w:tcMar>
              <w:top w:type="dxa" w:w="80"/>
              <w:left w:type="dxa" w:w="100"/>
              <w:bottom w:type="dxa" w:w="80"/>
              <w:right w:type="dxa" w:w="100"/>
            </w:tcMar>
          </w:tcPr>
          <w:p>
            <w:pPr>
              <w:jc w:val="left"/>
            </w:pPr>
            <w:r>
              <w:rPr>
                <w:b w:val="false"/>
                <w:bCs w:val="false"/>
              </w:rPr>
              <w:t xml:space="preserve">Adaptado de bitacoras</w:t>
            </w:r>
          </w:p>
        </w:tc>
      </w:tr>
      <w:tr>
        <w:tc>
          <w:tcPr>
            <w:tcW w:type="dxa" w:w="2400"/>
            <w:shd w:fill="EAF1F4" w:val="clear"/>
            <w:tcMar>
              <w:top w:type="dxa" w:w="80"/>
              <w:left w:type="dxa" w:w="100"/>
              <w:bottom w:type="dxa" w:w="80"/>
              <w:right w:type="dxa" w:w="100"/>
            </w:tcMar>
          </w:tcPr>
          <w:p>
            <w:pPr>
              <w:jc w:val="left"/>
            </w:pPr>
            <w:r>
              <w:rPr>
                <w:b w:val="false"/>
                <w:bCs w:val="false"/>
              </w:rPr>
              <w:t xml:space="preserve">Licencia</w:t>
            </w:r>
          </w:p>
        </w:tc>
        <w:tc>
          <w:tcPr>
            <w:tcW w:type="dxa" w:w="5800"/>
            <w:shd w:fill="EAF1F4" w:val="clear"/>
            <w:tcMar>
              <w:top w:type="dxa" w:w="80"/>
              <w:left w:type="dxa" w:w="100"/>
              <w:bottom w:type="dxa" w:w="80"/>
              <w:right w:type="dxa" w:w="100"/>
            </w:tcMar>
          </w:tcPr>
          <w:p>
            <w:pPr>
              <w:jc w:val="left"/>
            </w:pPr>
            <w:r>
              <w:rPr>
                <w:b w:val="false"/>
                <w:bCs w:val="false"/>
              </w:rPr>
              <w:t xml:space="preserve">Plan del tenant: fecha de inicio/fin, límites de usuarios, documentos y países habilitados.</w:t>
            </w:r>
          </w:p>
        </w:tc>
        <w:tc>
          <w:tcPr>
            <w:tcW w:type="dxa" w:w="1800"/>
            <w:shd w:fill="EAF1F4" w:val="clear"/>
            <w:tcMar>
              <w:top w:type="dxa" w:w="80"/>
              <w:left w:type="dxa" w:w="100"/>
              <w:bottom w:type="dxa" w:w="80"/>
              <w:right w:type="dxa" w:w="100"/>
            </w:tcMar>
          </w:tcPr>
          <w:p>
            <w:pPr>
              <w:jc w:val="left"/>
            </w:pPr>
            <w:r>
              <w:rPr>
                <w:b w:val="false"/>
                <w:bCs w:val="false"/>
              </w:rPr>
              <w:t xml:space="preserve">Nuevo (el legado solo tenía fech_venc por usuario)</w:t>
            </w:r>
          </w:p>
        </w:tc>
      </w:tr>
      <w:tr>
        <w:tc>
          <w:tcPr>
            <w:tcW w:type="dxa" w:w="2400"/>
            <w:tcMar>
              <w:top w:type="dxa" w:w="80"/>
              <w:left w:type="dxa" w:w="100"/>
              <w:bottom w:type="dxa" w:w="80"/>
              <w:right w:type="dxa" w:w="100"/>
            </w:tcMar>
          </w:tcPr>
          <w:p>
            <w:pPr>
              <w:jc w:val="left"/>
            </w:pPr>
            <w:r>
              <w:rPr>
                <w:b w:val="false"/>
                <w:bCs w:val="false"/>
              </w:rPr>
              <w:t xml:space="preserve">Reporte de comparación</w:t>
            </w:r>
          </w:p>
        </w:tc>
        <w:tc>
          <w:tcPr>
            <w:tcW w:type="dxa" w:w="5800"/>
            <w:tcMar>
              <w:top w:type="dxa" w:w="80"/>
              <w:left w:type="dxa" w:w="100"/>
              <w:bottom w:type="dxa" w:w="80"/>
              <w:right w:type="dxa" w:w="100"/>
            </w:tcMar>
          </w:tcPr>
          <w:p>
            <w:pPr>
              <w:jc w:val="left"/>
            </w:pPr>
            <w:r>
              <w:rPr>
                <w:b w:val="false"/>
                <w:bCs w:val="false"/>
              </w:rPr>
              <w:t xml:space="preserve">Selección de documentos/cláusulas comparadas, filtros aplicados y fecha de generación; alimenta la vista web y el export.</w:t>
            </w:r>
          </w:p>
        </w:tc>
        <w:tc>
          <w:tcPr>
            <w:tcW w:type="dxa" w:w="1800"/>
            <w:tcMar>
              <w:top w:type="dxa" w:w="80"/>
              <w:left w:type="dxa" w:w="100"/>
              <w:bottom w:type="dxa" w:w="80"/>
              <w:right w:type="dxa" w:w="100"/>
            </w:tcMar>
          </w:tcPr>
          <w:p>
            <w:pPr>
              <w:jc w:val="left"/>
            </w:pPr>
            <w:r>
              <w:rPr>
                <w:b w:val="false"/>
                <w:bCs w:val="false"/>
              </w:rPr>
              <w:t xml:space="preserve">Adaptado del módulo comparador.php</w:t>
            </w:r>
          </w:p>
        </w:tc>
      </w:tr>
    </w:tbl>
    <w:p>
      <w:r>
        <w:br w:type="page"/>
      </w:r>
    </w:p>
    <w:p>
      <w:pPr>
        <w:pStyle w:val="Heading1"/>
        <w:spacing w:after="160" w:before="360"/>
      </w:pPr>
      <w:r>
        <w:t xml:space="preserve">5. Pipeline de extracción y clasificación con IA</w:t>
      </w:r>
    </w:p>
    <w:p>
      <w:pPr>
        <w:spacing w:after="160"/>
      </w:pPr>
      <w:r>
        <w:t xml:space="preserve">Reemplaza el flujo 100% manual del sistema legado (donde un transcriptor leía el PDF y escribía a mano título, resumen y campo comparativo) por un flujo asistido por IA con revisión humana obligatoria antes de publicar.</w:t>
      </w:r>
    </w:p>
    <w:p>
      <w:pPr>
        <w:pStyle w:val="ListParagraph"/>
        <w:numPr>
          <w:ilvl w:val="0"/>
          <w:numId w:val="2"/>
        </w:numPr>
        <w:spacing w:after="100"/>
      </w:pPr>
      <w:r>
        <w:rPr>
          <w:b/>
          <w:bCs/>
        </w:rPr>
        <w:t xml:space="preserve">1. </w:t>
      </w:r>
      <w:r>
        <w:t xml:space="preserve">Ingesta: el tenant aporta el documento por URL pública o carga de archivo (PDF/Word).</w:t>
      </w:r>
    </w:p>
    <w:p>
      <w:pPr>
        <w:pStyle w:val="ListParagraph"/>
        <w:numPr>
          <w:ilvl w:val="0"/>
          <w:numId w:val="2"/>
        </w:numPr>
        <w:spacing w:after="100"/>
      </w:pPr>
      <w:r>
        <w:rPr>
          <w:b/>
          <w:bCs/>
        </w:rPr>
        <w:t xml:space="preserve">2. </w:t>
      </w:r>
      <w:r>
        <w:t xml:space="preserve">Check público/privado: por defecto el documento se trata como privado; el usuario puede marcarlo como público, y si es vía URL se valida que sea efectivamente accesible sin autenticación antes de tratarlo como tal.</w:t>
      </w:r>
    </w:p>
    <w:p>
      <w:pPr>
        <w:pStyle w:val="ListParagraph"/>
        <w:numPr>
          <w:ilvl w:val="0"/>
          <w:numId w:val="2"/>
        </w:numPr>
        <w:spacing w:after="100"/>
      </w:pPr>
      <w:r>
        <w:rPr>
          <w:b/>
          <w:bCs/>
        </w:rPr>
        <w:t xml:space="preserve">3. </w:t>
      </w:r>
      <w:r>
        <w:t xml:space="preserve">Extracción de texto: parseo de PDF/Word; OCR automático si el documento es un escáneo.</w:t>
      </w:r>
    </w:p>
    <w:p>
      <w:pPr>
        <w:pStyle w:val="ListParagraph"/>
        <w:numPr>
          <w:ilvl w:val="0"/>
          <w:numId w:val="2"/>
        </w:numPr>
        <w:spacing w:after="100"/>
      </w:pPr>
      <w:r>
        <w:rPr>
          <w:b/>
          <w:bCs/>
        </w:rPr>
        <w:t xml:space="preserve">4. </w:t>
      </w:r>
      <w:r>
        <w:t xml:space="preserve">Segmentación: división del texto en artículos/cláusulas individuales.</w:t>
      </w:r>
    </w:p>
    <w:p>
      <w:pPr>
        <w:pStyle w:val="ListParagraph"/>
        <w:numPr>
          <w:ilvl w:val="0"/>
          <w:numId w:val="2"/>
        </w:numPr>
        <w:spacing w:after="100"/>
      </w:pPr>
      <w:r>
        <w:rPr>
          <w:b/>
          <w:bCs/>
        </w:rPr>
        <w:t xml:space="preserve">5. </w:t>
      </w:r>
      <w:r>
        <w:t xml:space="preserve">Clasificación: un LLM (vía API, con salida estructurada) asigna cada cláusula a un título de la taxonomía del país del tenant, usando las descripciones ya redactadas de cada título como contexto.</w:t>
      </w:r>
    </w:p>
    <w:p>
      <w:pPr>
        <w:pStyle w:val="ListParagraph"/>
        <w:numPr>
          <w:ilvl w:val="0"/>
          <w:numId w:val="2"/>
        </w:numPr>
        <w:spacing w:after="100"/>
      </w:pPr>
      <w:r>
        <w:rPr>
          <w:b/>
          <w:bCs/>
        </w:rPr>
        <w:t xml:space="preserve">6. </w:t>
      </w:r>
      <w:r>
        <w:t xml:space="preserve">Extracción del campo comparativo: el mismo paso extrae y normaliza el valor comparable (ej. “15 días”, “30% del salario”) cuando el título lo requiere.</w:t>
      </w:r>
    </w:p>
    <w:p>
      <w:pPr>
        <w:pStyle w:val="ListParagraph"/>
        <w:numPr>
          <w:ilvl w:val="0"/>
          <w:numId w:val="2"/>
        </w:numPr>
        <w:spacing w:after="100"/>
      </w:pPr>
      <w:r>
        <w:rPr>
          <w:b/>
          <w:bCs/>
        </w:rPr>
        <w:t xml:space="preserve">7. </w:t>
      </w:r>
      <w:r>
        <w:t xml:space="preserve">Score de confianza: cada cláusula clasificada queda con un nivel de confianza del modelo, para priorizar la cola de revisión.</w:t>
      </w:r>
    </w:p>
    <w:p>
      <w:pPr>
        <w:pStyle w:val="ListParagraph"/>
        <w:numPr>
          <w:ilvl w:val="0"/>
          <w:numId w:val="2"/>
        </w:numPr>
        <w:spacing w:after="100"/>
      </w:pPr>
      <w:r>
        <w:rPr>
          <w:b/>
          <w:bCs/>
        </w:rPr>
        <w:t xml:space="preserve">8. </w:t>
      </w:r>
      <w:r>
        <w:t xml:space="preserve">Revisión humana: el rol Revisor valida o corrige clasificación, resumen y campo comparativo antes de publicar.</w:t>
      </w:r>
    </w:p>
    <w:p>
      <w:pPr>
        <w:pStyle w:val="ListParagraph"/>
        <w:numPr>
          <w:ilvl w:val="0"/>
          <w:numId w:val="2"/>
        </w:numPr>
        <w:spacing w:after="100"/>
      </w:pPr>
      <w:r>
        <w:rPr>
          <w:b/>
          <w:bCs/>
        </w:rPr>
        <w:t xml:space="preserve">9. </w:t>
      </w:r>
      <w:r>
        <w:t xml:space="preserve">Publicación: la cláusula aprobada queda visible en el reporte web y disponible para comparación entre documentos.</w:t>
      </w:r>
    </w:p>
    <w:p>
      <w:pPr>
        <w:spacing w:after="160"/>
      </w:pPr>
      <w:r>
        <w:rPr>
          <w:b/>
          <w:bCs/>
        </w:rPr>
        <w:t xml:space="preserve">Dataset de partida: </w:t>
      </w:r>
      <w:r>
        <w:t xml:space="preserve">el dump legado aporta ~6.400 artículos ya clasificados y el repositorio de código trae 403 PDFs reales de convenciones venezolanas ya vinculadas a su clasificación. Es la base para diseñar el prompt/few-shot y medir la calidad del clasificador antes de lanzar — sujeto a confirmar el derecho de reutilizar esos documentos como dataset de prueba.</w:t>
      </w:r>
    </w:p>
    <w:p>
      <w:pPr>
        <w:pStyle w:val="Heading1"/>
        <w:spacing w:after="160" w:before="360"/>
      </w:pPr>
      <w:r>
        <w:t xml:space="preserve">6. Stack técnico propuesto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200"/>
      </w:tblGrid>
      <w:tr>
        <w:trPr>
          <w:tblHeader/>
        </w:trPr>
        <w:tc>
          <w:tcPr>
            <w:tcW w:type="dxa" w:w="2200"/>
            <w:shd w:fill="1F4E5F" w:val="clear"/>
            <w:tcMar>
              <w:top w:type="dxa" w:w="80"/>
              <w:left w:type="dxa" w:w="100"/>
              <w:bottom w:type="dxa" w:w="80"/>
              <w:right w:type="dxa" w:w="100"/>
            </w:tcMar>
          </w:tcPr>
          <w:p>
            <w:pPr>
              <w:jc w:val="left"/>
            </w:pPr>
            <w:r>
              <w:rPr>
                <w:b/>
                <w:bCs/>
              </w:rPr>
              <w:t xml:space="preserve">Componente</w:t>
            </w:r>
          </w:p>
        </w:tc>
        <w:tc>
          <w:tcPr>
            <w:tcW w:type="dxa" w:w="3800"/>
            <w:shd w:fill="1F4E5F" w:val="clear"/>
            <w:tcMar>
              <w:top w:type="dxa" w:w="80"/>
              <w:left w:type="dxa" w:w="100"/>
              <w:bottom w:type="dxa" w:w="80"/>
              <w:right w:type="dxa" w:w="100"/>
            </w:tcMar>
          </w:tcPr>
          <w:p>
            <w:pPr>
              <w:jc w:val="left"/>
            </w:pPr>
            <w:r>
              <w:rPr>
                <w:b/>
                <w:bCs/>
              </w:rPr>
              <w:t xml:space="preserve">Propuesta</w:t>
            </w:r>
          </w:p>
        </w:tc>
        <w:tc>
          <w:tcPr>
            <w:tcW w:type="dxa" w:w="3200"/>
            <w:shd w:fill="1F4E5F" w:val="clear"/>
            <w:tcMar>
              <w:top w:type="dxa" w:w="80"/>
              <w:left w:type="dxa" w:w="100"/>
              <w:bottom w:type="dxa" w:w="80"/>
              <w:right w:type="dxa" w:w="100"/>
            </w:tcMar>
          </w:tcPr>
          <w:p>
            <w:pPr>
              <w:jc w:val="left"/>
            </w:pPr>
            <w:r>
              <w:rPr>
                <w:b/>
                <w:bCs/>
              </w:rPr>
              <w:t xml:space="preserve">Motivo</w:t>
            </w:r>
          </w:p>
        </w:tc>
      </w:tr>
      <w:tr>
        <w:tc>
          <w:tcPr>
            <w:tcW w:type="dxa" w:w="2200"/>
            <w:tcMar>
              <w:top w:type="dxa" w:w="80"/>
              <w:left w:type="dxa" w:w="100"/>
              <w:bottom w:type="dxa" w:w="80"/>
              <w:right w:type="dxa" w:w="100"/>
            </w:tcMar>
          </w:tcPr>
          <w:p>
            <w:pPr>
              <w:jc w:val="left"/>
            </w:pPr>
            <w:r>
              <w:rPr>
                <w:b w:val="false"/>
                <w:bCs w:val="false"/>
              </w:rPr>
              <w:t xml:space="preserve">API principal</w:t>
            </w:r>
          </w:p>
        </w:tc>
        <w:tc>
          <w:tcPr>
            <w:tcW w:type="dxa" w:w="3800"/>
            <w:tcMar>
              <w:top w:type="dxa" w:w="80"/>
              <w:left w:type="dxa" w:w="100"/>
              <w:bottom w:type="dxa" w:w="80"/>
              <w:right w:type="dxa" w:w="100"/>
            </w:tcMar>
          </w:tcPr>
          <w:p>
            <w:pPr>
              <w:jc w:val="left"/>
            </w:pPr>
            <w:r>
              <w:rPr>
                <w:b w:val="false"/>
                <w:bCs w:val="false"/>
              </w:rPr>
              <w:t xml:space="preserve">C# / .NET (última versión LTS)</w:t>
            </w:r>
          </w:p>
        </w:tc>
        <w:tc>
          <w:tcPr>
            <w:tcW w:type="dxa" w:w="3200"/>
            <w:tcMar>
              <w:top w:type="dxa" w:w="80"/>
              <w:left w:type="dxa" w:w="100"/>
              <w:bottom w:type="dxa" w:w="80"/>
              <w:right w:type="dxa" w:w="100"/>
            </w:tcMar>
          </w:tcPr>
          <w:p>
            <w:pPr>
              <w:jc w:val="left"/>
            </w:pPr>
            <w:r>
              <w:rPr>
                <w:b w:val="false"/>
                <w:bCs w:val="false"/>
              </w:rPr>
              <w:t xml:space="preserve">Preferencia inicial confirmada; adecuado para lógica de negocio, multi-tenancy, auth y licenciamiento.</w:t>
            </w:r>
          </w:p>
        </w:tc>
      </w:tr>
      <w:tr>
        <w:tc>
          <w:tcPr>
            <w:tcW w:type="dxa" w:w="2200"/>
            <w:shd w:fill="EAF1F4" w:val="clear"/>
            <w:tcMar>
              <w:top w:type="dxa" w:w="80"/>
              <w:left w:type="dxa" w:w="100"/>
              <w:bottom w:type="dxa" w:w="80"/>
              <w:right w:type="dxa" w:w="100"/>
            </w:tcMar>
          </w:tcPr>
          <w:p>
            <w:pPr>
              <w:jc w:val="left"/>
            </w:pPr>
            <w:r>
              <w:rPr>
                <w:b w:val="false"/>
                <w:bCs w:val="false"/>
              </w:rPr>
              <w:t xml:space="preserve">Servicio de IA</w:t>
            </w:r>
          </w:p>
        </w:tc>
        <w:tc>
          <w:tcPr>
            <w:tcW w:type="dxa" w:w="3800"/>
            <w:shd w:fill="EAF1F4" w:val="clear"/>
            <w:tcMar>
              <w:top w:type="dxa" w:w="80"/>
              <w:left w:type="dxa" w:w="100"/>
              <w:bottom w:type="dxa" w:w="80"/>
              <w:right w:type="dxa" w:w="100"/>
            </w:tcMar>
          </w:tcPr>
          <w:p>
            <w:pPr>
              <w:jc w:val="left"/>
            </w:pPr>
            <w:r>
              <w:rPr>
                <w:b w:val="false"/>
                <w:bCs w:val="false"/>
              </w:rPr>
              <w:t xml:space="preserve">Python (FastAPI) como microservicio separado, consumido asíncronamente vía cola</w:t>
            </w:r>
          </w:p>
        </w:tc>
        <w:tc>
          <w:tcPr>
            <w:tcW w:type="dxa" w:w="3200"/>
            <w:shd w:fill="EAF1F4" w:val="clear"/>
            <w:tcMar>
              <w:top w:type="dxa" w:w="80"/>
              <w:left w:type="dxa" w:w="100"/>
              <w:bottom w:type="dxa" w:w="80"/>
              <w:right w:type="dxa" w:w="100"/>
            </w:tcMar>
          </w:tcPr>
          <w:p>
            <w:pPr>
              <w:jc w:val="left"/>
            </w:pPr>
            <w:r>
              <w:rPr>
                <w:b w:val="false"/>
                <w:bCs w:val="false"/>
              </w:rPr>
              <w:t xml:space="preserve">Ecosistema natural para orquestar llamadas a LLM, OCR y procesamiento de texto; se desacopla de la API para no bloquearla con tareas largas.</w:t>
            </w:r>
          </w:p>
        </w:tc>
      </w:tr>
      <w:tr>
        <w:tc>
          <w:tcPr>
            <w:tcW w:type="dxa" w:w="2200"/>
            <w:tcMar>
              <w:top w:type="dxa" w:w="80"/>
              <w:left w:type="dxa" w:w="100"/>
              <w:bottom w:type="dxa" w:w="80"/>
              <w:right w:type="dxa" w:w="100"/>
            </w:tcMar>
          </w:tcPr>
          <w:p>
            <w:pPr>
              <w:jc w:val="left"/>
            </w:pPr>
            <w:r>
              <w:rPr>
                <w:b w:val="false"/>
                <w:bCs w:val="false"/>
              </w:rPr>
              <w:t xml:space="preserve">Motor de IA</w:t>
            </w:r>
          </w:p>
        </w:tc>
        <w:tc>
          <w:tcPr>
            <w:tcW w:type="dxa" w:w="3800"/>
            <w:tcMar>
              <w:top w:type="dxa" w:w="80"/>
              <w:left w:type="dxa" w:w="100"/>
              <w:bottom w:type="dxa" w:w="80"/>
              <w:right w:type="dxa" w:w="100"/>
            </w:tcMar>
          </w:tcPr>
          <w:p>
            <w:pPr>
              <w:jc w:val="left"/>
            </w:pPr>
            <w:r>
              <w:rPr>
                <w:b w:val="false"/>
                <w:bCs w:val="false"/>
              </w:rPr>
              <w:t xml:space="preserve">LLM vía API (Claude) con salida estructurada</w:t>
            </w:r>
          </w:p>
        </w:tc>
        <w:tc>
          <w:tcPr>
            <w:tcW w:type="dxa" w:w="3200"/>
            <w:tcMar>
              <w:top w:type="dxa" w:w="80"/>
              <w:left w:type="dxa" w:w="100"/>
              <w:bottom w:type="dxa" w:w="80"/>
              <w:right w:type="dxa" w:w="100"/>
            </w:tcMar>
          </w:tcPr>
          <w:p>
            <w:pPr>
              <w:jc w:val="left"/>
            </w:pPr>
            <w:r>
              <w:rPr>
                <w:b w:val="false"/>
                <w:bCs w:val="false"/>
              </w:rPr>
              <w:t xml:space="preserve">Evita entrenar y mantener modelos propios; usa las ~6.400 cláusulas ya clasificadas como ejemplos de referencia.</w:t>
            </w:r>
          </w:p>
        </w:tc>
      </w:tr>
      <w:tr>
        <w:tc>
          <w:tcPr>
            <w:tcW w:type="dxa" w:w="2200"/>
            <w:shd w:fill="EAF1F4" w:val="clear"/>
            <w:tcMar>
              <w:top w:type="dxa" w:w="80"/>
              <w:left w:type="dxa" w:w="100"/>
              <w:bottom w:type="dxa" w:w="80"/>
              <w:right w:type="dxa" w:w="100"/>
            </w:tcMar>
          </w:tcPr>
          <w:p>
            <w:pPr>
              <w:jc w:val="left"/>
            </w:pPr>
            <w:r>
              <w:rPr>
                <w:b w:val="false"/>
                <w:bCs w:val="false"/>
              </w:rPr>
              <w:t xml:space="preserve">Base de datos</w:t>
            </w:r>
          </w:p>
        </w:tc>
        <w:tc>
          <w:tcPr>
            <w:tcW w:type="dxa" w:w="3800"/>
            <w:shd w:fill="EAF1F4" w:val="clear"/>
            <w:tcMar>
              <w:top w:type="dxa" w:w="80"/>
              <w:left w:type="dxa" w:w="100"/>
              <w:bottom w:type="dxa" w:w="80"/>
              <w:right w:type="dxa" w:w="100"/>
            </w:tcMar>
          </w:tcPr>
          <w:p>
            <w:pPr>
              <w:jc w:val="left"/>
            </w:pPr>
            <w:r>
              <w:rPr>
                <w:b w:val="false"/>
                <w:bCs w:val="false"/>
              </w:rPr>
              <w:t xml:space="preserve">PostgreSQL o Azure SQL, multi-tenant por columna tenant_id</w:t>
            </w:r>
          </w:p>
        </w:tc>
        <w:tc>
          <w:tcPr>
            <w:tcW w:type="dxa" w:w="3200"/>
            <w:shd w:fill="EAF1F4" w:val="clear"/>
            <w:tcMar>
              <w:top w:type="dxa" w:w="80"/>
              <w:left w:type="dxa" w:w="100"/>
              <w:bottom w:type="dxa" w:w="80"/>
              <w:right w:type="dxa" w:w="100"/>
            </w:tcMar>
          </w:tcPr>
          <w:p>
            <w:pPr>
              <w:jc w:val="left"/>
            </w:pPr>
            <w:r>
              <w:rPr>
                <w:b w:val="false"/>
                <w:bCs w:val="false"/>
              </w:rPr>
              <w:t xml:space="preserve">Esquema compartido simple para arrancar; migrable a aislamiento por tenant más adelante si un cliente grande lo exige.</w:t>
            </w:r>
          </w:p>
        </w:tc>
      </w:tr>
      <w:tr>
        <w:tc>
          <w:tcPr>
            <w:tcW w:type="dxa" w:w="2200"/>
            <w:tcMar>
              <w:top w:type="dxa" w:w="80"/>
              <w:left w:type="dxa" w:w="100"/>
              <w:bottom w:type="dxa" w:w="80"/>
              <w:right w:type="dxa" w:w="100"/>
            </w:tcMar>
          </w:tcPr>
          <w:p>
            <w:pPr>
              <w:jc w:val="left"/>
            </w:pPr>
            <w:r>
              <w:rPr>
                <w:b w:val="false"/>
                <w:bCs w:val="false"/>
              </w:rPr>
              <w:t xml:space="preserve">Almacenamiento de documentos</w:t>
            </w:r>
          </w:p>
        </w:tc>
        <w:tc>
          <w:tcPr>
            <w:tcW w:type="dxa" w:w="3800"/>
            <w:tcMar>
              <w:top w:type="dxa" w:w="80"/>
              <w:left w:type="dxa" w:w="100"/>
              <w:bottom w:type="dxa" w:w="80"/>
              <w:right w:type="dxa" w:w="100"/>
            </w:tcMar>
          </w:tcPr>
          <w:p>
            <w:pPr>
              <w:jc w:val="left"/>
            </w:pPr>
            <w:r>
              <w:rPr>
                <w:b w:val="false"/>
                <w:bCs w:val="false"/>
              </w:rPr>
              <w:t xml:space="preserve">Blob storage cifrado en reposo (Azure Blob / S3)</w:t>
            </w:r>
          </w:p>
        </w:tc>
        <w:tc>
          <w:tcPr>
            <w:tcW w:type="dxa" w:w="3200"/>
            <w:tcMar>
              <w:top w:type="dxa" w:w="80"/>
              <w:left w:type="dxa" w:w="100"/>
              <w:bottom w:type="dxa" w:w="80"/>
              <w:right w:type="dxa" w:w="100"/>
            </w:tcMar>
          </w:tcPr>
          <w:p>
            <w:pPr>
              <w:jc w:val="left"/>
            </w:pPr>
            <w:r>
              <w:rPr>
                <w:b w:val="false"/>
                <w:bCs w:val="false"/>
              </w:rPr>
              <w:t xml:space="preserve">Los PDFs originales no deben vivir en el sistema de archivos de la app, como en el legado.</w:t>
            </w:r>
          </w:p>
        </w:tc>
      </w:tr>
      <w:tr>
        <w:tc>
          <w:tcPr>
            <w:tcW w:type="dxa" w:w="2200"/>
            <w:shd w:fill="EAF1F4" w:val="clear"/>
            <w:tcMar>
              <w:top w:type="dxa" w:w="80"/>
              <w:left w:type="dxa" w:w="100"/>
              <w:bottom w:type="dxa" w:w="80"/>
              <w:right w:type="dxa" w:w="100"/>
            </w:tcMar>
          </w:tcPr>
          <w:p>
            <w:pPr>
              <w:jc w:val="left"/>
            </w:pPr>
            <w:r>
              <w:rPr>
                <w:b w:val="false"/>
                <w:bCs w:val="false"/>
              </w:rPr>
              <w:t xml:space="preserve">Cola de tareas</w:t>
            </w:r>
          </w:p>
        </w:tc>
        <w:tc>
          <w:tcPr>
            <w:tcW w:type="dxa" w:w="3800"/>
            <w:shd w:fill="EAF1F4" w:val="clear"/>
            <w:tcMar>
              <w:top w:type="dxa" w:w="80"/>
              <w:left w:type="dxa" w:w="100"/>
              <w:bottom w:type="dxa" w:w="80"/>
              <w:right w:type="dxa" w:w="100"/>
            </w:tcMar>
          </w:tcPr>
          <w:p>
            <w:pPr>
              <w:jc w:val="left"/>
            </w:pPr>
            <w:r>
              <w:rPr>
                <w:b w:val="false"/>
                <w:bCs w:val="false"/>
              </w:rPr>
              <w:t xml:space="preserve">Azure Service Bus / RabbitMQ</w:t>
            </w:r>
          </w:p>
        </w:tc>
        <w:tc>
          <w:tcPr>
            <w:tcW w:type="dxa" w:w="3200"/>
            <w:shd w:fill="EAF1F4" w:val="clear"/>
            <w:tcMar>
              <w:top w:type="dxa" w:w="80"/>
              <w:left w:type="dxa" w:w="100"/>
              <w:bottom w:type="dxa" w:w="80"/>
              <w:right w:type="dxa" w:w="100"/>
            </w:tcMar>
          </w:tcPr>
          <w:p>
            <w:pPr>
              <w:jc w:val="left"/>
            </w:pPr>
            <w:r>
              <w:rPr>
                <w:b w:val="false"/>
                <w:bCs w:val="false"/>
              </w:rPr>
              <w:t xml:space="preserve">Desacopla ingesta y extracción de IA (proceso lento) del resto de la aplicación.</w:t>
            </w:r>
          </w:p>
        </w:tc>
      </w:tr>
      <w:tr>
        <w:tc>
          <w:tcPr>
            <w:tcW w:type="dxa" w:w="2200"/>
            <w:tcMar>
              <w:top w:type="dxa" w:w="80"/>
              <w:left w:type="dxa" w:w="100"/>
              <w:bottom w:type="dxa" w:w="80"/>
              <w:right w:type="dxa" w:w="100"/>
            </w:tcMar>
          </w:tcPr>
          <w:p>
            <w:pPr>
              <w:jc w:val="left"/>
            </w:pPr>
            <w:r>
              <w:rPr>
                <w:b w:val="false"/>
                <w:bCs w:val="false"/>
              </w:rPr>
              <w:t xml:space="preserve">Frontend</w:t>
            </w:r>
          </w:p>
        </w:tc>
        <w:tc>
          <w:tcPr>
            <w:tcW w:type="dxa" w:w="3800"/>
            <w:tcMar>
              <w:top w:type="dxa" w:w="80"/>
              <w:left w:type="dxa" w:w="100"/>
              <w:bottom w:type="dxa" w:w="80"/>
              <w:right w:type="dxa" w:w="100"/>
            </w:tcMar>
          </w:tcPr>
          <w:p>
            <w:pPr>
              <w:jc w:val="left"/>
            </w:pPr>
            <w:r>
              <w:rPr>
                <w:b w:val="false"/>
                <w:bCs w:val="false"/>
              </w:rPr>
              <w:t xml:space="preserve">SPA (React)</w:t>
            </w:r>
          </w:p>
        </w:tc>
        <w:tc>
          <w:tcPr>
            <w:tcW w:type="dxa" w:w="3200"/>
            <w:tcMar>
              <w:top w:type="dxa" w:w="80"/>
              <w:left w:type="dxa" w:w="100"/>
              <w:bottom w:type="dxa" w:w="80"/>
              <w:right w:type="dxa" w:w="100"/>
            </w:tcMar>
          </w:tcPr>
          <w:p>
            <w:pPr>
              <w:jc w:val="left"/>
            </w:pPr>
            <w:r>
              <w:rPr>
                <w:b w:val="false"/>
                <w:bCs w:val="false"/>
              </w:rPr>
              <w:t xml:space="preserve">Portal de tenant, cola de revisión y reportes web.</w:t>
            </w:r>
          </w:p>
        </w:tc>
      </w:tr>
      <w:tr>
        <w:tc>
          <w:tcPr>
            <w:tcW w:type="dxa" w:w="2200"/>
            <w:shd w:fill="EAF1F4" w:val="clear"/>
            <w:tcMar>
              <w:top w:type="dxa" w:w="80"/>
              <w:left w:type="dxa" w:w="100"/>
              <w:bottom w:type="dxa" w:w="80"/>
              <w:right w:type="dxa" w:w="100"/>
            </w:tcMar>
          </w:tcPr>
          <w:p>
            <w:pPr>
              <w:jc w:val="left"/>
            </w:pPr>
            <w:r>
              <w:rPr>
                <w:b w:val="false"/>
                <w:bCs w:val="false"/>
              </w:rPr>
              <w:t xml:space="preserve">Autenticación</w:t>
            </w:r>
          </w:p>
        </w:tc>
        <w:tc>
          <w:tcPr>
            <w:tcW w:type="dxa" w:w="3800"/>
            <w:shd w:fill="EAF1F4" w:val="clear"/>
            <w:tcMar>
              <w:top w:type="dxa" w:w="80"/>
              <w:left w:type="dxa" w:w="100"/>
              <w:bottom w:type="dxa" w:w="80"/>
              <w:right w:type="dxa" w:w="100"/>
            </w:tcMar>
          </w:tcPr>
          <w:p>
            <w:pPr>
              <w:jc w:val="left"/>
            </w:pPr>
            <w:r>
              <w:rPr>
                <w:b w:val="false"/>
                <w:bCs w:val="false"/>
              </w:rPr>
              <w:t xml:space="preserve">OIDC estándar + SSO/SAML vía proveedor (WorkOS o Auth0)</w:t>
            </w:r>
          </w:p>
        </w:tc>
        <w:tc>
          <w:tcPr>
            <w:tcW w:type="dxa" w:w="3200"/>
            <w:shd w:fill="EAF1F4" w:val="clear"/>
            <w:tcMar>
              <w:top w:type="dxa" w:w="80"/>
              <w:left w:type="dxa" w:w="100"/>
              <w:bottom w:type="dxa" w:w="80"/>
              <w:right w:type="dxa" w:w="100"/>
            </w:tcMar>
          </w:tcPr>
          <w:p>
            <w:pPr>
              <w:jc w:val="left"/>
            </w:pPr>
            <w:r>
              <w:rPr>
                <w:b w:val="false"/>
                <w:bCs w:val="false"/>
              </w:rPr>
              <w:t xml:space="preserve">SAML propio es costoso y frágil de mantener; estos proveedores dan SSO empresarial listo por cliente.</w:t>
            </w:r>
          </w:p>
        </w:tc>
      </w:tr>
      <w:tr>
        <w:tc>
          <w:tcPr>
            <w:tcW w:type="dxa" w:w="2200"/>
            <w:tcMar>
              <w:top w:type="dxa" w:w="80"/>
              <w:left w:type="dxa" w:w="100"/>
              <w:bottom w:type="dxa" w:w="80"/>
              <w:right w:type="dxa" w:w="100"/>
            </w:tcMar>
          </w:tcPr>
          <w:p>
            <w:pPr>
              <w:jc w:val="left"/>
            </w:pPr>
            <w:r>
              <w:rPr>
                <w:b w:val="false"/>
                <w:bCs w:val="false"/>
              </w:rPr>
              <w:t xml:space="preserve">Infraestructura</w:t>
            </w:r>
          </w:p>
        </w:tc>
        <w:tc>
          <w:tcPr>
            <w:tcW w:type="dxa" w:w="3800"/>
            <w:tcMar>
              <w:top w:type="dxa" w:w="80"/>
              <w:left w:type="dxa" w:w="100"/>
              <w:bottom w:type="dxa" w:w="80"/>
              <w:right w:type="dxa" w:w="100"/>
            </w:tcMar>
          </w:tcPr>
          <w:p>
            <w:pPr>
              <w:jc w:val="left"/>
            </w:pPr>
            <w:r>
              <w:rPr>
                <w:b w:val="false"/>
                <w:bCs w:val="false"/>
              </w:rPr>
              <w:t xml:space="preserve">Contenedores (Docker) en Azure Container Apps, con ruta de crecimiento a Kubernetes</w:t>
            </w:r>
          </w:p>
        </w:tc>
        <w:tc>
          <w:tcPr>
            <w:tcW w:type="dxa" w:w="3200"/>
            <w:tcMar>
              <w:top w:type="dxa" w:w="80"/>
              <w:left w:type="dxa" w:w="100"/>
              <w:bottom w:type="dxa" w:w="80"/>
              <w:right w:type="dxa" w:w="100"/>
            </w:tcMar>
          </w:tcPr>
          <w:p>
            <w:pPr>
              <w:jc w:val="left"/>
            </w:pPr>
            <w:r>
              <w:rPr>
                <w:b w:val="false"/>
                <w:bCs w:val="false"/>
              </w:rPr>
              <w:t xml:space="preserve">Empieza simple para la etapa de demo, escala sin reescritura cuando el volumen lo exija.</w:t>
            </w:r>
          </w:p>
        </w:tc>
      </w:tr>
    </w:tbl>
    <w:p>
      <w:r>
        <w:br w:type="page"/>
      </w:r>
    </w:p>
    <w:p>
      <w:pPr>
        <w:pStyle w:val="Heading1"/>
        <w:spacing w:after="160" w:before="360"/>
      </w:pPr>
      <w:r>
        <w:t xml:space="preserve">7. Seguridad y privacidad</w:t>
      </w:r>
    </w:p>
    <w:p>
      <w:pPr>
        <w:pStyle w:val="ListParagraph"/>
        <w:numPr>
          <w:ilvl w:val="0"/>
          <w:numId w:val="2"/>
        </w:numPr>
        <w:spacing w:after="80"/>
      </w:pPr>
      <w:r>
        <w:t xml:space="preserve">Documentos privados por defecto; solo se tratan como públicos si el usuario lo declara explícitamente y (cuando aplica) se valida que la URL de origen es accesible sin autenticación.</w:t>
      </w:r>
    </w:p>
    <w:p>
      <w:pPr>
        <w:pStyle w:val="ListParagraph"/>
        <w:numPr>
          <w:ilvl w:val="0"/>
          <w:numId w:val="2"/>
        </w:numPr>
        <w:spacing w:after="80"/>
      </w:pPr>
      <w:r>
        <w:t xml:space="preserve">Aislamiento de datos por tenant obligatorio en cada consulta (filtro por tenant_id / row-level security).</w:t>
      </w:r>
    </w:p>
    <w:p>
      <w:pPr>
        <w:pStyle w:val="ListParagraph"/>
        <w:numPr>
          <w:ilvl w:val="0"/>
          <w:numId w:val="2"/>
        </w:numPr>
        <w:spacing w:after="80"/>
      </w:pPr>
      <w:r>
        <w:t xml:space="preserve">Cifrado en tránsito y en reposo para documentos y base de datos.</w:t>
      </w:r>
    </w:p>
    <w:p>
      <w:pPr>
        <w:pStyle w:val="ListParagraph"/>
        <w:numPr>
          <w:ilvl w:val="0"/>
          <w:numId w:val="2"/>
        </w:numPr>
        <w:spacing w:after="80"/>
      </w:pPr>
      <w:r>
        <w:t xml:space="preserve">Contraseñas con hashing moderno (bcrypt/argon2); no se migra la tabla de usuarios ni las contraseñas del sistema legado — sus valores no corresponden a un hash seguro. Se fuerza restablecimiento para cualquier usuario heredado.</w:t>
      </w:r>
    </w:p>
    <w:p>
      <w:pPr>
        <w:pStyle w:val="ListParagraph"/>
        <w:numPr>
          <w:ilvl w:val="0"/>
          <w:numId w:val="2"/>
        </w:numPr>
        <w:spacing w:after="80"/>
      </w:pPr>
      <w:r>
        <w:t xml:space="preserve">Bitácora de auditoría sobre cambios y aprobaciones de cláusulas, continuando el concepto de la tabla bitacoras del legado.</w:t>
      </w:r>
    </w:p>
    <w:p>
      <w:pPr>
        <w:pStyle w:val="Heading1"/>
        <w:spacing w:after="160" w:before="360"/>
      </w:pPr>
      <w:r>
        <w:t xml:space="preserve">8. Roles y autenticación empresarial</w:t>
      </w:r>
    </w:p>
    <w:p>
      <w:pPr>
        <w:spacing w:after="160"/>
      </w:pPr>
      <w:r>
        <w:t xml:space="preserve">Los roles se configuran en el proceso de instalación, como en el sistema legado (Master, Operador, Transcriptor, perfiles por módulo). Se propone un set base: Admin Tenant, Revisor, Editor y Visualizador, extensible por el cliente.</w:t>
      </w:r>
    </w:p>
    <w:p>
      <w:pPr>
        <w:spacing w:after="160"/>
      </w:pPr>
      <w:r>
        <w:rPr>
          <w:b/>
          <w:bCs/>
        </w:rPr>
        <w:t xml:space="preserve">SSO/SAML: </w:t>
      </w:r>
      <w:r>
        <w:t xml:space="preserve">se recomienda integrar un proveedor de identidad (WorkOS o Auth0) desde la capa de arquitectura, aunque no se active para la demo. Retrofitear SSO sobre un sistema multi-tenant ya construido es considerablemente más caro que dejarlo previsto desde el inicio.</w:t>
      </w:r>
    </w:p>
    <w:p>
      <w:pPr>
        <w:pStyle w:val="Heading1"/>
        <w:spacing w:after="160" w:before="360"/>
      </w:pPr>
      <w:r>
        <w:t xml:space="preserve">9. Licenciamiento</w:t>
      </w:r>
    </w:p>
    <w:p>
      <w:pPr>
        <w:spacing w:after="160"/>
      </w:pPr>
      <w:r>
        <w:rPr>
          <w:b/>
          <w:bCs/>
        </w:rPr>
        <w:t xml:space="preserve">Modelo propuesto: </w:t>
      </w:r>
      <w:r>
        <w:t xml:space="preserve">licencia anual por tenant, con tier según número de usuarios, volumen de documentos/mes y países habilitados, facturable anual o trimestral según el cliente.</w:t>
      </w:r>
    </w:p>
    <w:p>
      <w:pPr>
        <w:spacing w:after="160"/>
      </w:pPr>
      <w:r>
        <w:t xml:space="preserve">El sistema legado ya valía este concepto de forma rudimentaria (campo fech_venc por usuario). En el nuevo sistema, el vencimiento y los límites del plan se modelan a nivel de tenant, no de usuario individual, y se hacen cumplir mediante feature flags.</w:t>
      </w:r>
    </w:p>
    <w:p>
      <w:pPr>
        <w:pStyle w:val="Heading1"/>
        <w:spacing w:after="160" w:before="360"/>
      </w:pPr>
      <w:r>
        <w:t xml:space="preserve">10. Escalabilidad</w:t>
      </w:r>
    </w:p>
    <w:p>
      <w:pPr>
        <w:spacing w:after="160"/>
      </w:pPr>
      <w:r>
        <w:t xml:space="preserve">Punto de partida: multi-tenancy por columna (tenant_id) sobre una base de datos gestionada, con el servicio de IA como worker asíncrono separado de la API. Esto es suficiente para la etapa de demo y los primeros clientes.</w:t>
      </w:r>
    </w:p>
    <w:p>
      <w:pPr>
        <w:spacing w:after="160"/>
      </w:pPr>
      <w:r>
        <w:t xml:space="preserve">Ruta de crecimiento: aislamiento de datos por tenant (schema o base de datos dedicada) para clientes grandes que lo exijan por compliance; escalado horizontal independiente del worker de IA según volumen de documentos; caché y reuso de extracciones para documentos públicos compartidos entre tenants.</w:t>
      </w:r>
    </w:p>
    <w:p>
      <w:r>
        <w:br w:type="page"/>
      </w:r>
    </w:p>
    <w:p>
      <w:pPr>
        <w:pStyle w:val="Heading1"/>
        <w:spacing w:after="160" w:before="360"/>
      </w:pPr>
      <w:r>
        <w:t xml:space="preserve">11. Plan de migración desde el sistema legado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700"/>
        <w:gridCol w:w="4700"/>
      </w:tblGrid>
      <w:tr>
        <w:trPr>
          <w:tblHeader/>
        </w:trPr>
        <w:tc>
          <w:tcPr>
            <w:tcW w:type="dxa" w:w="4700"/>
            <w:shd w:fill="1F4E5F" w:val="clear"/>
            <w:tcMar>
              <w:top w:type="dxa" w:w="80"/>
              <w:left w:type="dxa" w:w="100"/>
              <w:bottom w:type="dxa" w:w="80"/>
              <w:right w:type="dxa" w:w="100"/>
            </w:tcMar>
          </w:tcPr>
          <w:p>
            <w:pPr>
              <w:jc w:val="left"/>
            </w:pPr>
            <w:r>
              <w:rPr>
                <w:b/>
                <w:bCs/>
              </w:rPr>
              <w:t xml:space="preserve">Se reutiliza</w:t>
            </w:r>
          </w:p>
        </w:tc>
        <w:tc>
          <w:tcPr>
            <w:tcW w:type="dxa" w:w="4700"/>
            <w:shd w:fill="1F4E5F" w:val="clear"/>
            <w:tcMar>
              <w:top w:type="dxa" w:w="80"/>
              <w:left w:type="dxa" w:w="100"/>
              <w:bottom w:type="dxa" w:w="80"/>
              <w:right w:type="dxa" w:w="100"/>
            </w:tcMar>
          </w:tcPr>
          <w:p>
            <w:pPr>
              <w:jc w:val="left"/>
            </w:pPr>
            <w:r>
              <w:rPr>
                <w:b/>
                <w:bCs/>
              </w:rPr>
              <w:t xml:space="preserve">No se reutiliza</w:t>
            </w:r>
          </w:p>
        </w:tc>
      </w:tr>
      <w:tr>
        <w:tc>
          <w:tcPr>
            <w:tcW w:type="dxa" w:w="4700"/>
            <w:tcMar>
              <w:top w:type="dxa" w:w="80"/>
              <w:left w:type="dxa" w:w="100"/>
              <w:bottom w:type="dxa" w:w="80"/>
              <w:right w:type="dxa" w:w="100"/>
            </w:tcMar>
          </w:tcPr>
          <w:p>
            <w:pPr>
              <w:jc w:val="left"/>
            </w:pPr>
            <w:r>
              <w:rPr>
                <w:b w:val="false"/>
                <w:bCs w:val="false"/>
              </w:rPr>
              <w:t xml:space="preserve">Taxonomía de categorías y títulos (adaptada y versionada por país)
· ~6.400 artículos clasificados como dataset de referencia
· 403 PDFs reales como set de prueba del extractor
· Lógica de negocio: flujo categoría → título → campo comparativo → reporte</w:t>
            </w:r>
          </w:p>
        </w:tc>
        <w:tc>
          <w:tcPr>
            <w:tcW w:type="dxa" w:w="4700"/>
            <w:tcMar>
              <w:top w:type="dxa" w:w="80"/>
              <w:left w:type="dxa" w:w="100"/>
              <w:bottom w:type="dxa" w:w="80"/>
              <w:right w:type="dxa" w:w="100"/>
            </w:tcMar>
          </w:tcPr>
          <w:p>
            <w:pPr>
              <w:jc w:val="left"/>
            </w:pPr>
            <w:r>
              <w:rPr>
                <w:b w:val="false"/>
                <w:bCs w:val="false"/>
              </w:rPr>
              <w:t xml:space="preserve">Código PHP4/5 (no compatible con PHP moderno, sin framework)
· Credenciales en texto plano en el código
· Consultas sin sanitizar ($_GET directo en SQL)
· Tabla de usuarios y contraseñas
· Flujo de captura 100% manual</w:t>
            </w:r>
          </w:p>
        </w:tc>
      </w:tr>
    </w:tbl>
    <w:p>
      <w:pPr>
        <w:spacing w:after="160"/>
      </w:pPr>
      <w:r>
        <w:t xml:space="preserve">El sistema legado se trata como especificación funcional, no como base de código a portar. Se construyen scripts ETL puntuales para migrar las tablas de referencia (países, categorías, títulos, empresas, contratos, artículos) del dump MySQL hacia el nuevo modelo, como datos semilla e históricos.</w:t>
      </w:r>
    </w:p>
    <w:p>
      <w:pPr>
        <w:pStyle w:val="Heading1"/>
        <w:spacing w:after="160" w:before="360"/>
      </w:pPr>
      <w:r>
        <w:t xml:space="preserve">12. Roadmap propuesto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1F4E5F" w:val="clear"/>
            <w:tcMar>
              <w:top w:type="dxa" w:w="80"/>
              <w:left w:type="dxa" w:w="100"/>
              <w:bottom w:type="dxa" w:w="80"/>
              <w:right w:type="dxa" w:w="100"/>
            </w:tcMar>
          </w:tcPr>
          <w:p>
            <w:pPr>
              <w:jc w:val="left"/>
            </w:pPr>
            <w:r>
              <w:rPr>
                <w:b/>
                <w:bCs/>
              </w:rPr>
              <w:t xml:space="preserve">Fase</w:t>
            </w:r>
          </w:p>
        </w:tc>
        <w:tc>
          <w:tcPr>
            <w:tcW w:type="dxa" w:w="6800"/>
            <w:shd w:fill="1F4E5F" w:val="clear"/>
            <w:tcMar>
              <w:top w:type="dxa" w:w="80"/>
              <w:left w:type="dxa" w:w="100"/>
              <w:bottom w:type="dxa" w:w="80"/>
              <w:right w:type="dxa" w:w="100"/>
            </w:tcMar>
          </w:tcPr>
          <w:p>
            <w:pPr>
              <w:jc w:val="left"/>
            </w:pPr>
            <w:r>
              <w:rPr>
                <w:b/>
                <w:bCs/>
              </w:rPr>
              <w:t xml:space="preserve">Contenido</w:t>
            </w:r>
          </w:p>
        </w:tc>
      </w:tr>
      <w:tr>
        <w:tc>
          <w:tcPr>
            <w:tcW w:type="dxa" w:w="2600"/>
            <w:tcMar>
              <w:top w:type="dxa" w:w="80"/>
              <w:left w:type="dxa" w:w="100"/>
              <w:bottom w:type="dxa" w:w="80"/>
              <w:right w:type="dxa" w:w="100"/>
            </w:tcMar>
          </w:tcPr>
          <w:p>
            <w:pPr>
              <w:jc w:val="left"/>
            </w:pPr>
            <w:r>
              <w:rPr>
                <w:b w:val="false"/>
                <w:bCs w:val="false"/>
              </w:rPr>
              <w:t xml:space="preserve">Fase 0 — Validación</w:t>
            </w:r>
          </w:p>
        </w:tc>
        <w:tc>
          <w:tcPr>
            <w:tcW w:type="dxa" w:w="6800"/>
            <w:tcMar>
              <w:top w:type="dxa" w:w="80"/>
              <w:left w:type="dxa" w:w="100"/>
              <w:bottom w:type="dxa" w:w="80"/>
              <w:right w:type="dxa" w:w="100"/>
            </w:tcMar>
          </w:tcPr>
          <w:p>
            <w:pPr>
              <w:jc w:val="left"/>
            </w:pPr>
            <w:r>
              <w:rPr>
                <w:b w:val="false"/>
                <w:bCs w:val="false"/>
              </w:rPr>
              <w:t xml:space="preserve">Validación legal de la taxonomía por país con abogados locales; confirmación de derechos de uso del dataset histórico.</w:t>
            </w:r>
          </w:p>
        </w:tc>
      </w:tr>
      <w:tr>
        <w:tc>
          <w:tcPr>
            <w:tcW w:type="dxa" w:w="2600"/>
            <w:shd w:fill="EAF1F4" w:val="clear"/>
            <w:tcMar>
              <w:top w:type="dxa" w:w="80"/>
              <w:left w:type="dxa" w:w="100"/>
              <w:bottom w:type="dxa" w:w="80"/>
              <w:right w:type="dxa" w:w="100"/>
            </w:tcMar>
          </w:tcPr>
          <w:p>
            <w:pPr>
              <w:jc w:val="left"/>
            </w:pPr>
            <w:r>
              <w:rPr>
                <w:b w:val="false"/>
                <w:bCs w:val="false"/>
              </w:rPr>
              <w:t xml:space="preserve">Fase 1 — MVP Venezuela</w:t>
            </w:r>
          </w:p>
        </w:tc>
        <w:tc>
          <w:tcPr>
            <w:tcW w:type="dxa" w:w="6800"/>
            <w:shd w:fill="EAF1F4" w:val="clear"/>
            <w:tcMar>
              <w:top w:type="dxa" w:w="80"/>
              <w:left w:type="dxa" w:w="100"/>
              <w:bottom w:type="dxa" w:w="80"/>
              <w:right w:type="dxa" w:w="100"/>
            </w:tcMar>
          </w:tcPr>
          <w:p>
            <w:pPr>
              <w:jc w:val="left"/>
            </w:pPr>
            <w:r>
              <w:rPr>
                <w:b w:val="false"/>
                <w:bCs w:val="false"/>
              </w:rPr>
              <w:t xml:space="preserve">Carga de documentos (URL o archivo), clasificación asistida por IA, cola de revisión interna, reporte web básico, roles base, un solo país.</w:t>
            </w:r>
          </w:p>
        </w:tc>
      </w:tr>
      <w:tr>
        <w:tc>
          <w:tcPr>
            <w:tcW w:type="dxa" w:w="2600"/>
            <w:tcMar>
              <w:top w:type="dxa" w:w="80"/>
              <w:left w:type="dxa" w:w="100"/>
              <w:bottom w:type="dxa" w:w="80"/>
              <w:right w:type="dxa" w:w="100"/>
            </w:tcMar>
          </w:tcPr>
          <w:p>
            <w:pPr>
              <w:jc w:val="left"/>
            </w:pPr>
            <w:r>
              <w:rPr>
                <w:b w:val="false"/>
                <w:bCs w:val="false"/>
              </w:rPr>
              <w:t xml:space="preserve">Fase 2 — Expansión de países</w:t>
            </w:r>
          </w:p>
        </w:tc>
        <w:tc>
          <w:tcPr>
            <w:tcW w:type="dxa" w:w="6800"/>
            <w:tcMar>
              <w:top w:type="dxa" w:w="80"/>
              <w:left w:type="dxa" w:w="100"/>
              <w:bottom w:type="dxa" w:w="80"/>
              <w:right w:type="dxa" w:w="100"/>
            </w:tcMar>
          </w:tcPr>
          <w:p>
            <w:pPr>
              <w:jc w:val="left"/>
            </w:pPr>
            <w:r>
              <w:rPr>
                <w:b w:val="false"/>
                <w:bCs w:val="false"/>
              </w:rPr>
              <w:t xml:space="preserve">Activación de Uruguay, Argentina y Chile con taxonomía propia; licenciamiento anual con enforcement; roles configurables en instalación.</w:t>
            </w:r>
          </w:p>
        </w:tc>
      </w:tr>
      <w:tr>
        <w:tc>
          <w:tcPr>
            <w:tcW w:type="dxa" w:w="2600"/>
            <w:shd w:fill="EAF1F4" w:val="clear"/>
            <w:tcMar>
              <w:top w:type="dxa" w:w="80"/>
              <w:left w:type="dxa" w:w="100"/>
              <w:bottom w:type="dxa" w:w="80"/>
              <w:right w:type="dxa" w:w="100"/>
            </w:tcMar>
          </w:tcPr>
          <w:p>
            <w:pPr>
              <w:jc w:val="left"/>
            </w:pPr>
            <w:r>
              <w:rPr>
                <w:b w:val="false"/>
                <w:bCs w:val="false"/>
              </w:rPr>
              <w:t xml:space="preserve">Fase 3 — Escala empresarial</w:t>
            </w:r>
          </w:p>
        </w:tc>
        <w:tc>
          <w:tcPr>
            <w:tcW w:type="dxa" w:w="6800"/>
            <w:shd w:fill="EAF1F4" w:val="clear"/>
            <w:tcMar>
              <w:top w:type="dxa" w:w="80"/>
              <w:left w:type="dxa" w:w="100"/>
              <w:bottom w:type="dxa" w:w="80"/>
              <w:right w:type="dxa" w:w="100"/>
            </w:tcMar>
          </w:tcPr>
          <w:p>
            <w:pPr>
              <w:jc w:val="left"/>
            </w:pPr>
            <w:r>
              <w:rPr>
                <w:b w:val="false"/>
                <w:bCs w:val="false"/>
              </w:rPr>
              <w:t xml:space="preserve">SSO/SAML vía proveedor de identidad; aislamiento de datos para clientes grandes; ciclo de mejora del extractor con las correcciones acumuladas de revisión humana.</w:t>
            </w:r>
          </w:p>
        </w:tc>
      </w:tr>
    </w:tbl>
    <w:p>
      <w:pPr>
        <w:pStyle w:val="Heading1"/>
        <w:spacing w:after="160" w:before="360"/>
      </w:pPr>
      <w:r>
        <w:t xml:space="preserve">13. Riesgos y preguntas abiertas</w:t>
      </w:r>
    </w:p>
    <w:p>
      <w:pPr>
        <w:pStyle w:val="ListParagraph"/>
        <w:numPr>
          <w:ilvl w:val="0"/>
          <w:numId w:val="2"/>
        </w:numPr>
        <w:spacing w:after="80"/>
      </w:pPr>
      <w:r>
        <w:t xml:space="preserve">Validación legal por país pendiente: la taxonomía de Uruguay, Argentina y Chile necesita revisión de un abogado laboral local antes de activarse comercialmente.</w:t>
      </w:r>
    </w:p>
    <w:p>
      <w:pPr>
        <w:pStyle w:val="ListParagraph"/>
        <w:numPr>
          <w:ilvl w:val="0"/>
          <w:numId w:val="2"/>
        </w:numPr>
        <w:spacing w:after="80"/>
      </w:pPr>
      <w:r>
        <w:t xml:space="preserve">Derecho de uso de los 403 PDFs y ~6.400 artículos del sistema legado como dataset de prueba — confirmar si son de registro público en cada caso.</w:t>
      </w:r>
    </w:p>
    <w:p>
      <w:pPr>
        <w:pStyle w:val="ListParagraph"/>
        <w:numPr>
          <w:ilvl w:val="0"/>
          <w:numId w:val="2"/>
        </w:numPr>
        <w:spacing w:after="80"/>
      </w:pPr>
      <w:r>
        <w:t xml:space="preserve">SLA de revisión humana no definido: cuánto tiempo debe tardar el equipo interno en aprobar un documento cargado, y cómo se prioriza la cola por confianza del modelo.</w:t>
      </w:r>
    </w:p>
    <w:p>
      <w:pPr>
        <w:pStyle w:val="ListParagraph"/>
        <w:numPr>
          <w:ilvl w:val="0"/>
          <w:numId w:val="2"/>
        </w:numPr>
        <w:spacing w:after="80"/>
      </w:pPr>
      <w:r>
        <w:t xml:space="preserve">Definición fina de los tiers de licencia (números concretos de usuarios/documentos por plan) queda pendiente de una conversación comercial.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b/>
      <w:bCs/>
      <w:color w:val="1F4E5F"/>
      <w:sz w:val="52"/>
      <w:szCs w:val="52"/>
    </w:rPr>
  </w:style>
  <w:style w:type="paragraph" w:styleId="Heading1">
    <w:name w:val="Heading 1"/>
    <w:basedOn w:val="Normal"/>
    <w:next w:val="Normal"/>
    <w:qFormat/>
    <w:pPr>
      <w:spacing w:after="160" w:before="360"/>
      <w:outlineLvl w:val="0"/>
    </w:pPr>
    <w:rPr>
      <w:b/>
      <w:bCs/>
      <w:color w:val="1F4E5F"/>
      <w:sz w:val="30"/>
      <w:szCs w:val="30"/>
    </w:rPr>
  </w:style>
  <w:style w:type="paragraph" w:styleId="Heading2">
    <w:name w:val="Heading 2"/>
    <w:basedOn w:val="Normal"/>
    <w:next w:val="Normal"/>
    <w:qFormat/>
    <w:pPr>
      <w:spacing w:after="120" w:before="260"/>
      <w:outlineLvl w:val="1"/>
    </w:pPr>
    <w:rPr>
      <w:b/>
      <w:bCs/>
      <w:color w:val="2C6E7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2026-08-08T15:16:07.505Z</dcterms:created>
  <dcterms:modified xsi:type="dcterms:W3CDTF">2026-08-08T15:16:07.505Z</dcterms:modified>
</cp:coreProperties>
</file>

<file path=docProps/custom.xml><?xml version="1.0" encoding="utf-8"?>
<Properties xmlns="http://schemas.openxmlformats.org/officeDocument/2006/custom-properties" xmlns:vt="http://schemas.openxmlformats.org/officeDocument/2006/docPropsVTypes"/>
</file>