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ADİ ORTAKLIK SÖZLEŞMESİ</w:t>
      </w:r>
    </w:p>
    <w:p/>
    <w:p>
      <w:r>
        <w:t>TBK m.620 ve devamı hükümlerine tabidir. Taraf bilgileri kurgusaldır.</w:t>
      </w:r>
    </w:p>
    <w:p/>
    <w:p>
      <w:r>
        <w:t>MADDE 1 - ORTAKLAR</w:t>
      </w:r>
    </w:p>
    <w:p>
      <w:r>
        <w:t>Ortak 1: Barış TAN, T.C. No: 15151515150, Nilüfer/BURSA.</w:t>
      </w:r>
    </w:p>
    <w:p>
      <w:r>
        <w:t>Ortak 2: Cihan ER, T.C. No: 16161616160, Osmangazi/BURSA.</w:t>
      </w:r>
    </w:p>
    <w:p/>
    <w:p>
      <w:r>
        <w:t>MADDE 2 - KONU</w:t>
      </w:r>
    </w:p>
    <w:p>
      <w:r>
        <w:t>Bursa'da 'Tan &amp; Er Kahvaltı Evi' unvanıyla kafe-restoran işletilmesi amacıyla adi ortaklık kurulmuştur.</w:t>
      </w:r>
    </w:p>
    <w:p/>
    <w:p>
      <w:r>
        <w:t>MADDE 3 - SERMAYE VE PAYLAR</w:t>
      </w:r>
    </w:p>
    <w:p>
      <w:r>
        <w:t>Toplam sermaye 2.000.000 TL'dir. Barış TAN yüzde 60 (1.200.000 TL), Cihan ER yüzde 40 (800.000 TL) pay sahibidir.</w:t>
      </w:r>
    </w:p>
    <w:p/>
    <w:p>
      <w:r>
        <w:t>MADDE 4 - KÂR VE ZARAR DAĞILIMI</w:t>
      </w:r>
    </w:p>
    <w:p>
      <w:r>
        <w:t>Kâr ve zarar, sermaye payları oranında paylaşılır. Kâr dağıtımı üçer aylık dönemler halinde yapılır.</w:t>
      </w:r>
    </w:p>
    <w:p/>
    <w:p>
      <w:r>
        <w:t>MADDE 5 - YÖNETİM VE TEMSİL</w:t>
      </w:r>
    </w:p>
    <w:p>
      <w:r>
        <w:t>Ortaklık, iki ortağın birlikte imzasıyla temsil edilir. 50.000 TL'yi aşan harcamalar için yazılı mutabakat gerekir.</w:t>
      </w:r>
    </w:p>
    <w:p/>
    <w:p>
      <w:r>
        <w:t>MADDE 6 - EMEK YÜKÜMLÜLÜĞÜ</w:t>
      </w:r>
    </w:p>
    <w:p>
      <w:r>
        <w:t>Her iki ortak da işletmede fiilen çalışır; ayrıca aylık 40.000 TL huzur hakkı alır.</w:t>
      </w:r>
    </w:p>
    <w:p/>
    <w:p>
      <w:r>
        <w:t>MADDE 7 - ORTAKLIKTAN ÇIKMA</w:t>
      </w:r>
    </w:p>
    <w:p>
      <w:r>
        <w:t>Bir ortak, 6 (altı) ay önceden yazılı ihbarla ortaklıktan çıkabilir; payı, bağımsız değerleme ile belirlenen bedel üzerinden diğer ortağa devredilir.</w:t>
      </w:r>
    </w:p>
    <w:p/>
    <w:p>
      <w:r>
        <w:t>MADDE 8 - REKABET YASAĞI</w:t>
      </w:r>
    </w:p>
    <w:p>
      <w:r>
        <w:t>Ortaklar, ortaklık süresince Bursa il sınırlarında aynı konuda başka işletme açamaz.</w:t>
      </w:r>
    </w:p>
    <w:p/>
    <w:p>
      <w:r>
        <w:t>MADDE 9 - UYUŞMAZLIK</w:t>
      </w:r>
    </w:p>
    <w:p>
      <w:r>
        <w:t>Bursa Mahkemeleri yetkilidir.</w:t>
      </w:r>
    </w:p>
    <w:p/>
    <w:p>
      <w:r>
        <w:t>İşbu sözleşme 15.08.2026 tarihinde imzalanmıştır.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