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MÜNHASIR DİSTRİBÜTÖRLÜK SÖZLEŞMESİ</w:t>
      </w:r>
    </w:p>
    <w:p/>
    <w:p>
      <w:r>
        <w:t>Taraf bilgileri kurgusaldır.</w:t>
      </w:r>
    </w:p>
    <w:p/>
    <w:p>
      <w:r>
        <w:t>MADDE 1 - TARAFLAR</w:t>
      </w:r>
    </w:p>
    <w:p>
      <w:r>
        <w:t>Üretici: Anka Kozmetik San. A.Ş., Gebze/KOCAELİ.</w:t>
      </w:r>
    </w:p>
    <w:p>
      <w:r>
        <w:t>Distribütör: Ege Pazarlama ve Dağıtım Ltd. Şti., Bornova/İZMİR.</w:t>
      </w:r>
    </w:p>
    <w:p/>
    <w:p>
      <w:r>
        <w:t>MADDE 2 - KONU VE BÖLGE</w:t>
      </w:r>
    </w:p>
    <w:p>
      <w:r>
        <w:t>Üreticinin cilt bakım ürünlerinin, Ege Bölgesi illerinde münhasır dağıtım hakkının Distribütöre verilmesidir.</w:t>
      </w:r>
    </w:p>
    <w:p/>
    <w:p>
      <w:r>
        <w:t>MADDE 3 - MÜNHASIRLIK</w:t>
      </w:r>
    </w:p>
    <w:p>
      <w:r>
        <w:t>Üretici, sözleşme bölgesinde üçüncü kişilere doğrudan veya dolaylı satış yapamaz; Distribütör de bölge dışına aktif satış yapamaz.</w:t>
      </w:r>
    </w:p>
    <w:p/>
    <w:p>
      <w:r>
        <w:t>MADDE 4 - ASGARİ ALIM TAAHHÜDÜ</w:t>
      </w:r>
    </w:p>
    <w:p>
      <w:r>
        <w:t>Distribütör, her sözleşme yılında en az 5.000.000 TL tutarında ürün almayı taahhüt eder. Taahhüdün yüzde 70'in altında kalması halinde Üretici münhasırlığı kaldırabilir veya sözleşmeyi feshedebilir.</w:t>
      </w:r>
    </w:p>
    <w:p/>
    <w:p>
      <w:r>
        <w:t>MADDE 5 - FİYAT VE ÖDEME</w:t>
      </w:r>
    </w:p>
    <w:p>
      <w:r>
        <w:t>Satışlar, Üreticinin yürürlükteki distribütör fiyat listesi üzerinden yapılır; fatura vadesi 60 gündür.</w:t>
      </w:r>
    </w:p>
    <w:p/>
    <w:p>
      <w:r>
        <w:t>MADDE 6 - REKABET YASAĞI</w:t>
      </w:r>
    </w:p>
    <w:p>
      <w:r>
        <w:t>Distribütör, sözleşme süresince ve sona ermesinden itibaren 1 (bir) yıl boyunca bölgede rakip markaların dağıtımını üstlenemez.</w:t>
      </w:r>
    </w:p>
    <w:p/>
    <w:p>
      <w:r>
        <w:t>MADDE 7 - SÜRE</w:t>
      </w:r>
    </w:p>
    <w:p>
      <w:r>
        <w:t>Sözleşme 3 (üç) yıl sürelidir; bitiminden 6 ay önce feshi ihbar edilmezse birer yıl uzar.</w:t>
      </w:r>
    </w:p>
    <w:p/>
    <w:p>
      <w:r>
        <w:t>MADDE 8 - MARKA KULLANIMI</w:t>
      </w:r>
    </w:p>
    <w:p>
      <w:r>
        <w:t>Distribütör, markayı yalnızca ürünlerin tanıtımı amacıyla ve Üreticinin kurumsal kimlik kurallarına uygun kullanabilir.</w:t>
      </w:r>
    </w:p>
    <w:p/>
    <w:p>
      <w:r>
        <w:t>MADDE 9 - UYUŞMAZLIK</w:t>
      </w:r>
    </w:p>
    <w:p>
      <w:r>
        <w:t>Kocaeli Mahkemeleri yetkilidir.</w:t>
      </w:r>
    </w:p>
    <w:p/>
    <w:p>
      <w:r>
        <w:t>İşbu sözleşme 10.09.2026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