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FRANCHISE SÖZLEŞMESİ</w:t>
      </w:r>
    </w:p>
    <w:p/>
    <w:p>
      <w:r>
        <w:t>Marka ve işletme sistemi kullandırmaya ilişkindir. Taraf bilgileri kurgusaldır.</w:t>
      </w:r>
    </w:p>
    <w:p/>
    <w:p>
      <w:r>
        <w:t>MADDE 1 - TARAFLAR</w:t>
      </w:r>
    </w:p>
    <w:p>
      <w:r>
        <w:t>Franchise Veren: MokaCafe Gıda İşletmeleri A.Ş., Şişli/İSTANBUL.</w:t>
      </w:r>
    </w:p>
    <w:p>
      <w:r>
        <w:t>Franchise Alan: Yeliz Gıda Ltd. Şti., temsilen Yeliz ACAR, Beşiktaş/İSTANBUL.</w:t>
      </w:r>
    </w:p>
    <w:p/>
    <w:p>
      <w:r>
        <w:t>MADDE 2 - KONU</w:t>
      </w:r>
    </w:p>
    <w:p>
      <w:r>
        <w:t>MokaCafe markası ve işletme sisteminin, Beşiktaş sınırları içindeki tek şubede kullanım hakkının verilmesidir.</w:t>
      </w:r>
    </w:p>
    <w:p/>
    <w:p>
      <w:r>
        <w:t>MADDE 3 - GİRİŞ BEDELİ</w:t>
      </w:r>
    </w:p>
    <w:p>
      <w:r>
        <w:t>Franchise Alan, tek seferlik 1.500.000 TL + KDV giriş bedelini imzada öder; bu bedel hiçbir koşulda iade edilmez.</w:t>
      </w:r>
    </w:p>
    <w:p/>
    <w:p>
      <w:r>
        <w:t>MADDE 4 - ROYALTİ</w:t>
      </w:r>
    </w:p>
    <w:p>
      <w:r>
        <w:t>Franchise Alan, aylık net cirosunun yüzde 6'sını royalti olarak izleyen ayın 10'una kadar öder.</w:t>
      </w:r>
    </w:p>
    <w:p/>
    <w:p>
      <w:r>
        <w:t>MADDE 5 - REKLAM FONU</w:t>
      </w:r>
    </w:p>
    <w:p>
      <w:r>
        <w:t>Aylık net cironun yüzde 2'si ortak reklam fonuna ayrıca ödenir.</w:t>
      </w:r>
    </w:p>
    <w:p/>
    <w:p>
      <w:r>
        <w:t>MADDE 6 - BÖLGE KORUMASI</w:t>
      </w:r>
    </w:p>
    <w:p>
      <w:r>
        <w:t>Franchise Veren, sözleşme süresince Beşiktaş ilçesinde başka bir şube veya franchise açmayacaktır.</w:t>
      </w:r>
    </w:p>
    <w:p/>
    <w:p>
      <w:r>
        <w:t>MADDE 7 - EĞİTİM VE DENETİM</w:t>
      </w:r>
    </w:p>
    <w:p>
      <w:r>
        <w:t>Açılış öncesi 4 haftalık zorunlu eğitim Franchise Verence sağlanır. Franchise Veren, standartlara uyumu habersiz denetleyebilir.</w:t>
      </w:r>
    </w:p>
    <w:p/>
    <w:p>
      <w:r>
        <w:t>MADDE 8 - SÜRE</w:t>
      </w:r>
    </w:p>
    <w:p>
      <w:r>
        <w:t>Sözleşme 5 (beş) yıl sürelidir; tarafların mutabakatıyla aynı koşullarda 5 yıl uzatılabilir.</w:t>
      </w:r>
    </w:p>
    <w:p/>
    <w:p>
      <w:r>
        <w:t>MADDE 9 - TEDARİK</w:t>
      </w:r>
    </w:p>
    <w:p>
      <w:r>
        <w:t>Kahve çekirdeği ve ana hammaddeler yalnızca Franchise Verenin onayladığı tedarikçilerden alınır.</w:t>
      </w:r>
    </w:p>
    <w:p/>
    <w:p>
      <w:r>
        <w:t>MADDE 10 - FESİH VE SONUÇLARI</w:t>
      </w:r>
    </w:p>
    <w:p>
      <w:r>
        <w:t>Royalti ödemelerinin iki ay gecikmesi halinde Franchise Veren sözleşmeyi derhal feshedebilir. Fesihte marka kullanımına son verilir ve tabela 15 gün içinde söktürülür.</w:t>
      </w:r>
    </w:p>
    <w:p/>
    <w:p>
      <w:r>
        <w:t>MADDE 11 - UYUŞMAZLIK</w:t>
      </w:r>
    </w:p>
    <w:p>
      <w:r>
        <w:t>İstanbul Tahkim Merkezi (İSTAC) kuralları uyarınca tahkim yolu benimsenmiştir.</w:t>
      </w:r>
    </w:p>
    <w:p/>
    <w:p>
      <w:r>
        <w:t>İşbu sözleşme 01.10.2026 tarihinde imzalanmıştır.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