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HİZMET SÖZLEŞMESİ (TEMİZLİK HİZMETLERİ)</w:t>
      </w:r>
    </w:p>
    <w:p/>
    <w:p>
      <w:r>
        <w:t>Sürekli hizmet alımına ilişkin düzenlenmiştir. Taraf bilgileri kurgusaldır.</w:t>
      </w:r>
    </w:p>
    <w:p/>
    <w:p>
      <w:r>
        <w:t>MADDE 1 - TARAFLAR</w:t>
      </w:r>
    </w:p>
    <w:p>
      <w:r>
        <w:t>Hizmet Veren: Pırıl Temizlik Hizmetleri Ltd. Şti., Ümraniye/İSTANBUL.</w:t>
      </w:r>
    </w:p>
    <w:p>
      <w:r>
        <w:t>Hizmet Alan: Vadi Alışveriş Merkezi İşletmeciliği A.Ş., Sarıyer/İSTANBUL.</w:t>
      </w:r>
    </w:p>
    <w:p/>
    <w:p>
      <w:r>
        <w:t>MADDE 2 - KONU</w:t>
      </w:r>
    </w:p>
    <w:p>
      <w:r>
        <w:t>Vadi AVM ortak alanlarının günlük temizliği, atık toplama ve dezenfeksiyon hizmetlerinin yürütülmesidir.</w:t>
      </w:r>
    </w:p>
    <w:p/>
    <w:p>
      <w:r>
        <w:t>MADDE 3 - PERSONEL</w:t>
      </w:r>
    </w:p>
    <w:p>
      <w:r>
        <w:t>Hizmet Veren, sahada en az 8 (sekiz) temizlik personeli ve 1 saha şefi bulundurur. Personelin SGK ve tüm özlük yükümlülükleri Hizmet Verene aittir.</w:t>
      </w:r>
    </w:p>
    <w:p/>
    <w:p>
      <w:r>
        <w:t>MADDE 4 - ÇALIŞMA DÜZENİ</w:t>
      </w:r>
    </w:p>
    <w:p>
      <w:r>
        <w:t>Hizmet haftada 6 gün, 07:00-23:00 saatleri arasında iki vardiya halinde verilir.</w:t>
      </w:r>
    </w:p>
    <w:p/>
    <w:p>
      <w:r>
        <w:t>MADDE 5 - BEDEL</w:t>
      </w:r>
    </w:p>
    <w:p>
      <w:r>
        <w:t>Aylık hizmet bedeli 45.000 TL + KDV olup fatura tarihinden itibaren 15 gün içinde ödenir.</w:t>
      </w:r>
    </w:p>
    <w:p/>
    <w:p>
      <w:r>
        <w:t>MADDE 6 - MALZEME</w:t>
      </w:r>
    </w:p>
    <w:p>
      <w:r>
        <w:t>Temizlik ekipman ve sarf malzemeleri Hizmet Veren tarafından karşılanır.</w:t>
      </w:r>
    </w:p>
    <w:p/>
    <w:p>
      <w:r>
        <w:t>MADDE 7 - DENETİM</w:t>
      </w:r>
    </w:p>
    <w:p>
      <w:r>
        <w:t>Hizmet Alan, hizmet kalitesini her zaman denetleyebilir; yazılı bildirilen eksiklikler 48 saat içinde giderilir.</w:t>
      </w:r>
    </w:p>
    <w:p/>
    <w:p>
      <w:r>
        <w:t>MADDE 8 - FESİH</w:t>
      </w:r>
    </w:p>
    <w:p>
      <w:r>
        <w:t>Taraflar 1 (bir) ay önceden yazılı ihbarla sözleşmeyi feshedebilir. Eksikliklerin üç kez yazılı ihtara rağmen giderilmemesi halinde Hizmet Alan derhal fesih hakkına sahiptir.</w:t>
      </w:r>
    </w:p>
    <w:p/>
    <w:p>
      <w:r>
        <w:t>MADDE 9 - SÜRE</w:t>
      </w:r>
    </w:p>
    <w:p>
      <w:r>
        <w:t>Sözleşme 01.11.2026 tarihinde başlar ve 1 yıl sürelidir; itirazsız birer yıl uzar.</w:t>
      </w:r>
    </w:p>
    <w:p/>
    <w:p>
      <w:r>
        <w:t>MADDE 10 - UYUŞMAZLIK</w:t>
      </w:r>
    </w:p>
    <w:p>
      <w:r>
        <w:t>İstanbul Mahkemeleri ve İcra Daireleri yetkilidir.</w:t>
      </w:r>
    </w:p>
    <w:p/>
    <w:p>
      <w:r>
        <w:t>İşbu sözleşme 20.10.2026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