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 KARŞILIĞI İNŞAAT SÖZLEŞMESİ</w:t>
      </w:r>
    </w:p>
    <w:p/>
    <w:p>
      <w:r>
        <w:t>Arsa payı karşılığı inşaat esasına dayanır. Taraf bilgileri kurgusaldır.</w:t>
      </w:r>
    </w:p>
    <w:p/>
    <w:p>
      <w:r>
        <w:t>MADDE 1 - TARAFLAR</w:t>
      </w:r>
    </w:p>
    <w:p>
      <w:r>
        <w:t>Arsa Sahibi: Fatma GÜNEŞ, T.C. No: 14141414140, Çekmeköy/İSTANBUL.</w:t>
      </w:r>
    </w:p>
    <w:p>
      <w:r>
        <w:t>Yüklenici: Yapı Ustası İnşaat A.Ş., Ataşehir/İSTANBUL.</w:t>
      </w:r>
    </w:p>
    <w:p/>
    <w:p>
      <w:r>
        <w:t>MADDE 2 - KONU</w:t>
      </w:r>
    </w:p>
    <w:p>
      <w:r>
        <w:t>Arsa Sahibine ait Çekmeköy'deki 1.200 m² arsa üzerine, projesine uygun 24 bağımsız bölümlü konut inşaatının yapılmasıdır.</w:t>
      </w:r>
    </w:p>
    <w:p/>
    <w:p>
      <w:r>
        <w:t>MADDE 3 - PAYLAŞIM ORANI</w:t>
      </w:r>
    </w:p>
    <w:p>
      <w:r>
        <w:t>Bağımsız bölümlerin yüzde 45'i Arsa Sahibine, yüzde 55'i Yükleniciye aittir. Paylaşım listesi ekte belirlenmiştir.</w:t>
      </w:r>
    </w:p>
    <w:p/>
    <w:p>
      <w:r>
        <w:t>MADDE 4 - TESLİM SÜRESİ</w:t>
      </w:r>
    </w:p>
    <w:p>
      <w:r>
        <w:t>İnşaat, yapı ruhsatının alınmasından itibaren 30 (otuz) ay içinde iskân alınmış olarak teslim edilir.</w:t>
      </w:r>
    </w:p>
    <w:p/>
    <w:p>
      <w:r>
        <w:t>MADDE 5 - GECİKME CEZASI</w:t>
      </w:r>
    </w:p>
    <w:p>
      <w:r>
        <w:t>Teslimde gecikilen her ay için Yüklenici, Arsa Sahibine aylık 100.000 TL gecikme tazminatı öder.</w:t>
      </w:r>
    </w:p>
    <w:p/>
    <w:p>
      <w:r>
        <w:t>MADDE 6 - RUHSAT VE HARÇLAR</w:t>
      </w:r>
    </w:p>
    <w:p>
      <w:r>
        <w:t>Ruhsat, iskân ve tüm resmi harç ile giderler Yükleniciye aittir.</w:t>
      </w:r>
    </w:p>
    <w:p/>
    <w:p>
      <w:r>
        <w:t>MADDE 7 - İNŞAAT KALİTESİ</w:t>
      </w:r>
    </w:p>
    <w:p>
      <w:r>
        <w:t>İnşaat, ekli teknik şartnamede belirtilen birinci sınıf malzeme standartlarına uygun yapılır; şartnameden düşük malzeme kullanımı ayıp hükümlerine tabidir.</w:t>
      </w:r>
    </w:p>
    <w:p/>
    <w:p>
      <w:r>
        <w:t>MADDE 8 - DEVİR YASAĞI</w:t>
      </w:r>
    </w:p>
    <w:p>
      <w:r>
        <w:t>Yüklenici, kaba inşaat seviyesi tamamlanmadan kendi payına düşen bağımsız bölümleri üçüncü kişilere satamaz.</w:t>
      </w:r>
    </w:p>
    <w:p/>
    <w:p>
      <w:r>
        <w:t>MADDE 9 - SİGORTA</w:t>
      </w:r>
    </w:p>
    <w:p>
      <w:r>
        <w:t>İnşaat all-risk sigortası Yüklenici tarafından yaptırılır.</w:t>
      </w:r>
    </w:p>
    <w:p/>
    <w:p>
      <w:r>
        <w:t>MADDE 10 - UYUŞMAZLIK</w:t>
      </w:r>
    </w:p>
    <w:p>
      <w:r>
        <w:t>İstanbul Anadolu Mahkemeleri yetkilidir.</w:t>
      </w:r>
    </w:p>
    <w:p/>
    <w:p>
      <w:r>
        <w:t>İşbu sözleşme 05.09.2026 tarihinde noter huzurunda düzenlenmiştir.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