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72" w:rsidRDefault="00840072"/>
    <w:p w:rsidR="005B30B3" w:rsidRDefault="00EE6925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r>
        <w:t xml:space="preserve">El salario </w:t>
      </w:r>
      <w:proofErr w:type="gramStart"/>
      <w:r>
        <w:t>mínimo ,</w:t>
      </w:r>
      <w:proofErr w:type="gramEnd"/>
      <w: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junto con el salario medio, la renta per cápita y el IDH de un buen indicador del nivel de vida de un país.</w:t>
      </w:r>
    </w:p>
    <w:p w:rsidR="00EE6925" w:rsidRDefault="00EE6925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</w:p>
    <w:p w:rsidR="00EE6925" w:rsidRDefault="002F4968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hyperlink r:id="rId4" w:history="1">
        <w:r w:rsidR="00EE6925" w:rsidRPr="00993ECE">
          <w:rPr>
            <w:rStyle w:val="Hipervnculo"/>
            <w:rFonts w:ascii="Arial" w:hAnsi="Arial" w:cs="Arial"/>
            <w:sz w:val="21"/>
            <w:szCs w:val="21"/>
            <w:shd w:val="clear" w:color="auto" w:fill="FFF1E0"/>
          </w:rPr>
          <w:t>https://datosmacro.expansion.com/smi</w:t>
        </w:r>
      </w:hyperlink>
    </w:p>
    <w:p w:rsidR="00EE6925" w:rsidRDefault="002F4968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hyperlink r:id="rId5" w:history="1">
        <w:r w:rsidR="00EE6925" w:rsidRPr="00993ECE">
          <w:rPr>
            <w:rStyle w:val="Hipervnculo"/>
            <w:rFonts w:ascii="Arial" w:hAnsi="Arial" w:cs="Arial"/>
            <w:sz w:val="21"/>
            <w:szCs w:val="21"/>
            <w:shd w:val="clear" w:color="auto" w:fill="FFF1E0"/>
          </w:rPr>
          <w:t>https://datosmacro.expansion.com/mercado-laboral/salario-medio</w:t>
        </w:r>
      </w:hyperlink>
    </w:p>
    <w:p w:rsidR="000D0BF5" w:rsidRDefault="002F4968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hyperlink r:id="rId6" w:history="1">
        <w:r w:rsidR="000D0BF5" w:rsidRPr="00993ECE">
          <w:rPr>
            <w:rStyle w:val="Hipervnculo"/>
            <w:rFonts w:ascii="Arial" w:hAnsi="Arial" w:cs="Arial"/>
            <w:sz w:val="21"/>
            <w:szCs w:val="21"/>
            <w:shd w:val="clear" w:color="auto" w:fill="FFF1E0"/>
          </w:rPr>
          <w:t>https://datosmacro.expansion.com/pib</w:t>
        </w:r>
      </w:hyperlink>
      <w:r w:rsidR="000D0BF5">
        <w:rPr>
          <w:rFonts w:ascii="Arial" w:hAnsi="Arial" w:cs="Arial"/>
          <w:color w:val="333333"/>
          <w:sz w:val="21"/>
          <w:szCs w:val="21"/>
          <w:shd w:val="clear" w:color="auto" w:fill="FFF1E0"/>
        </w:rPr>
        <w:t xml:space="preserve"> (Pestaña PIB per </w:t>
      </w:r>
      <w:proofErr w:type="spellStart"/>
      <w:r w:rsidR="000D0BF5">
        <w:rPr>
          <w:rFonts w:ascii="Arial" w:hAnsi="Arial" w:cs="Arial"/>
          <w:color w:val="333333"/>
          <w:sz w:val="21"/>
          <w:szCs w:val="21"/>
          <w:shd w:val="clear" w:color="auto" w:fill="FFF1E0"/>
        </w:rPr>
        <w:t>capita</w:t>
      </w:r>
      <w:proofErr w:type="spellEnd"/>
      <w:r w:rsidR="000D0BF5">
        <w:rPr>
          <w:rFonts w:ascii="Arial" w:hAnsi="Arial" w:cs="Arial"/>
          <w:color w:val="333333"/>
          <w:sz w:val="21"/>
          <w:szCs w:val="21"/>
          <w:shd w:val="clear" w:color="auto" w:fill="FFF1E0"/>
        </w:rPr>
        <w:t>)</w:t>
      </w:r>
    </w:p>
    <w:p w:rsidR="000F3483" w:rsidRDefault="000F3483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</w:p>
    <w:p w:rsidR="00F823BF" w:rsidRDefault="00F823BF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</w:p>
    <w:p w:rsidR="00EE6925" w:rsidRDefault="00EE6925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</w:p>
    <w:p w:rsidR="00EE6925" w:rsidRDefault="00EE6925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</w:p>
    <w:p w:rsidR="00EE6925" w:rsidRDefault="00EE6925"/>
    <w:p w:rsidR="00EE6925" w:rsidRDefault="00EE69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30B3" w:rsidRDefault="005B30B3" w:rsidP="005B30B3">
      <w:pPr>
        <w:pStyle w:val="Ttulo1"/>
      </w:pPr>
      <w:r>
        <w:lastRenderedPageBreak/>
        <w:t xml:space="preserve">Información de Propietario del </w:t>
      </w:r>
      <w:proofErr w:type="spellStart"/>
      <w:r>
        <w:t>Site</w:t>
      </w:r>
      <w:proofErr w:type="spellEnd"/>
    </w:p>
    <w:p w:rsidR="005B30B3" w:rsidRDefault="005B30B3" w:rsidP="005B30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partir de la URL de inicio del </w:t>
      </w:r>
      <w:proofErr w:type="spellStart"/>
      <w:r>
        <w:rPr>
          <w:rFonts w:asciiTheme="majorHAnsi" w:hAnsiTheme="majorHAnsi" w:cstheme="majorHAnsi"/>
        </w:rPr>
        <w:t>site</w:t>
      </w:r>
      <w:proofErr w:type="spellEnd"/>
      <w:r>
        <w:rPr>
          <w:rFonts w:asciiTheme="majorHAnsi" w:hAnsiTheme="majorHAnsi" w:cstheme="majorHAnsi"/>
        </w:rPr>
        <w:t xml:space="preserve"> que provee la información, se determina la entidad a quien corresponde la propiedad del mismo:</w:t>
      </w:r>
    </w:p>
    <w:p w:rsidR="005B30B3" w:rsidRDefault="005B30B3">
      <w:r>
        <w:rPr>
          <w:noProof/>
        </w:rPr>
        <w:drawing>
          <wp:inline distT="0" distB="0" distL="0" distR="0">
            <wp:extent cx="5334000" cy="502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9D" w:rsidRDefault="0000419D"/>
    <w:p w:rsidR="0000419D" w:rsidRDefault="0000419D" w:rsidP="0000419D">
      <w:pPr>
        <w:pStyle w:val="Ttulo1"/>
      </w:pPr>
      <w:r>
        <w:t xml:space="preserve">Información acerca de la Tecnología utilizada para el </w:t>
      </w:r>
      <w:proofErr w:type="spellStart"/>
      <w:r>
        <w:t>Site</w:t>
      </w:r>
      <w:proofErr w:type="spellEnd"/>
    </w:p>
    <w:p w:rsidR="0000419D" w:rsidRPr="004E34BF" w:rsidRDefault="0000419D" w:rsidP="0000419D">
      <w:r>
        <w:t xml:space="preserve">En la figura se reporta la tecnología utilizada por la confección del </w:t>
      </w:r>
      <w:proofErr w:type="spellStart"/>
      <w:r>
        <w:t>site</w:t>
      </w:r>
      <w:proofErr w:type="spellEnd"/>
    </w:p>
    <w:p w:rsidR="0000419D" w:rsidRDefault="0000419D">
      <w:r>
        <w:rPr>
          <w:noProof/>
        </w:rPr>
        <w:lastRenderedPageBreak/>
        <w:drawing>
          <wp:inline distT="0" distB="0" distL="0" distR="0">
            <wp:extent cx="5353050" cy="2314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18" w:rsidRDefault="00DE6118" w:rsidP="00DE6118">
      <w:pPr>
        <w:pStyle w:val="Ttulo1"/>
      </w:pPr>
      <w:r w:rsidRPr="00E83F1B">
        <w:t>Información Legal publicada en el Sitio</w:t>
      </w:r>
    </w:p>
    <w:p w:rsidR="00DE6118" w:rsidRPr="00E83F1B" w:rsidRDefault="00DE6118" w:rsidP="00DE6118">
      <w:r>
        <w:t xml:space="preserve">En la </w:t>
      </w:r>
      <w:proofErr w:type="spellStart"/>
      <w:r>
        <w:t>url</w:t>
      </w:r>
      <w:proofErr w:type="spellEnd"/>
      <w:r>
        <w:t xml:space="preserve"> siguiente se muestra la información de condiciones de uso y otras consideraciones legales en relación al </w:t>
      </w:r>
      <w:proofErr w:type="spellStart"/>
      <w:r>
        <w:t>site</w:t>
      </w:r>
      <w:proofErr w:type="spellEnd"/>
      <w:r>
        <w:t>:</w:t>
      </w:r>
    </w:p>
    <w:p w:rsidR="00DE6118" w:rsidRDefault="00DE6118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</w:p>
    <w:p w:rsidR="00153305" w:rsidRDefault="00153305"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 xml:space="preserve">El titular de este Sitio Web 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Alldatanow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, S.L. (en adelante,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Alldatanow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”), con C.I.F.: B-87328910 y Registro Mercantil de Madrid Tomo 33.655, Sección 8ª, Folio 60, Hoja M-605792, e-mail: info@datosmacro.com</w:t>
      </w:r>
    </w:p>
    <w:p w:rsidR="0000419D" w:rsidRDefault="00153305">
      <w:r w:rsidRPr="00153305">
        <w:t>https://datosmacro.expansion.com/legal/acerca-de</w:t>
      </w:r>
    </w:p>
    <w:p w:rsidR="00153305" w:rsidRDefault="00153305" w:rsidP="00153305">
      <w:pPr>
        <w:pStyle w:val="NormalWeb"/>
        <w:shd w:val="clear" w:color="auto" w:fill="FFF1E0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Datosmacro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nace con la intención de aglutinar las principales variables económicas, tanto de España como del resto del mundo, para ofrecer una visión global de la situación económica en cada momento y en cada país.</w:t>
      </w:r>
    </w:p>
    <w:p w:rsidR="00153305" w:rsidRDefault="00153305" w:rsidP="00153305">
      <w:pPr>
        <w:pStyle w:val="NormalWeb"/>
        <w:shd w:val="clear" w:color="auto" w:fill="FFF1E0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datosmacro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encontrarás las series históricas de los principales datos de macroeconomía publicados en cada país. Empezamos publicando datos del paro (</w:t>
      </w:r>
      <w:hyperlink r:id="rId9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desempleo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y datos trimestrales de la encuesta de población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activa,</w:t>
      </w:r>
      <w:hyperlink r:id="rId10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EPA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), </w:t>
      </w:r>
      <w:hyperlink r:id="rId11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PIB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12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IPC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13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inflación armonizada (IPCA)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14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SMI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15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tipos de interés de los bancos centrales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16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tipos de referencia de las hipotecas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17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deuda pública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18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déficit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19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prima de riesgo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20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divisas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21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materias primas</w:t>
        </w:r>
      </w:hyperlink>
      <w:r>
        <w:rPr>
          <w:rFonts w:ascii="Arial" w:hAnsi="Arial" w:cs="Arial"/>
          <w:color w:val="333333"/>
          <w:sz w:val="21"/>
          <w:szCs w:val="21"/>
        </w:rPr>
        <w:t>, pero nuestra vocación es crecer, añadiendo más datos y más países.</w:t>
      </w:r>
    </w:p>
    <w:p w:rsidR="00153305" w:rsidRDefault="00153305" w:rsidP="00153305">
      <w:pPr>
        <w:pStyle w:val="NormalWeb"/>
        <w:shd w:val="clear" w:color="auto" w:fill="FFF1E0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Ofrecemos también datos de </w:t>
      </w:r>
      <w:hyperlink r:id="rId22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población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"https://datosmacro.expansion.com/idh"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305B96"/>
          <w:sz w:val="21"/>
          <w:szCs w:val="21"/>
        </w:rPr>
        <w:t>indice</w:t>
      </w:r>
      <w:proofErr w:type="spellEnd"/>
      <w:r>
        <w:rPr>
          <w:rStyle w:val="Hipervnculo"/>
          <w:rFonts w:ascii="Arial" w:hAnsi="Arial" w:cs="Arial"/>
          <w:color w:val="305B96"/>
          <w:sz w:val="21"/>
          <w:szCs w:val="21"/>
        </w:rPr>
        <w:t xml:space="preserve"> de desarrollo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3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natalidad</w:t>
        </w:r>
      </w:hyperlink>
      <w:r>
        <w:rPr>
          <w:rFonts w:ascii="Arial" w:hAnsi="Arial" w:cs="Arial"/>
          <w:color w:val="333333"/>
          <w:sz w:val="21"/>
          <w:szCs w:val="21"/>
        </w:rPr>
        <w:t> , </w:t>
      </w:r>
      <w:hyperlink r:id="rId24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homicidios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25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Esperanza de vida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más de 180 países.</w:t>
      </w:r>
    </w:p>
    <w:p w:rsidR="00153305" w:rsidRDefault="00153305" w:rsidP="00153305">
      <w:pPr>
        <w:pStyle w:val="NormalWeb"/>
        <w:shd w:val="clear" w:color="auto" w:fill="FFF1E0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Puedes ver los datos que mostramos en la página de: </w:t>
      </w:r>
      <w:hyperlink r:id="rId26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Indicadores</w:t>
        </w:r>
      </w:hyperlink>
      <w:r>
        <w:rPr>
          <w:rFonts w:ascii="Arial" w:hAnsi="Arial" w:cs="Arial"/>
          <w:color w:val="333333"/>
          <w:sz w:val="21"/>
          <w:szCs w:val="21"/>
        </w:rPr>
        <w:t> y acceder desde los siguientes links a los </w:t>
      </w:r>
      <w:hyperlink r:id="rId27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países</w:t>
        </w:r>
      </w:hyperlink>
      <w:r>
        <w:rPr>
          <w:rFonts w:ascii="Arial" w:hAnsi="Arial" w:cs="Arial"/>
          <w:color w:val="333333"/>
          <w:sz w:val="21"/>
          <w:szCs w:val="21"/>
        </w:rPr>
        <w:t> y las </w:t>
      </w:r>
      <w:hyperlink r:id="rId28" w:history="1">
        <w:r>
          <w:rPr>
            <w:rStyle w:val="Hipervnculo"/>
            <w:rFonts w:ascii="Arial" w:hAnsi="Arial" w:cs="Arial"/>
            <w:color w:val="305B96"/>
            <w:sz w:val="21"/>
            <w:szCs w:val="21"/>
          </w:rPr>
          <w:t>comunidades autónomas de España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153305" w:rsidRDefault="00153305" w:rsidP="00153305">
      <w:pPr>
        <w:pStyle w:val="NormalWeb"/>
        <w:shd w:val="clear" w:color="auto" w:fill="FFF1E0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Nuestras fuentes son los organismos oficiales de los distintos países y zonas a las que corresponden los datos. Si encuentras algún error o tienes alguna sugerencia por favor escríbenos a info@datosmacro.com</w:t>
      </w:r>
    </w:p>
    <w:p w:rsidR="00153305" w:rsidRDefault="00153305"/>
    <w:p w:rsidR="00153305" w:rsidRDefault="00153305"/>
    <w:p w:rsidR="0000419D" w:rsidRDefault="0000419D" w:rsidP="0000419D">
      <w:pPr>
        <w:pStyle w:val="Ttulo1"/>
      </w:pPr>
      <w:r>
        <w:lastRenderedPageBreak/>
        <w:t xml:space="preserve">Restricciones de </w:t>
      </w:r>
      <w:proofErr w:type="spellStart"/>
      <w:r>
        <w:t>scraping</w:t>
      </w:r>
      <w:proofErr w:type="spellEnd"/>
      <w:r>
        <w:t xml:space="preserve"> especificadas sobre robots.txt</w:t>
      </w:r>
    </w:p>
    <w:p w:rsidR="0000419D" w:rsidRDefault="0000419D" w:rsidP="000041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través del browser, se </w:t>
      </w:r>
      <w:proofErr w:type="spellStart"/>
      <w:r>
        <w:rPr>
          <w:rFonts w:asciiTheme="majorHAnsi" w:hAnsiTheme="majorHAnsi" w:cstheme="majorHAnsi"/>
        </w:rPr>
        <w:t>accesa</w:t>
      </w:r>
      <w:proofErr w:type="spellEnd"/>
      <w:r>
        <w:rPr>
          <w:rFonts w:asciiTheme="majorHAnsi" w:hAnsiTheme="majorHAnsi" w:cstheme="majorHAnsi"/>
        </w:rPr>
        <w:t xml:space="preserve"> a la dirección:</w:t>
      </w:r>
    </w:p>
    <w:p w:rsidR="0000419D" w:rsidRDefault="002F4968" w:rsidP="0000419D">
      <w:pPr>
        <w:jc w:val="center"/>
        <w:rPr>
          <w:rFonts w:asciiTheme="majorHAnsi" w:hAnsiTheme="majorHAnsi" w:cstheme="majorHAnsi"/>
        </w:rPr>
      </w:pPr>
      <w:hyperlink r:id="rId29" w:history="1">
        <w:r w:rsidR="0000419D" w:rsidRPr="00AD4E67">
          <w:t xml:space="preserve"> </w:t>
        </w:r>
        <w:r w:rsidR="0000419D" w:rsidRPr="00AD4E67">
          <w:rPr>
            <w:rStyle w:val="Hipervnculo"/>
            <w:rFonts w:asciiTheme="majorHAnsi" w:hAnsiTheme="majorHAnsi" w:cstheme="majorHAnsi"/>
          </w:rPr>
          <w:t>https://datosmacro.expansion.com</w:t>
        </w:r>
        <w:r w:rsidR="0000419D" w:rsidRPr="00377900">
          <w:rPr>
            <w:rStyle w:val="Hipervnculo"/>
            <w:rFonts w:cstheme="majorHAnsi"/>
          </w:rPr>
          <w:t>/robots.txt</w:t>
        </w:r>
      </w:hyperlink>
    </w:p>
    <w:p w:rsidR="0000419D" w:rsidRDefault="0000419D" w:rsidP="000041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obteniendo como resultado la siguiente especificación, que da fe del libre acceso a cualquier agente sobre todo el </w:t>
      </w:r>
      <w:proofErr w:type="spellStart"/>
      <w:r>
        <w:rPr>
          <w:rFonts w:asciiTheme="majorHAnsi" w:hAnsiTheme="majorHAnsi" w:cstheme="majorHAnsi"/>
        </w:rPr>
        <w:t>site</w:t>
      </w:r>
      <w:proofErr w:type="spellEnd"/>
      <w:r>
        <w:rPr>
          <w:rFonts w:asciiTheme="majorHAnsi" w:hAnsiTheme="majorHAnsi" w:cstheme="majorHAnsi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7EDE" w:rsidTr="00F17EDE">
        <w:tc>
          <w:tcPr>
            <w:tcW w:w="8828" w:type="dxa"/>
          </w:tcPr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Sitemap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: </w:t>
            </w:r>
            <w:bookmarkStart w:id="0" w:name="_GoBack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https://datosmacro.expansion.com/</w:t>
            </w:r>
            <w:bookmarkEnd w:id="0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sitemap.xml.gz</w:t>
            </w:r>
          </w:p>
          <w:p w:rsid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Sitemap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: </w:t>
            </w:r>
            <w:hyperlink r:id="rId30" w:history="1">
              <w:r w:rsidRPr="00F17EDE">
                <w:rPr>
                  <w:rStyle w:val="Hipervnculo"/>
                  <w:rFonts w:ascii="Courier New" w:eastAsia="Times New Roman" w:hAnsi="Courier New" w:cs="Courier New"/>
                  <w:sz w:val="20"/>
                  <w:szCs w:val="20"/>
                  <w:lang w:eastAsia="es-MX"/>
                </w:rPr>
                <w:t>https://datosmacro.expansion.com/sitemap1.xml.gz</w:t>
              </w:r>
            </w:hyperlink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User-agent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*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Crawl-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delay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10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/*.gif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jpeg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/*.png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/modules/*.gif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jpeg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/modules/*.png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/*.gif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jpeg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/*.png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css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$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?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/*.gif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jpeg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/*.png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Directories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includes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misc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/modules/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profiles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/scripts/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themes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# Files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/CHANGELOG.txt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cron.php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lastRenderedPageBreak/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/INSTALL.mysql.txt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/INSTALL.pgsql.txt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/INSTALL.sqlite.txt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install.php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/INSTALL.txt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/LICENSE.txt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/MAINTAINERS.txt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update.php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/UPGRADE.txt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xmlrpc.php</w:t>
            </w:r>
            <w:proofErr w:type="spellEnd"/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Paths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clean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URLs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)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/en/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admin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/en/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admin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comment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reply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filter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tips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add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search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register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password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login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logout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Paths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(no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clean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URLs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)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admin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/?q=en/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admin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comment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reply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filter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tips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node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add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search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password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register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login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Pr="00F17EDE" w:rsidRDefault="00F17EDE" w:rsidP="00F17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Disallow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 /?q=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user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logout</w:t>
            </w:r>
            <w:proofErr w:type="spellEnd"/>
            <w:r w:rsidRPr="00F17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/</w:t>
            </w:r>
          </w:p>
          <w:p w:rsidR="00F17EDE" w:rsidRDefault="00F17EDE"/>
        </w:tc>
      </w:tr>
    </w:tbl>
    <w:p w:rsidR="00DE6118" w:rsidRPr="007D22A5" w:rsidRDefault="00DE6118" w:rsidP="00DE6118">
      <w:pPr>
        <w:pStyle w:val="Ttulo1"/>
      </w:pPr>
      <w:r w:rsidRPr="007D22A5">
        <w:lastRenderedPageBreak/>
        <w:t>Inspeccionando Tamaño</w:t>
      </w:r>
    </w:p>
    <w:p w:rsidR="00DE6118" w:rsidRDefault="00DE6118" w:rsidP="00DE61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Utilizando las facilidades de búsqueda avanzada de Google (</w:t>
      </w:r>
      <w:hyperlink r:id="rId31" w:history="1">
        <w:r w:rsidRPr="00377900">
          <w:rPr>
            <w:rStyle w:val="Hipervnculo"/>
            <w:rFonts w:cstheme="majorHAnsi"/>
          </w:rPr>
          <w:t>www.google.com/advanced_search</w:t>
        </w:r>
      </w:hyperlink>
      <w:r>
        <w:rPr>
          <w:rFonts w:asciiTheme="majorHAnsi" w:hAnsiTheme="majorHAnsi" w:cstheme="majorHAnsi"/>
        </w:rPr>
        <w:t xml:space="preserve">), para el sitio </w:t>
      </w:r>
    </w:p>
    <w:p w:rsidR="00DE6118" w:rsidRDefault="00DE6118" w:rsidP="00DE6118">
      <w:pPr>
        <w:rPr>
          <w:rFonts w:asciiTheme="majorHAnsi" w:hAnsiTheme="majorHAnsi" w:cstheme="majorHAnsi"/>
        </w:rPr>
      </w:pPr>
      <w:r w:rsidRPr="00153305">
        <w:t>https://datosmacro.expansion.com</w:t>
      </w:r>
    </w:p>
    <w:p w:rsidR="00DE6118" w:rsidRDefault="00DE6118" w:rsidP="00DE61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Encontramos la cantidad (abrumadora) de </w:t>
      </w:r>
      <w:r w:rsidR="00AE3667">
        <w:rPr>
          <w:rFonts w:asciiTheme="majorHAnsi" w:hAnsiTheme="majorHAnsi" w:cstheme="majorHAnsi"/>
        </w:rPr>
        <w:t>130</w:t>
      </w:r>
      <w:r>
        <w:rPr>
          <w:rFonts w:asciiTheme="majorHAnsi" w:hAnsiTheme="majorHAnsi" w:cstheme="majorHAnsi"/>
        </w:rPr>
        <w:t>.000 de páginas, de las que tan solo estamos interesados en algunas</w:t>
      </w:r>
    </w:p>
    <w:p w:rsidR="0000419D" w:rsidRDefault="00DE6118">
      <w:r>
        <w:rPr>
          <w:noProof/>
        </w:rPr>
        <w:lastRenderedPageBreak/>
        <w:drawing>
          <wp:inline distT="0" distB="0" distL="0" distR="0" wp14:anchorId="1DB4C733" wp14:editId="06E23F9A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67" w:rsidRDefault="00AE3667"/>
    <w:p w:rsidR="00AE3667" w:rsidRDefault="00AE3667" w:rsidP="00AE3667">
      <w:pPr>
        <w:pStyle w:val="Ttulo1"/>
      </w:pPr>
      <w:r w:rsidRPr="00CF0AD7">
        <w:t>Base de Datos de Interés</w:t>
      </w:r>
    </w:p>
    <w:p w:rsidR="00AE3667" w:rsidRDefault="00AE3667" w:rsidP="00AE3667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r>
        <w:t xml:space="preserve">El salario </w:t>
      </w:r>
      <w:proofErr w:type="gramStart"/>
      <w:r>
        <w:t>mínimo ,</w:t>
      </w:r>
      <w:proofErr w:type="gramEnd"/>
      <w: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junto con el salario medio, la renta per cápita y el IDH de un buen indicador del nivel de vida de un país.</w:t>
      </w:r>
    </w:p>
    <w:p w:rsidR="00AE3667" w:rsidRDefault="00AE3667" w:rsidP="00AE3667"/>
    <w:p w:rsidR="00AE3667" w:rsidRPr="00AE3667" w:rsidRDefault="00AE3667" w:rsidP="00AE3667"/>
    <w:p w:rsidR="00AE3667" w:rsidRDefault="00AE3667" w:rsidP="00AE3667">
      <w:pPr>
        <w:contextualSpacing/>
        <w:rPr>
          <w:rFonts w:asciiTheme="majorHAnsi" w:hAnsiTheme="majorHAnsi" w:cstheme="majorHAnsi"/>
          <w:sz w:val="20"/>
          <w:szCs w:val="20"/>
        </w:rPr>
      </w:pPr>
    </w:p>
    <w:p w:rsidR="00AE3667" w:rsidRDefault="00AE3667" w:rsidP="00A25B7B">
      <w:pPr>
        <w:pStyle w:val="Ttulo2"/>
        <w:rPr>
          <w:shd w:val="clear" w:color="auto" w:fill="FFF1E0"/>
        </w:rPr>
      </w:pPr>
      <w:r w:rsidRPr="00A25B7B">
        <w:rPr>
          <w:shd w:val="clear" w:color="auto" w:fill="FFF1E0"/>
        </w:rPr>
        <w:t>Salario Mínimo Interprofesional</w:t>
      </w:r>
    </w:p>
    <w:p w:rsidR="00AE3667" w:rsidRDefault="002F4968" w:rsidP="00AE3667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hyperlink r:id="rId33" w:history="1">
        <w:r w:rsidR="00AE3667" w:rsidRPr="00993ECE">
          <w:rPr>
            <w:rStyle w:val="Hipervnculo"/>
            <w:rFonts w:ascii="Arial" w:hAnsi="Arial" w:cs="Arial"/>
            <w:sz w:val="21"/>
            <w:szCs w:val="21"/>
            <w:shd w:val="clear" w:color="auto" w:fill="FFF1E0"/>
          </w:rPr>
          <w:t>https://datosmacro.expansion.com/smi</w:t>
        </w:r>
      </w:hyperlink>
    </w:p>
    <w:p w:rsidR="00AE3667" w:rsidRDefault="00AE3667" w:rsidP="00AE3667">
      <w:pPr>
        <w:contextualSpacing/>
        <w:rPr>
          <w:rFonts w:asciiTheme="majorHAnsi" w:hAnsiTheme="majorHAnsi" w:cstheme="majorHAnsi"/>
          <w:sz w:val="20"/>
          <w:szCs w:val="20"/>
        </w:rPr>
      </w:pPr>
    </w:p>
    <w:p w:rsidR="00AE3667" w:rsidRDefault="00AE3667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1E0"/>
        </w:rPr>
        <w:t>El salario mínimo interprofesional o SMI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 fija la cuantía retributiva mínima, o el valor del salario mínimo, que debe recibir un trabajador por la jornada legal de trabajo, independientemente del tipo de contrato que tenga, en un país determinado.</w:t>
      </w:r>
    </w:p>
    <w:p w:rsidR="00AE3667" w:rsidRDefault="00AE3667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Los datos del SMI que publicamos son mensuales, suponiendo un salario de doce mensualidades cada año</w:t>
      </w:r>
    </w:p>
    <w:p w:rsidR="00AE3667" w:rsidRDefault="00AE3667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 último salario mínimo establecido en cada uno de los países y su variación respecto al inmediatamente anterior</w:t>
      </w:r>
    </w:p>
    <w:p w:rsidR="00AE3667" w:rsidRDefault="00AE3667"/>
    <w:p w:rsidR="008A10A3" w:rsidRDefault="008A10A3"/>
    <w:p w:rsidR="008A10A3" w:rsidRDefault="008A10A3"/>
    <w:p w:rsidR="008A10A3" w:rsidRDefault="001C23EE" w:rsidP="00A25B7B">
      <w:pPr>
        <w:spacing w:after="0"/>
      </w:pPr>
      <w:r>
        <w:lastRenderedPageBreak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tabletit</w:t>
      </w:r>
      <w:proofErr w:type="spellEnd"/>
      <w:proofErr w:type="gramEnd"/>
      <w:r>
        <w:t>”&gt;</w:t>
      </w:r>
    </w:p>
    <w:p w:rsidR="001C23EE" w:rsidRDefault="001C23EE" w:rsidP="00A25B7B">
      <w:pPr>
        <w:spacing w:after="0"/>
      </w:pPr>
      <w:r>
        <w:t>&lt;</w:t>
      </w:r>
      <w:proofErr w:type="spellStart"/>
      <w:r>
        <w:t>span</w:t>
      </w:r>
      <w:proofErr w:type="spellEnd"/>
      <w:r>
        <w:t>&gt;</w:t>
      </w:r>
    </w:p>
    <w:p w:rsidR="001C23EE" w:rsidRDefault="001C23EE" w:rsidP="00A25B7B">
      <w:pPr>
        <w:spacing w:after="0"/>
      </w:pPr>
      <w:r>
        <w:t xml:space="preserve">&lt;a …&gt;  </w:t>
      </w:r>
      <w:r w:rsidRPr="00AC0A57">
        <w:t xml:space="preserve"> </w:t>
      </w:r>
      <w:r>
        <w:t>&lt;&lt; ####</w:t>
      </w:r>
    </w:p>
    <w:p w:rsidR="00AE3667" w:rsidRDefault="00AE3667" w:rsidP="00A25B7B">
      <w:pPr>
        <w:spacing w:after="0"/>
      </w:pPr>
      <w:r>
        <w:t>&lt;table id</w:t>
      </w:r>
      <w:proofErr w:type="gramStart"/>
      <w:r>
        <w:t>=”</w:t>
      </w:r>
      <w:r w:rsidR="00986ADE">
        <w:t>tb</w:t>
      </w:r>
      <w:proofErr w:type="gramEnd"/>
      <w:r w:rsidR="00986ADE">
        <w:t>1</w:t>
      </w:r>
      <w:r>
        <w:t>”</w:t>
      </w:r>
      <w:r w:rsidR="00986ADE">
        <w:t xml:space="preserve"> … </w:t>
      </w:r>
      <w:r>
        <w:t>&gt;</w:t>
      </w:r>
    </w:p>
    <w:p w:rsidR="00986ADE" w:rsidRDefault="00986ADE" w:rsidP="00A25B7B">
      <w:pPr>
        <w:spacing w:after="0"/>
      </w:pPr>
      <w:r>
        <w:t>&lt;</w:t>
      </w:r>
      <w:proofErr w:type="spellStart"/>
      <w:r>
        <w:t>tbody</w:t>
      </w:r>
      <w:proofErr w:type="spellEnd"/>
      <w:r>
        <w:t>&gt;</w:t>
      </w:r>
    </w:p>
    <w:p w:rsidR="00986ADE" w:rsidRDefault="00986ADE" w:rsidP="00A25B7B">
      <w:pPr>
        <w:spacing w:after="0"/>
      </w:pPr>
      <w:r>
        <w:t>&lt;</w:t>
      </w:r>
      <w:proofErr w:type="spellStart"/>
      <w:r>
        <w:t>tr</w:t>
      </w:r>
      <w:proofErr w:type="spellEnd"/>
      <w: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"/>
        <w:gridCol w:w="4911"/>
        <w:gridCol w:w="2997"/>
      </w:tblGrid>
      <w:tr w:rsidR="00AC0A57" w:rsidRPr="00AC0A57" w:rsidTr="00AC0A57">
        <w:tc>
          <w:tcPr>
            <w:tcW w:w="846" w:type="dxa"/>
          </w:tcPr>
          <w:p w:rsidR="00AC0A57" w:rsidRPr="00AC0A57" w:rsidRDefault="00AC0A57" w:rsidP="00511FF4">
            <w:proofErr w:type="spellStart"/>
            <w:r w:rsidRPr="00AC0A57">
              <w:t>Pais</w:t>
            </w:r>
            <w:proofErr w:type="spellEnd"/>
          </w:p>
        </w:tc>
        <w:tc>
          <w:tcPr>
            <w:tcW w:w="4961" w:type="dxa"/>
          </w:tcPr>
          <w:p w:rsidR="00AC0A57" w:rsidRPr="00AC0A57" w:rsidRDefault="00AC0A57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proofErr w:type="gramStart"/>
            <w:r w:rsidRPr="00AC0A57">
              <w:t>&gt;  &lt;</w:t>
            </w:r>
            <w:proofErr w:type="gramEnd"/>
            <w:r w:rsidRPr="00AC0A57">
              <w:t xml:space="preserve">a&gt; </w:t>
            </w:r>
            <w:proofErr w:type="spellStart"/>
            <w:r w:rsidRPr="00AC0A57">
              <w:t>text</w:t>
            </w:r>
            <w:proofErr w:type="spellEnd"/>
            <w:r w:rsidRPr="00AC0A57">
              <w:t xml:space="preserve"> </w:t>
            </w:r>
          </w:p>
        </w:tc>
        <w:tc>
          <w:tcPr>
            <w:tcW w:w="3021" w:type="dxa"/>
          </w:tcPr>
          <w:p w:rsidR="00AC0A57" w:rsidRPr="00AC0A57" w:rsidRDefault="00AC0A57" w:rsidP="00511FF4">
            <w:r w:rsidRPr="00AC0A57">
              <w:t>$==0</w:t>
            </w:r>
          </w:p>
        </w:tc>
      </w:tr>
      <w:tr w:rsidR="00AC0A57" w:rsidRPr="00AC0A57" w:rsidTr="00AC0A57">
        <w:tc>
          <w:tcPr>
            <w:tcW w:w="846" w:type="dxa"/>
          </w:tcPr>
          <w:p w:rsidR="00AC0A57" w:rsidRPr="00AC0A57" w:rsidRDefault="00AC0A57" w:rsidP="00511FF4">
            <w:r w:rsidRPr="00AC0A57">
              <w:t>Año</w:t>
            </w:r>
          </w:p>
        </w:tc>
        <w:tc>
          <w:tcPr>
            <w:tcW w:w="4961" w:type="dxa"/>
          </w:tcPr>
          <w:p w:rsidR="00AC0A57" w:rsidRPr="00AC0A57" w:rsidRDefault="00AC0A57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=”fecha</w:t>
            </w:r>
            <w:proofErr w:type="gramEnd"/>
            <w:r w:rsidRPr="00AC0A57">
              <w:t xml:space="preserve">” …&gt; #### </w:t>
            </w:r>
          </w:p>
        </w:tc>
        <w:tc>
          <w:tcPr>
            <w:tcW w:w="3021" w:type="dxa"/>
          </w:tcPr>
          <w:p w:rsidR="00AC0A57" w:rsidRPr="00AC0A57" w:rsidRDefault="00AC0A57" w:rsidP="00511FF4">
            <w:proofErr w:type="spellStart"/>
            <w:proofErr w:type="gramStart"/>
            <w:r w:rsidRPr="00AC0A57">
              <w:t>td.fecha</w:t>
            </w:r>
            <w:proofErr w:type="spellEnd"/>
            <w:proofErr w:type="gramEnd"/>
          </w:p>
        </w:tc>
      </w:tr>
      <w:tr w:rsidR="0091593B" w:rsidRPr="00AC0A57" w:rsidTr="00AC0A57">
        <w:tc>
          <w:tcPr>
            <w:tcW w:w="846" w:type="dxa"/>
          </w:tcPr>
          <w:p w:rsidR="0091593B" w:rsidRPr="00AC0A57" w:rsidRDefault="0091593B" w:rsidP="00511FF4">
            <w:proofErr w:type="gramStart"/>
            <w:r w:rsidRPr="00AC0A57">
              <w:t>SMI</w:t>
            </w:r>
            <w:r w:rsidR="008A10A3">
              <w:t>(</w:t>
            </w:r>
            <w:proofErr w:type="gramEnd"/>
            <w:r w:rsidR="008A10A3">
              <w:t>lo)</w:t>
            </w:r>
          </w:p>
        </w:tc>
        <w:tc>
          <w:tcPr>
            <w:tcW w:w="4961" w:type="dxa"/>
          </w:tcPr>
          <w:p w:rsidR="0091593B" w:rsidRPr="00AC0A57" w:rsidRDefault="001C23EE" w:rsidP="00511FF4">
            <w:r>
              <w:t>&lt;</w:t>
            </w:r>
            <w:proofErr w:type="spellStart"/>
            <w:r w:rsidR="008A10A3" w:rsidRPr="00AC0A57">
              <w:t>td</w:t>
            </w:r>
            <w:proofErr w:type="spellEnd"/>
            <w:r w:rsidR="008A10A3" w:rsidRPr="00AC0A57">
              <w:t>&gt; &lt;</w:t>
            </w:r>
            <w:proofErr w:type="spellStart"/>
            <w:r w:rsidR="008A10A3" w:rsidRPr="00AC0A57">
              <w:t>class</w:t>
            </w:r>
            <w:proofErr w:type="spellEnd"/>
            <w:proofErr w:type="gramStart"/>
            <w:r w:rsidR="008A10A3" w:rsidRPr="00AC0A57">
              <w:t>=”numero</w:t>
            </w:r>
            <w:proofErr w:type="gramEnd"/>
            <w:r w:rsidR="008A10A3" w:rsidRPr="00AC0A57">
              <w:t xml:space="preserve">” </w:t>
            </w:r>
            <w:r w:rsidR="008A10A3">
              <w:t>…</w:t>
            </w:r>
            <w:r w:rsidR="008A10A3" w:rsidRPr="00AC0A57">
              <w:t xml:space="preserve"> &gt; ####.##</w:t>
            </w:r>
            <w:r w:rsidR="008A10A3">
              <w:t xml:space="preserve"> *</w:t>
            </w:r>
          </w:p>
        </w:tc>
        <w:tc>
          <w:tcPr>
            <w:tcW w:w="3021" w:type="dxa"/>
          </w:tcPr>
          <w:p w:rsidR="0091593B" w:rsidRPr="00AC0A57" w:rsidRDefault="008A10A3" w:rsidP="00511FF4">
            <w:proofErr w:type="spellStart"/>
            <w:proofErr w:type="gramStart"/>
            <w:r>
              <w:t>td.numero</w:t>
            </w:r>
            <w:proofErr w:type="spellEnd"/>
            <w:proofErr w:type="gramEnd"/>
          </w:p>
        </w:tc>
      </w:tr>
      <w:tr w:rsidR="00AC0A57" w:rsidRPr="00AC0A57" w:rsidTr="00AC0A57">
        <w:tc>
          <w:tcPr>
            <w:tcW w:w="846" w:type="dxa"/>
          </w:tcPr>
          <w:p w:rsidR="00AC0A57" w:rsidRPr="00AC0A57" w:rsidRDefault="00AC0A57" w:rsidP="00511FF4">
            <w:proofErr w:type="gramStart"/>
            <w:r w:rsidRPr="00AC0A57">
              <w:t>SMI</w:t>
            </w:r>
            <w:r w:rsidR="008A10A3">
              <w:t>(</w:t>
            </w:r>
            <w:proofErr w:type="spellStart"/>
            <w:proofErr w:type="gramEnd"/>
            <w:r w:rsidR="008A10A3">
              <w:t>eu</w:t>
            </w:r>
            <w:proofErr w:type="spellEnd"/>
            <w:r w:rsidR="008A10A3">
              <w:t>)</w:t>
            </w:r>
          </w:p>
        </w:tc>
        <w:tc>
          <w:tcPr>
            <w:tcW w:w="4961" w:type="dxa"/>
          </w:tcPr>
          <w:p w:rsidR="00AC0A57" w:rsidRPr="00AC0A57" w:rsidRDefault="00AC0A57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=”numero</w:t>
            </w:r>
            <w:proofErr w:type="gramEnd"/>
            <w:r w:rsidRPr="00AC0A57">
              <w:t xml:space="preserve"> </w:t>
            </w:r>
            <w:proofErr w:type="spellStart"/>
            <w:r w:rsidRPr="00AC0A57">
              <w:t>eur</w:t>
            </w:r>
            <w:proofErr w:type="spellEnd"/>
            <w:r w:rsidRPr="00AC0A57">
              <w:t xml:space="preserve">” </w:t>
            </w:r>
            <w:r w:rsidR="008A10A3">
              <w:t>…</w:t>
            </w:r>
            <w:r w:rsidRPr="00AC0A57">
              <w:t xml:space="preserve"> &gt; ####.##</w:t>
            </w:r>
            <w:r w:rsidR="008A10A3">
              <w:t xml:space="preserve"> E</w:t>
            </w:r>
          </w:p>
        </w:tc>
        <w:tc>
          <w:tcPr>
            <w:tcW w:w="3021" w:type="dxa"/>
          </w:tcPr>
          <w:p w:rsidR="00AC0A57" w:rsidRPr="00AC0A57" w:rsidRDefault="00AC0A57" w:rsidP="00511FF4">
            <w:r w:rsidRPr="00AC0A57">
              <w:t>td.numero.eu</w:t>
            </w:r>
          </w:p>
        </w:tc>
      </w:tr>
      <w:tr w:rsidR="00AC0A57" w:rsidRPr="00AC0A57" w:rsidTr="00AC0A57">
        <w:tc>
          <w:tcPr>
            <w:tcW w:w="846" w:type="dxa"/>
          </w:tcPr>
          <w:p w:rsidR="00AC0A57" w:rsidRPr="00AC0A57" w:rsidRDefault="00AC0A57" w:rsidP="00511FF4">
            <w:r w:rsidRPr="00AC0A57">
              <w:t>%Va</w:t>
            </w:r>
            <w:r w:rsidR="008A10A3">
              <w:t>r</w:t>
            </w:r>
          </w:p>
        </w:tc>
        <w:tc>
          <w:tcPr>
            <w:tcW w:w="4961" w:type="dxa"/>
          </w:tcPr>
          <w:p w:rsidR="00AC0A57" w:rsidRPr="00AC0A57" w:rsidRDefault="00AC0A57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=”numero</w:t>
            </w:r>
            <w:proofErr w:type="gramEnd"/>
            <w:r w:rsidRPr="00AC0A57">
              <w:t xml:space="preserve"> </w:t>
            </w:r>
            <w:proofErr w:type="spellStart"/>
            <w:r w:rsidRPr="00AC0A57">
              <w:t>text-pos</w:t>
            </w:r>
            <w:proofErr w:type="spellEnd"/>
            <w:r w:rsidRPr="00AC0A57">
              <w:t xml:space="preserve">” </w:t>
            </w:r>
            <w:r w:rsidR="008A10A3">
              <w:t>…</w:t>
            </w:r>
            <w:r w:rsidRPr="00AC0A57">
              <w:t xml:space="preserve"> &gt; ##.##</w:t>
            </w:r>
            <w:r w:rsidR="008A10A3">
              <w:t>%</w:t>
            </w:r>
          </w:p>
        </w:tc>
        <w:tc>
          <w:tcPr>
            <w:tcW w:w="3021" w:type="dxa"/>
          </w:tcPr>
          <w:p w:rsidR="00AC0A57" w:rsidRPr="00AC0A57" w:rsidRDefault="00AC0A57" w:rsidP="00511FF4">
            <w:proofErr w:type="spellStart"/>
            <w:proofErr w:type="gramStart"/>
            <w:r w:rsidRPr="00AC0A57">
              <w:t>td.numero</w:t>
            </w:r>
            <w:proofErr w:type="gramEnd"/>
            <w:r w:rsidRPr="00AC0A57">
              <w:t>-text-pos</w:t>
            </w:r>
            <w:proofErr w:type="spellEnd"/>
          </w:p>
        </w:tc>
      </w:tr>
    </w:tbl>
    <w:p w:rsidR="00986ADE" w:rsidRDefault="00986ADE"/>
    <w:p w:rsidR="00986ADE" w:rsidRDefault="00986ADE"/>
    <w:p w:rsidR="00E93D6C" w:rsidRDefault="00E93D6C" w:rsidP="00A25B7B">
      <w:pPr>
        <w:pStyle w:val="Ttulo2"/>
      </w:pPr>
      <w:r>
        <w:t>Salario Medio</w:t>
      </w:r>
    </w:p>
    <w:p w:rsidR="00986ADE" w:rsidRDefault="002F4968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hyperlink r:id="rId34" w:history="1">
        <w:r w:rsidR="00E93D6C" w:rsidRPr="00993ECE">
          <w:rPr>
            <w:rStyle w:val="Hipervnculo"/>
            <w:rFonts w:ascii="Arial" w:hAnsi="Arial" w:cs="Arial"/>
            <w:sz w:val="21"/>
            <w:szCs w:val="21"/>
            <w:shd w:val="clear" w:color="auto" w:fill="FFF1E0"/>
          </w:rPr>
          <w:t>https://datosmacro.expansion.com/mercado-laboral/salario-medio</w:t>
        </w:r>
      </w:hyperlink>
    </w:p>
    <w:p w:rsidR="00E93D6C" w:rsidRDefault="00A02DC5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El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1E0"/>
        </w:rPr>
        <w:t>salario medio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 es la cuantía retributiva media que recibe al año un trabajador de un país determinado por la jornada legal de trabajo. La ganancia media anual bruta de los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1E0"/>
        </w:rPr>
        <w:t>empleados a tiempo completo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 en las empresas con 10 o más</w:t>
      </w:r>
    </w:p>
    <w:p w:rsidR="00A02DC5" w:rsidRDefault="00A02DC5" w:rsidP="00A25B7B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tabletit</w:t>
      </w:r>
      <w:proofErr w:type="spellEnd"/>
      <w:proofErr w:type="gramEnd"/>
      <w:r>
        <w:t>”&gt;</w:t>
      </w:r>
    </w:p>
    <w:p w:rsidR="00A02DC5" w:rsidRDefault="00A02DC5" w:rsidP="00A25B7B">
      <w:pPr>
        <w:spacing w:after="0"/>
      </w:pPr>
      <w:r>
        <w:t>&lt;</w:t>
      </w:r>
      <w:proofErr w:type="spellStart"/>
      <w:r>
        <w:t>span</w:t>
      </w:r>
      <w:proofErr w:type="spellEnd"/>
      <w:r>
        <w:t>&gt;</w:t>
      </w:r>
    </w:p>
    <w:p w:rsidR="00A02DC5" w:rsidRDefault="00A02DC5" w:rsidP="00A25B7B">
      <w:pPr>
        <w:spacing w:after="0"/>
      </w:pPr>
      <w:r>
        <w:t xml:space="preserve">&lt;a …&gt;  </w:t>
      </w:r>
      <w:r w:rsidRPr="00AC0A57">
        <w:t xml:space="preserve"> </w:t>
      </w:r>
      <w:r>
        <w:t>&lt;&lt; ####</w:t>
      </w:r>
    </w:p>
    <w:p w:rsidR="00A02DC5" w:rsidRDefault="00A02DC5" w:rsidP="00A25B7B">
      <w:pPr>
        <w:spacing w:after="0"/>
      </w:pPr>
      <w:r>
        <w:t>&lt;table id</w:t>
      </w:r>
      <w:proofErr w:type="gramStart"/>
      <w:r>
        <w:t>=”tb</w:t>
      </w:r>
      <w:proofErr w:type="gramEnd"/>
      <w:r>
        <w:t>1” … &gt;</w:t>
      </w:r>
    </w:p>
    <w:p w:rsidR="00A02DC5" w:rsidRDefault="00A02DC5" w:rsidP="00A25B7B">
      <w:pPr>
        <w:spacing w:after="0"/>
      </w:pPr>
      <w:r>
        <w:t>&lt;</w:t>
      </w:r>
      <w:proofErr w:type="spellStart"/>
      <w:r>
        <w:t>tbody</w:t>
      </w:r>
      <w:proofErr w:type="spellEnd"/>
      <w:r>
        <w:t>&gt;</w:t>
      </w:r>
    </w:p>
    <w:p w:rsidR="00A02DC5" w:rsidRDefault="00A02DC5" w:rsidP="00A25B7B">
      <w:pPr>
        <w:spacing w:after="0"/>
      </w:pPr>
      <w:r>
        <w:t>&lt;</w:t>
      </w:r>
      <w:proofErr w:type="spellStart"/>
      <w:r>
        <w:t>tr</w:t>
      </w:r>
      <w:proofErr w:type="spellEnd"/>
      <w: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"/>
        <w:gridCol w:w="4911"/>
        <w:gridCol w:w="2997"/>
      </w:tblGrid>
      <w:tr w:rsidR="00A02DC5" w:rsidRPr="00AC0A57" w:rsidTr="00A02DC5">
        <w:tc>
          <w:tcPr>
            <w:tcW w:w="920" w:type="dxa"/>
          </w:tcPr>
          <w:p w:rsidR="00A02DC5" w:rsidRPr="00AC0A57" w:rsidRDefault="00A02DC5" w:rsidP="00511FF4">
            <w:proofErr w:type="spellStart"/>
            <w:r w:rsidRPr="00AC0A57">
              <w:t>Pais</w:t>
            </w:r>
            <w:proofErr w:type="spellEnd"/>
          </w:p>
        </w:tc>
        <w:tc>
          <w:tcPr>
            <w:tcW w:w="4911" w:type="dxa"/>
          </w:tcPr>
          <w:p w:rsidR="00A02DC5" w:rsidRPr="00AC0A57" w:rsidRDefault="00A02DC5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proofErr w:type="gramStart"/>
            <w:r w:rsidRPr="00AC0A57">
              <w:t>&gt;  &lt;</w:t>
            </w:r>
            <w:proofErr w:type="gramEnd"/>
            <w:r w:rsidRPr="00AC0A57">
              <w:t xml:space="preserve">a&gt; </w:t>
            </w:r>
            <w:proofErr w:type="spellStart"/>
            <w:r w:rsidRPr="00AC0A57">
              <w:t>text</w:t>
            </w:r>
            <w:proofErr w:type="spellEnd"/>
            <w:r w:rsidRPr="00AC0A57">
              <w:t xml:space="preserve"> </w:t>
            </w:r>
          </w:p>
        </w:tc>
        <w:tc>
          <w:tcPr>
            <w:tcW w:w="2997" w:type="dxa"/>
          </w:tcPr>
          <w:p w:rsidR="00A02DC5" w:rsidRPr="00AC0A57" w:rsidRDefault="00A02DC5" w:rsidP="00511FF4">
            <w:r w:rsidRPr="00AC0A57">
              <w:t>$==0</w:t>
            </w:r>
          </w:p>
        </w:tc>
      </w:tr>
      <w:tr w:rsidR="00A02DC5" w:rsidRPr="00AC0A57" w:rsidTr="00A02DC5">
        <w:tc>
          <w:tcPr>
            <w:tcW w:w="920" w:type="dxa"/>
          </w:tcPr>
          <w:p w:rsidR="00A02DC5" w:rsidRPr="00AC0A57" w:rsidRDefault="00A02DC5" w:rsidP="00511FF4">
            <w:proofErr w:type="gramStart"/>
            <w:r w:rsidRPr="00AC0A57">
              <w:t>SM</w:t>
            </w:r>
            <w:r>
              <w:t>(</w:t>
            </w:r>
            <w:proofErr w:type="spellStart"/>
            <w:proofErr w:type="gramEnd"/>
            <w:r>
              <w:t>eu</w:t>
            </w:r>
            <w:proofErr w:type="spellEnd"/>
            <w:r>
              <w:t>)</w:t>
            </w:r>
          </w:p>
        </w:tc>
        <w:tc>
          <w:tcPr>
            <w:tcW w:w="4911" w:type="dxa"/>
          </w:tcPr>
          <w:p w:rsidR="00A02DC5" w:rsidRPr="00AC0A57" w:rsidRDefault="00A02DC5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=”numero</w:t>
            </w:r>
            <w:proofErr w:type="gramEnd"/>
            <w:r w:rsidRPr="00AC0A57">
              <w:t xml:space="preserve"> </w:t>
            </w:r>
            <w:proofErr w:type="spellStart"/>
            <w:r w:rsidRPr="00AC0A57">
              <w:t>eur</w:t>
            </w:r>
            <w:proofErr w:type="spellEnd"/>
            <w:r w:rsidRPr="00AC0A57">
              <w:t xml:space="preserve">” </w:t>
            </w:r>
            <w:r>
              <w:t>…</w:t>
            </w:r>
            <w:r w:rsidRPr="00AC0A57">
              <w:t xml:space="preserve"> &gt; ####.##</w:t>
            </w:r>
            <w:r>
              <w:t>E</w:t>
            </w:r>
          </w:p>
        </w:tc>
        <w:tc>
          <w:tcPr>
            <w:tcW w:w="2997" w:type="dxa"/>
          </w:tcPr>
          <w:p w:rsidR="00A02DC5" w:rsidRPr="00AC0A57" w:rsidRDefault="00A02DC5" w:rsidP="00511FF4">
            <w:r w:rsidRPr="00AC0A57">
              <w:t>td.numero.eu</w:t>
            </w:r>
          </w:p>
        </w:tc>
      </w:tr>
      <w:tr w:rsidR="00A02DC5" w:rsidRPr="00AC0A57" w:rsidTr="00A02DC5">
        <w:tc>
          <w:tcPr>
            <w:tcW w:w="920" w:type="dxa"/>
          </w:tcPr>
          <w:p w:rsidR="00A02DC5" w:rsidRPr="00AC0A57" w:rsidRDefault="00A02DC5" w:rsidP="00511FF4">
            <w:r w:rsidRPr="00AC0A57">
              <w:t>%Va</w:t>
            </w:r>
            <w:r>
              <w:t>r</w:t>
            </w:r>
          </w:p>
        </w:tc>
        <w:tc>
          <w:tcPr>
            <w:tcW w:w="4911" w:type="dxa"/>
          </w:tcPr>
          <w:p w:rsidR="00A02DC5" w:rsidRPr="00AC0A57" w:rsidRDefault="00A02DC5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=”numero</w:t>
            </w:r>
            <w:proofErr w:type="gramEnd"/>
            <w:r w:rsidRPr="00AC0A57">
              <w:t xml:space="preserve"> </w:t>
            </w:r>
            <w:proofErr w:type="spellStart"/>
            <w:r w:rsidRPr="00AC0A57">
              <w:t>text-pos</w:t>
            </w:r>
            <w:proofErr w:type="spellEnd"/>
            <w:r w:rsidRPr="00AC0A57">
              <w:t xml:space="preserve">” </w:t>
            </w:r>
            <w:r>
              <w:t>…</w:t>
            </w:r>
            <w:r w:rsidRPr="00AC0A57">
              <w:t xml:space="preserve"> &gt; ##.##</w:t>
            </w:r>
            <w:r>
              <w:t>%</w:t>
            </w:r>
          </w:p>
        </w:tc>
        <w:tc>
          <w:tcPr>
            <w:tcW w:w="2997" w:type="dxa"/>
          </w:tcPr>
          <w:p w:rsidR="00A02DC5" w:rsidRPr="00AC0A57" w:rsidRDefault="00A02DC5" w:rsidP="00511FF4">
            <w:proofErr w:type="spellStart"/>
            <w:proofErr w:type="gramStart"/>
            <w:r w:rsidRPr="00AC0A57">
              <w:t>td.numero</w:t>
            </w:r>
            <w:proofErr w:type="gramEnd"/>
            <w:r w:rsidRPr="00AC0A57">
              <w:t>-text-pos</w:t>
            </w:r>
            <w:proofErr w:type="spellEnd"/>
          </w:p>
        </w:tc>
      </w:tr>
    </w:tbl>
    <w:p w:rsidR="00A02DC5" w:rsidRDefault="00A02DC5"/>
    <w:p w:rsidR="00B8309B" w:rsidRDefault="00B8309B" w:rsidP="00A25B7B">
      <w:pPr>
        <w:pStyle w:val="Ttulo2"/>
      </w:pPr>
      <w:r>
        <w:t>Producto Interno Bruto</w:t>
      </w:r>
    </w:p>
    <w:p w:rsidR="00B8309B" w:rsidRDefault="00B8309B" w:rsidP="00A25B7B">
      <w:pPr>
        <w:pStyle w:val="Ttulo2"/>
      </w:pPr>
      <w:r>
        <w:t>Per Cápita</w:t>
      </w:r>
    </w:p>
    <w:p w:rsidR="00B8309B" w:rsidRDefault="002F4968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hyperlink r:id="rId35" w:history="1">
        <w:r w:rsidR="00B8309B" w:rsidRPr="00993ECE">
          <w:rPr>
            <w:rStyle w:val="Hipervnculo"/>
            <w:rFonts w:ascii="Arial" w:hAnsi="Arial" w:cs="Arial"/>
            <w:sz w:val="21"/>
            <w:szCs w:val="21"/>
            <w:shd w:val="clear" w:color="auto" w:fill="FFF1E0"/>
          </w:rPr>
          <w:t>https://datosmacro.expansion.com/pib</w:t>
        </w:r>
      </w:hyperlink>
    </w:p>
    <w:p w:rsidR="00B8309B" w:rsidRDefault="00EA5E10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El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1E0"/>
        </w:rPr>
        <w:t>Producto Interior Bruto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1E0"/>
        </w:rPr>
        <w:t>(PIB)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 mide el valor monetario de la producción de bienes y servicios finales de un país durante un año. El PIB también se define como el conjunto de todos los bienes y servicios finales producidos en un país durante un año. El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1E0"/>
        </w:rPr>
        <w:t>PIB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 se utiliza habitualmente como medida del grado de bienestar de la población de un país.</w:t>
      </w:r>
    </w:p>
    <w:p w:rsidR="00EA5E10" w:rsidRDefault="00EA5E10">
      <w:pPr>
        <w:rPr>
          <w:rFonts w:ascii="Arial" w:hAnsi="Arial" w:cs="Arial"/>
          <w:color w:val="333333"/>
          <w:sz w:val="21"/>
          <w:szCs w:val="21"/>
          <w:shd w:val="clear" w:color="auto" w:fill="FFF1E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El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1E0"/>
        </w:rPr>
        <w:t>PIB per cápita</w:t>
      </w:r>
      <w:r>
        <w:rPr>
          <w:rFonts w:ascii="Arial" w:hAnsi="Arial" w:cs="Arial"/>
          <w:color w:val="333333"/>
          <w:sz w:val="21"/>
          <w:szCs w:val="21"/>
          <w:shd w:val="clear" w:color="auto" w:fill="FFF1E0"/>
        </w:rPr>
        <w:t> (o PIB por habitante), se obtiene dividiendo el PIB entre el número de habitantes.</w:t>
      </w:r>
    </w:p>
    <w:p w:rsidR="00EA5E10" w:rsidRDefault="00EA5E10">
      <w:r>
        <w:t xml:space="preserve">En este caso en particular, debe navegarse por las referencias a cada país ubicadas en la tabla inicial, para luego </w:t>
      </w:r>
      <w:proofErr w:type="spellStart"/>
      <w:r>
        <w:t>accesar</w:t>
      </w:r>
      <w:proofErr w:type="spellEnd"/>
      <w:r>
        <w:t xml:space="preserve"> el detalle de la información tanto del PIB del país como para el PIB per cápita, para el año de interés.</w:t>
      </w:r>
    </w:p>
    <w:p w:rsidR="008843B3" w:rsidRDefault="008843B3" w:rsidP="00A25B7B">
      <w:pPr>
        <w:spacing w:after="0"/>
      </w:pPr>
      <w:r>
        <w:lastRenderedPageBreak/>
        <w:t>&lt;table id</w:t>
      </w:r>
      <w:proofErr w:type="gramStart"/>
      <w:r>
        <w:t>=”</w:t>
      </w:r>
      <w:proofErr w:type="spellStart"/>
      <w:r>
        <w:t>tb</w:t>
      </w:r>
      <w:r w:rsidR="00CD64F5">
        <w:t>A</w:t>
      </w:r>
      <w:proofErr w:type="spellEnd"/>
      <w:proofErr w:type="gramEnd"/>
      <w:r>
        <w:t>” … &gt;</w:t>
      </w:r>
    </w:p>
    <w:p w:rsidR="008843B3" w:rsidRDefault="008843B3" w:rsidP="00A25B7B">
      <w:pPr>
        <w:spacing w:after="0"/>
      </w:pPr>
      <w:r>
        <w:t>&lt;</w:t>
      </w:r>
      <w:proofErr w:type="spellStart"/>
      <w:r>
        <w:t>tbody</w:t>
      </w:r>
      <w:proofErr w:type="spellEnd"/>
      <w:r>
        <w:t>&gt;</w:t>
      </w:r>
    </w:p>
    <w:p w:rsidR="008843B3" w:rsidRDefault="008843B3" w:rsidP="00A25B7B">
      <w:pPr>
        <w:spacing w:after="0"/>
      </w:pPr>
      <w:r>
        <w:t>&lt;</w:t>
      </w:r>
      <w:proofErr w:type="spellStart"/>
      <w:r>
        <w:t>tr</w:t>
      </w:r>
      <w:proofErr w:type="spellEnd"/>
      <w: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"/>
        <w:gridCol w:w="4911"/>
        <w:gridCol w:w="2997"/>
      </w:tblGrid>
      <w:tr w:rsidR="008843B3" w:rsidRPr="00AC0A57" w:rsidTr="00511FF4">
        <w:tc>
          <w:tcPr>
            <w:tcW w:w="920" w:type="dxa"/>
          </w:tcPr>
          <w:p w:rsidR="008843B3" w:rsidRPr="00AC0A57" w:rsidRDefault="008843B3" w:rsidP="00511FF4">
            <w:proofErr w:type="spellStart"/>
            <w:r w:rsidRPr="00AC0A57">
              <w:t>Pais</w:t>
            </w:r>
            <w:proofErr w:type="spellEnd"/>
          </w:p>
        </w:tc>
        <w:tc>
          <w:tcPr>
            <w:tcW w:w="4911" w:type="dxa"/>
          </w:tcPr>
          <w:p w:rsidR="008843B3" w:rsidRPr="00AC0A57" w:rsidRDefault="008843B3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proofErr w:type="gramStart"/>
            <w:r w:rsidRPr="00AC0A57">
              <w:t>&gt;  &lt;</w:t>
            </w:r>
            <w:proofErr w:type="gramEnd"/>
            <w:r w:rsidRPr="00AC0A57">
              <w:t>a</w:t>
            </w:r>
            <w:r w:rsidR="00CD64F5">
              <w:t xml:space="preserve"> </w:t>
            </w:r>
            <w:proofErr w:type="spellStart"/>
            <w:r w:rsidR="00CD64F5">
              <w:t>href</w:t>
            </w:r>
            <w:proofErr w:type="spellEnd"/>
            <w:r w:rsidR="00CD64F5">
              <w:t xml:space="preserve">=””  </w:t>
            </w:r>
            <w:r w:rsidRPr="00AC0A57">
              <w:t xml:space="preserve">&gt; </w:t>
            </w:r>
            <w:proofErr w:type="spellStart"/>
            <w:r w:rsidRPr="00AC0A57">
              <w:t>text</w:t>
            </w:r>
            <w:proofErr w:type="spellEnd"/>
            <w:r w:rsidRPr="00AC0A57">
              <w:t xml:space="preserve"> </w:t>
            </w:r>
          </w:p>
        </w:tc>
        <w:tc>
          <w:tcPr>
            <w:tcW w:w="2997" w:type="dxa"/>
          </w:tcPr>
          <w:p w:rsidR="008843B3" w:rsidRPr="00AC0A57" w:rsidRDefault="008843B3" w:rsidP="00511FF4">
            <w:r w:rsidRPr="00AC0A57">
              <w:t>$==0</w:t>
            </w:r>
          </w:p>
        </w:tc>
      </w:tr>
    </w:tbl>
    <w:p w:rsidR="00226705" w:rsidRDefault="00226705"/>
    <w:p w:rsidR="00A02816" w:rsidRDefault="00511FF4">
      <w:r>
        <w:t>Considerando que no hay recursión en los links que deben seguirse</w:t>
      </w:r>
    </w:p>
    <w:p w:rsidR="00D30C16" w:rsidRDefault="00D30C16" w:rsidP="00CA1AD9">
      <w:pPr>
        <w:spacing w:after="0"/>
      </w:pPr>
      <w:proofErr w:type="spellStart"/>
      <w:r>
        <w:t>Div</w:t>
      </w:r>
      <w:proofErr w:type="spellEnd"/>
      <w:r>
        <w:t xml:space="preserve"> id=</w:t>
      </w:r>
      <w:proofErr w:type="spellStart"/>
      <w:r>
        <w:t>blck-system-main</w:t>
      </w:r>
      <w:proofErr w:type="spellEnd"/>
    </w:p>
    <w:p w:rsidR="00D64E99" w:rsidRDefault="00A02816" w:rsidP="00CA1AD9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 w:rsidR="00814268">
        <w:t>row</w:t>
      </w:r>
      <w:proofErr w:type="spellEnd"/>
      <w:proofErr w:type="gramEnd"/>
      <w:r>
        <w:t>”&gt; ::</w:t>
      </w:r>
      <w:proofErr w:type="spellStart"/>
      <w:r>
        <w:t>before</w:t>
      </w:r>
      <w:proofErr w:type="spellEnd"/>
    </w:p>
    <w:p w:rsidR="00D30C16" w:rsidRDefault="00D30C16" w:rsidP="00CA1AD9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=”col</w:t>
      </w:r>
      <w:proofErr w:type="gramEnd"/>
      <w:r>
        <w:t xml:space="preserve">-sm-6”…&gt;  </w:t>
      </w:r>
    </w:p>
    <w:p w:rsidR="00D64E99" w:rsidRDefault="00D64E99" w:rsidP="00CA1AD9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=”table</w:t>
      </w:r>
      <w:proofErr w:type="gramEnd"/>
      <w:r>
        <w:t>-</w:t>
      </w:r>
      <w:proofErr w:type="spellStart"/>
      <w:r>
        <w:t>responsive</w:t>
      </w:r>
      <w:proofErr w:type="spellEnd"/>
      <w:r>
        <w:t>”…&gt;</w:t>
      </w:r>
      <w:r w:rsidR="00A02816">
        <w:t xml:space="preserve">  PIB </w:t>
      </w:r>
      <w:proofErr w:type="spellStart"/>
      <w:r w:rsidR="00A02816">
        <w:t>Pais</w:t>
      </w:r>
      <w:proofErr w:type="spellEnd"/>
    </w:p>
    <w:p w:rsidR="00D64E99" w:rsidRDefault="00D64E99" w:rsidP="00CA1AD9">
      <w:pPr>
        <w:spacing w:after="0"/>
      </w:pPr>
      <w:r>
        <w:t>&lt;table&gt;</w:t>
      </w:r>
    </w:p>
    <w:p w:rsidR="00D64E99" w:rsidRDefault="00D64E99" w:rsidP="00CA1AD9">
      <w:pPr>
        <w:spacing w:after="0"/>
      </w:pPr>
      <w:r>
        <w:t>&lt;</w:t>
      </w:r>
      <w:proofErr w:type="spellStart"/>
      <w:r>
        <w:t>tbody</w:t>
      </w:r>
      <w:proofErr w:type="spellEnd"/>
      <w:r>
        <w:t>&gt;</w:t>
      </w:r>
    </w:p>
    <w:p w:rsidR="00D64E99" w:rsidRDefault="00D64E99" w:rsidP="00CA1AD9">
      <w:pPr>
        <w:spacing w:after="0"/>
      </w:pPr>
      <w:r>
        <w:t>&lt;</w:t>
      </w:r>
      <w:proofErr w:type="spellStart"/>
      <w:r>
        <w:t>tr</w:t>
      </w:r>
      <w:proofErr w:type="spellEnd"/>
      <w:r>
        <w:t>&gt;</w:t>
      </w:r>
    </w:p>
    <w:p w:rsidR="00D64E99" w:rsidRDefault="00D64E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"/>
        <w:gridCol w:w="4911"/>
        <w:gridCol w:w="2997"/>
      </w:tblGrid>
      <w:tr w:rsidR="00D64E99" w:rsidRPr="00AC0A57" w:rsidTr="00D64E99">
        <w:tc>
          <w:tcPr>
            <w:tcW w:w="920" w:type="dxa"/>
          </w:tcPr>
          <w:p w:rsidR="00D64E99" w:rsidRPr="00AC0A57" w:rsidRDefault="00D64E99" w:rsidP="00511FF4">
            <w:r w:rsidRPr="00AC0A57">
              <w:t>Año</w:t>
            </w:r>
          </w:p>
        </w:tc>
        <w:tc>
          <w:tcPr>
            <w:tcW w:w="4911" w:type="dxa"/>
          </w:tcPr>
          <w:p w:rsidR="00D64E99" w:rsidRPr="00AC0A57" w:rsidRDefault="00D64E99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=”fecha</w:t>
            </w:r>
            <w:proofErr w:type="gramEnd"/>
            <w:r w:rsidRPr="00AC0A57">
              <w:t xml:space="preserve">” …&gt; #### </w:t>
            </w:r>
          </w:p>
        </w:tc>
        <w:tc>
          <w:tcPr>
            <w:tcW w:w="2997" w:type="dxa"/>
          </w:tcPr>
          <w:p w:rsidR="00D64E99" w:rsidRPr="00AC0A57" w:rsidRDefault="00D64E99" w:rsidP="00511FF4">
            <w:proofErr w:type="spellStart"/>
            <w:proofErr w:type="gramStart"/>
            <w:r w:rsidRPr="00AC0A57">
              <w:t>td.fecha</w:t>
            </w:r>
            <w:proofErr w:type="spellEnd"/>
            <w:proofErr w:type="gramEnd"/>
          </w:p>
        </w:tc>
      </w:tr>
      <w:tr w:rsidR="00D64E99" w:rsidRPr="00AC0A57" w:rsidTr="00D64E99">
        <w:tc>
          <w:tcPr>
            <w:tcW w:w="920" w:type="dxa"/>
          </w:tcPr>
          <w:p w:rsidR="00D64E99" w:rsidRPr="00AC0A57" w:rsidRDefault="00D64E99" w:rsidP="00511FF4">
            <w:r>
              <w:t>PIB anual</w:t>
            </w:r>
          </w:p>
        </w:tc>
        <w:tc>
          <w:tcPr>
            <w:tcW w:w="4911" w:type="dxa"/>
          </w:tcPr>
          <w:p w:rsidR="00D64E99" w:rsidRPr="00AC0A57" w:rsidRDefault="00D64E99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=”numero</w:t>
            </w:r>
            <w:proofErr w:type="gramEnd"/>
            <w:r w:rsidRPr="00AC0A57">
              <w:t xml:space="preserve"> </w:t>
            </w:r>
            <w:proofErr w:type="spellStart"/>
            <w:r w:rsidRPr="00AC0A57">
              <w:t>eur</w:t>
            </w:r>
            <w:proofErr w:type="spellEnd"/>
            <w:r w:rsidRPr="00AC0A57">
              <w:t xml:space="preserve">” </w:t>
            </w:r>
            <w:r>
              <w:t>…</w:t>
            </w:r>
            <w:r w:rsidRPr="00AC0A57">
              <w:t xml:space="preserve"> &gt; ####.##</w:t>
            </w:r>
            <w:r>
              <w:t xml:space="preserve"> M.E</w:t>
            </w:r>
          </w:p>
        </w:tc>
        <w:tc>
          <w:tcPr>
            <w:tcW w:w="2997" w:type="dxa"/>
          </w:tcPr>
          <w:p w:rsidR="00D64E99" w:rsidRPr="00AC0A57" w:rsidRDefault="00D64E99" w:rsidP="00511FF4">
            <w:r w:rsidRPr="00AC0A57">
              <w:t>td.numero.eu</w:t>
            </w:r>
          </w:p>
        </w:tc>
      </w:tr>
      <w:tr w:rsidR="00D64E99" w:rsidRPr="00AC0A57" w:rsidTr="00D64E99">
        <w:tc>
          <w:tcPr>
            <w:tcW w:w="920" w:type="dxa"/>
          </w:tcPr>
          <w:p w:rsidR="00D64E99" w:rsidRPr="00AC0A57" w:rsidRDefault="00D64E99" w:rsidP="00511FF4">
            <w:r w:rsidRPr="00AC0A57">
              <w:t>Va</w:t>
            </w:r>
            <w:r>
              <w:t>r PIB %</w:t>
            </w:r>
          </w:p>
        </w:tc>
        <w:tc>
          <w:tcPr>
            <w:tcW w:w="4911" w:type="dxa"/>
          </w:tcPr>
          <w:p w:rsidR="00D64E99" w:rsidRPr="00AC0A57" w:rsidRDefault="00D64E99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=”numero</w:t>
            </w:r>
            <w:proofErr w:type="gramEnd"/>
            <w:r w:rsidRPr="00AC0A57">
              <w:t xml:space="preserve">” </w:t>
            </w:r>
            <w:r>
              <w:t>…</w:t>
            </w:r>
            <w:r w:rsidRPr="00AC0A57">
              <w:t xml:space="preserve"> &gt; ##.##</w:t>
            </w:r>
            <w:r>
              <w:t>%</w:t>
            </w:r>
          </w:p>
        </w:tc>
        <w:tc>
          <w:tcPr>
            <w:tcW w:w="2997" w:type="dxa"/>
          </w:tcPr>
          <w:p w:rsidR="00D64E99" w:rsidRPr="00AC0A57" w:rsidRDefault="00D64E99" w:rsidP="00511FF4">
            <w:proofErr w:type="spellStart"/>
            <w:proofErr w:type="gramStart"/>
            <w:r w:rsidRPr="00AC0A57">
              <w:t>td.numero</w:t>
            </w:r>
            <w:proofErr w:type="spellEnd"/>
            <w:proofErr w:type="gramEnd"/>
          </w:p>
        </w:tc>
      </w:tr>
    </w:tbl>
    <w:p w:rsidR="00D64E99" w:rsidRDefault="00D64E99"/>
    <w:p w:rsidR="00A02816" w:rsidRDefault="00A02816" w:rsidP="00CA1AD9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=”col</w:t>
      </w:r>
      <w:proofErr w:type="gramEnd"/>
      <w:r>
        <w:t xml:space="preserve">-sm-6”&gt; </w:t>
      </w:r>
    </w:p>
    <w:p w:rsidR="00A02816" w:rsidRDefault="00A02816" w:rsidP="00CA1AD9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=”table</w:t>
      </w:r>
      <w:proofErr w:type="gramEnd"/>
      <w:r>
        <w:t>-</w:t>
      </w:r>
      <w:proofErr w:type="spellStart"/>
      <w:r>
        <w:t>responsive</w:t>
      </w:r>
      <w:proofErr w:type="spellEnd"/>
      <w:r>
        <w:t xml:space="preserve">”…&gt;  PIB per Cápita </w:t>
      </w:r>
      <w:proofErr w:type="spellStart"/>
      <w:r>
        <w:t>Pais</w:t>
      </w:r>
      <w:proofErr w:type="spellEnd"/>
    </w:p>
    <w:p w:rsidR="00A02816" w:rsidRDefault="00A02816" w:rsidP="00CA1AD9">
      <w:pPr>
        <w:spacing w:after="0"/>
      </w:pPr>
      <w:r>
        <w:t>&lt;table&gt;</w:t>
      </w:r>
    </w:p>
    <w:p w:rsidR="00A02816" w:rsidRDefault="00A02816" w:rsidP="00CA1AD9">
      <w:pPr>
        <w:spacing w:after="0"/>
      </w:pPr>
      <w:r>
        <w:t>&lt;</w:t>
      </w:r>
      <w:proofErr w:type="spellStart"/>
      <w:r>
        <w:t>tbody</w:t>
      </w:r>
      <w:proofErr w:type="spellEnd"/>
      <w:r>
        <w:t>&gt;</w:t>
      </w:r>
    </w:p>
    <w:p w:rsidR="00A02816" w:rsidRDefault="00A02816" w:rsidP="00CA1AD9">
      <w:pPr>
        <w:spacing w:after="0"/>
      </w:pPr>
      <w:r>
        <w:t>&lt;</w:t>
      </w:r>
      <w:proofErr w:type="spellStart"/>
      <w:r>
        <w:t>tr</w:t>
      </w:r>
      <w:proofErr w:type="spellEnd"/>
      <w:r>
        <w:t>&gt;</w:t>
      </w:r>
    </w:p>
    <w:p w:rsidR="00A02816" w:rsidRDefault="00A02816" w:rsidP="00A028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"/>
        <w:gridCol w:w="4911"/>
        <w:gridCol w:w="2997"/>
      </w:tblGrid>
      <w:tr w:rsidR="00A02816" w:rsidRPr="00AC0A57" w:rsidTr="00511FF4">
        <w:tc>
          <w:tcPr>
            <w:tcW w:w="920" w:type="dxa"/>
          </w:tcPr>
          <w:p w:rsidR="00A02816" w:rsidRPr="00AC0A57" w:rsidRDefault="00A02816" w:rsidP="00511FF4">
            <w:r w:rsidRPr="00AC0A57">
              <w:t>Año</w:t>
            </w:r>
          </w:p>
        </w:tc>
        <w:tc>
          <w:tcPr>
            <w:tcW w:w="4911" w:type="dxa"/>
          </w:tcPr>
          <w:p w:rsidR="00A02816" w:rsidRPr="00AC0A57" w:rsidRDefault="00A02816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=”fecha</w:t>
            </w:r>
            <w:proofErr w:type="gramEnd"/>
            <w:r w:rsidRPr="00AC0A57">
              <w:t xml:space="preserve">” …&gt; #### </w:t>
            </w:r>
          </w:p>
        </w:tc>
        <w:tc>
          <w:tcPr>
            <w:tcW w:w="2997" w:type="dxa"/>
          </w:tcPr>
          <w:p w:rsidR="00A02816" w:rsidRPr="00AC0A57" w:rsidRDefault="00A02816" w:rsidP="00511FF4">
            <w:proofErr w:type="spellStart"/>
            <w:proofErr w:type="gramStart"/>
            <w:r w:rsidRPr="00AC0A57">
              <w:t>td.fecha</w:t>
            </w:r>
            <w:proofErr w:type="spellEnd"/>
            <w:proofErr w:type="gramEnd"/>
          </w:p>
        </w:tc>
      </w:tr>
      <w:tr w:rsidR="00A02816" w:rsidRPr="00AC0A57" w:rsidTr="00511FF4">
        <w:tc>
          <w:tcPr>
            <w:tcW w:w="920" w:type="dxa"/>
          </w:tcPr>
          <w:p w:rsidR="00A02816" w:rsidRPr="00AC0A57" w:rsidRDefault="00A02816" w:rsidP="00511FF4">
            <w:r>
              <w:t>PIB anual</w:t>
            </w:r>
          </w:p>
        </w:tc>
        <w:tc>
          <w:tcPr>
            <w:tcW w:w="4911" w:type="dxa"/>
          </w:tcPr>
          <w:p w:rsidR="00A02816" w:rsidRPr="00AC0A57" w:rsidRDefault="00A02816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=”numero</w:t>
            </w:r>
            <w:proofErr w:type="gramEnd"/>
            <w:r w:rsidRPr="00AC0A57">
              <w:t xml:space="preserve"> </w:t>
            </w:r>
            <w:proofErr w:type="spellStart"/>
            <w:r w:rsidRPr="00AC0A57">
              <w:t>eur</w:t>
            </w:r>
            <w:proofErr w:type="spellEnd"/>
            <w:r w:rsidRPr="00AC0A57">
              <w:t xml:space="preserve">” </w:t>
            </w:r>
            <w:r>
              <w:t>…</w:t>
            </w:r>
            <w:r w:rsidRPr="00AC0A57">
              <w:t xml:space="preserve"> &gt; ####.##</w:t>
            </w:r>
            <w:r>
              <w:t xml:space="preserve"> M.E</w:t>
            </w:r>
          </w:p>
        </w:tc>
        <w:tc>
          <w:tcPr>
            <w:tcW w:w="2997" w:type="dxa"/>
          </w:tcPr>
          <w:p w:rsidR="00A02816" w:rsidRPr="00AC0A57" w:rsidRDefault="00A02816" w:rsidP="00511FF4">
            <w:r w:rsidRPr="00AC0A57">
              <w:t>td.numero.eu</w:t>
            </w:r>
          </w:p>
        </w:tc>
      </w:tr>
      <w:tr w:rsidR="00A02816" w:rsidRPr="00AC0A57" w:rsidTr="00511FF4">
        <w:tc>
          <w:tcPr>
            <w:tcW w:w="920" w:type="dxa"/>
          </w:tcPr>
          <w:p w:rsidR="00A02816" w:rsidRPr="00AC0A57" w:rsidRDefault="00A02816" w:rsidP="00511FF4">
            <w:r w:rsidRPr="00AC0A57">
              <w:t>Va</w:t>
            </w:r>
            <w:r>
              <w:t>r PIB %</w:t>
            </w:r>
          </w:p>
        </w:tc>
        <w:tc>
          <w:tcPr>
            <w:tcW w:w="4911" w:type="dxa"/>
          </w:tcPr>
          <w:p w:rsidR="00A02816" w:rsidRPr="00AC0A57" w:rsidRDefault="00A02816" w:rsidP="00511FF4">
            <w:r w:rsidRPr="00AC0A57">
              <w:t>&lt;</w:t>
            </w:r>
            <w:proofErr w:type="spellStart"/>
            <w:r w:rsidRPr="00AC0A57">
              <w:t>td</w:t>
            </w:r>
            <w:proofErr w:type="spellEnd"/>
            <w:r w:rsidRPr="00AC0A57">
              <w:t>&gt; &lt;</w:t>
            </w:r>
            <w:proofErr w:type="spellStart"/>
            <w:r w:rsidRPr="00AC0A57">
              <w:t>class</w:t>
            </w:r>
            <w:proofErr w:type="spellEnd"/>
            <w:proofErr w:type="gramStart"/>
            <w:r w:rsidRPr="00AC0A57">
              <w:t>=”numero</w:t>
            </w:r>
            <w:proofErr w:type="gramEnd"/>
            <w:r w:rsidRPr="00AC0A57">
              <w:t xml:space="preserve">” </w:t>
            </w:r>
            <w:r>
              <w:t>…</w:t>
            </w:r>
            <w:r w:rsidRPr="00AC0A57">
              <w:t xml:space="preserve"> &gt; ##.##</w:t>
            </w:r>
            <w:r>
              <w:t>%</w:t>
            </w:r>
          </w:p>
        </w:tc>
        <w:tc>
          <w:tcPr>
            <w:tcW w:w="2997" w:type="dxa"/>
          </w:tcPr>
          <w:p w:rsidR="00A02816" w:rsidRPr="00AC0A57" w:rsidRDefault="00A02816" w:rsidP="00511FF4">
            <w:proofErr w:type="spellStart"/>
            <w:proofErr w:type="gramStart"/>
            <w:r w:rsidRPr="00AC0A57">
              <w:t>td.numero</w:t>
            </w:r>
            <w:proofErr w:type="spellEnd"/>
            <w:proofErr w:type="gramEnd"/>
          </w:p>
        </w:tc>
      </w:tr>
    </w:tbl>
    <w:p w:rsidR="00A02816" w:rsidRDefault="00A02816"/>
    <w:sectPr w:rsidR="00A02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F1"/>
    <w:rsid w:val="0000419D"/>
    <w:rsid w:val="000D0BF5"/>
    <w:rsid w:val="000F3483"/>
    <w:rsid w:val="00153305"/>
    <w:rsid w:val="001C23EE"/>
    <w:rsid w:val="00226705"/>
    <w:rsid w:val="002537F1"/>
    <w:rsid w:val="002F4968"/>
    <w:rsid w:val="00511FF4"/>
    <w:rsid w:val="005B30B3"/>
    <w:rsid w:val="00814268"/>
    <w:rsid w:val="00840072"/>
    <w:rsid w:val="008843B3"/>
    <w:rsid w:val="008A10A3"/>
    <w:rsid w:val="008D71BE"/>
    <w:rsid w:val="0091593B"/>
    <w:rsid w:val="00986ADE"/>
    <w:rsid w:val="009B3CE4"/>
    <w:rsid w:val="009D4EF2"/>
    <w:rsid w:val="00A02816"/>
    <w:rsid w:val="00A02DC5"/>
    <w:rsid w:val="00A25B7B"/>
    <w:rsid w:val="00AC0A57"/>
    <w:rsid w:val="00AE3667"/>
    <w:rsid w:val="00B61872"/>
    <w:rsid w:val="00B8309B"/>
    <w:rsid w:val="00CA1AD9"/>
    <w:rsid w:val="00CD64F5"/>
    <w:rsid w:val="00D30C16"/>
    <w:rsid w:val="00D64E99"/>
    <w:rsid w:val="00DE6118"/>
    <w:rsid w:val="00E93D6C"/>
    <w:rsid w:val="00EA5E10"/>
    <w:rsid w:val="00EE6925"/>
    <w:rsid w:val="00F17EDE"/>
    <w:rsid w:val="00F8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3917"/>
  <w15:chartTrackingRefBased/>
  <w15:docId w15:val="{54957114-A144-4D3B-9791-94164E50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041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ED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17E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3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E366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2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osmacro.expansion.com/ipca" TargetMode="External"/><Relationship Id="rId18" Type="http://schemas.openxmlformats.org/officeDocument/2006/relationships/hyperlink" Target="https://datosmacro.expansion.com/deficit" TargetMode="External"/><Relationship Id="rId26" Type="http://schemas.openxmlformats.org/officeDocument/2006/relationships/hyperlink" Target="https://datosmacro.expansion.com/indicadores%20econ%C3%B3micos" TargetMode="External"/><Relationship Id="rId21" Type="http://schemas.openxmlformats.org/officeDocument/2006/relationships/hyperlink" Target="https://datosmacro.expansion.com/materias-primas" TargetMode="External"/><Relationship Id="rId34" Type="http://schemas.openxmlformats.org/officeDocument/2006/relationships/hyperlink" Target="https://datosmacro.expansion.com/mercado-laboral/salario-medi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atosmacro.expansion.com/ipc" TargetMode="External"/><Relationship Id="rId17" Type="http://schemas.openxmlformats.org/officeDocument/2006/relationships/hyperlink" Target="https://datosmacro.expansion.com/deuda" TargetMode="External"/><Relationship Id="rId25" Type="http://schemas.openxmlformats.org/officeDocument/2006/relationships/hyperlink" Target="https://datosmacro.expansion.com/demografia/esperanza-vida" TargetMode="External"/><Relationship Id="rId33" Type="http://schemas.openxmlformats.org/officeDocument/2006/relationships/hyperlink" Target="https://datosmacro.expansion.com/sm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osmacro.expansion.com/hipotecas" TargetMode="External"/><Relationship Id="rId20" Type="http://schemas.openxmlformats.org/officeDocument/2006/relationships/hyperlink" Target="https://datosmacro.expansion.com/divisas" TargetMode="External"/><Relationship Id="rId29" Type="http://schemas.openxmlformats.org/officeDocument/2006/relationships/hyperlink" Target="https://ec.europa.eu/eurostat/robots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osmacro.expansion.com/pib" TargetMode="External"/><Relationship Id="rId11" Type="http://schemas.openxmlformats.org/officeDocument/2006/relationships/hyperlink" Target="https://datosmacro.expansion.com/pib" TargetMode="External"/><Relationship Id="rId24" Type="http://schemas.openxmlformats.org/officeDocument/2006/relationships/hyperlink" Target="https://datosmacro.expansion.com/demografia/homicidios" TargetMode="Externa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hyperlink" Target="https://datosmacro.expansion.com/mercado-laboral/salario-medio" TargetMode="External"/><Relationship Id="rId15" Type="http://schemas.openxmlformats.org/officeDocument/2006/relationships/hyperlink" Target="https://datosmacro.expansion.com/tipo-interes" TargetMode="External"/><Relationship Id="rId23" Type="http://schemas.openxmlformats.org/officeDocument/2006/relationships/hyperlink" Target="https://datosmacro.expansion.com/demografia/natalidad" TargetMode="External"/><Relationship Id="rId28" Type="http://schemas.openxmlformats.org/officeDocument/2006/relationships/hyperlink" Target="https://datosmacro.expansion.com/cca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atosmacro.expansion.com/paro-epa/espana" TargetMode="External"/><Relationship Id="rId19" Type="http://schemas.openxmlformats.org/officeDocument/2006/relationships/hyperlink" Target="https://datosmacro.expansion.com/prima-riesgo" TargetMode="External"/><Relationship Id="rId31" Type="http://schemas.openxmlformats.org/officeDocument/2006/relationships/hyperlink" Target="http://www.google.com/advanced_search" TargetMode="External"/><Relationship Id="rId4" Type="http://schemas.openxmlformats.org/officeDocument/2006/relationships/hyperlink" Target="https://datosmacro.expansion.com/smi" TargetMode="External"/><Relationship Id="rId9" Type="http://schemas.openxmlformats.org/officeDocument/2006/relationships/hyperlink" Target="https://datosmacro.expansion.com/paro" TargetMode="External"/><Relationship Id="rId14" Type="http://schemas.openxmlformats.org/officeDocument/2006/relationships/hyperlink" Target="https://datosmacro.expansion.com/smi" TargetMode="External"/><Relationship Id="rId22" Type="http://schemas.openxmlformats.org/officeDocument/2006/relationships/hyperlink" Target="https://datosmacro.expansion.com/demografia/poblacion" TargetMode="External"/><Relationship Id="rId27" Type="http://schemas.openxmlformats.org/officeDocument/2006/relationships/hyperlink" Target="https://datosmacro.expansion.com/paises" TargetMode="External"/><Relationship Id="rId30" Type="http://schemas.openxmlformats.org/officeDocument/2006/relationships/hyperlink" Target="https://datosmacro.expansion.com/sitemap1.xml.gz" TargetMode="External"/><Relationship Id="rId35" Type="http://schemas.openxmlformats.org/officeDocument/2006/relationships/hyperlink" Target="https://datosmacro.expansion.com/pib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1457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Carcia</dc:creator>
  <cp:keywords/>
  <dc:description/>
  <cp:lastModifiedBy>Antonio Carcia</cp:lastModifiedBy>
  <cp:revision>2</cp:revision>
  <dcterms:created xsi:type="dcterms:W3CDTF">2018-10-30T13:54:00Z</dcterms:created>
  <dcterms:modified xsi:type="dcterms:W3CDTF">2018-10-30T13:54:00Z</dcterms:modified>
</cp:coreProperties>
</file>