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spacing w:after="0"/>
        <w:jc w:val="center"/>
        <w:rPr>
          <w:sz w:val="22"/>
          <w:szCs w:val="22"/>
        </w:rPr>
      </w:pPr>
      <w:r>
        <w:rPr>
          <w:sz w:val="22"/>
          <w:szCs w:val="22"/>
        </w:rPr>
        <w:t xml:space="preserve">ACTO DE CONSTITUCIÓN</w:t>
      </w:r>
    </w:p>
    <w:p>
      <w:pPr>
        <w:pStyle w:val="Ttulo2"/>
        <w:spacing w:before="0" w:after="0"/>
        <w:jc w:val="center"/>
        <w:rPr>
          <w:sz w:val="22"/>
          <w:szCs w:val="22"/>
        </w:rPr>
      </w:pPr>
      <w:r>
        <w:rPr>
          <w:sz w:val="22"/>
          <w:szCs w:val="22"/>
        </w:rPr>
        <w:t xml:space="preserve">DE LA SOCIEDAD {{sociedad.nombre_completo}}</w:t>
      </w:r>
    </w:p>
    <w:p>
      <w:pPr>
        <w:pBdr>
          <w:top w:val="nil"/>
          <w:left w:val="nil"/>
          <w:bottom w:val="nil"/>
          <w:right w:val="nil"/>
          <w:between w:val="nil"/>
        </w:pBdr>
        <w:rPr>
          <w:color w:val="000000"/>
          <w:sz w:val="22"/>
          <w:szCs w:val="22"/>
        </w:rPr>
      </w:pPr>
      <w:r>
        <w:rPr>
          <w:color w:val="000000"/>
          <w:sz w:val="22"/>
          <w:szCs w:val="22"/>
        </w:rPr>
        <w:t xml:space="preserve">En {{constitucion.lugar}}, el {{constitucion.fecha}}, comparecen las siguientes personas:</w:t>
      </w:r>
    </w:p>
    <w:p>
      <w:pPr>
        <w:pBdr>
          <w:top w:val="nil"/>
          <w:left w:val="nil"/>
          <w:bottom w:val="nil"/>
          <w:right w:val="nil"/>
          <w:between w:val="nil"/>
        </w:pBdr>
        <w:rPr>
          <w:color w:val="000000"/>
          <w:sz w:val="22"/>
          <w:szCs w:val="22"/>
        </w:rPr>
      </w:pPr>
      <w:r>
        <w:rPr>
          <w:color w:val="000000"/>
          <w:sz w:val="22"/>
          <w:szCs w:val="22"/>
        </w:rPr>
        <w:t xml:space="preserve">[[REPETIR constituyentes COMO constituyente]]</w:t>
      </w:r>
    </w:p>
    <w:p>
      <w:pPr>
        <w:pBdr>
          <w:top w:val="nil"/>
          <w:left w:val="nil"/>
          <w:bottom w:val="nil"/>
          <w:right w:val="nil"/>
          <w:between w:val="nil"/>
        </w:pBdr>
        <w:rPr>
          <w:color w:val="000000"/>
          <w:sz w:val="22"/>
          <w:szCs w:val="22"/>
        </w:rPr>
      </w:pPr>
      <w:r>
        <w:rPr>
          <w:color w:val="000000"/>
          <w:sz w:val="22"/>
          <w:szCs w:val="22"/>
        </w:rPr>
        <w:t xml:space="preserve">{{constituyente.nombre}}, {{constituyente.tipo_persona}}, de nacionalidad {{constituyente.nacionalidad}}, identificado(a) con {{constituyente.tipo_documento}} número {{constituyente.numero_documento}}, con domicilio en {{constituyente.domicilio}}, actuando {{constituyente.calidad_actuacion}}. Cuando actúe por representación, su representante y el soporte de sus facultades son: {{constituyente.representacion_soporte}}.</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Los comparecientes manifiestan su voluntad de constituir una sociedad por acciones simplificada mediante {{constitucion.instrumento}}, aprueban los aportes y los siguientes estatutos. El carácter familiar corresponde a su organización accionaria y de gobierno; su tipo societario es S.A.S.</w:t>
      </w:r>
    </w:p>
    <w:p>
      <w:pPr>
        <w:pStyle w:val="Ttulo2"/>
        <w:jc w:val="center"/>
        <w:rPr>
          <w:sz w:val="22"/>
          <w:szCs w:val="22"/>
        </w:rPr>
      </w:pPr>
      <w:r>
        <w:rPr>
          <w:sz w:val="22"/>
          <w:szCs w:val="22"/>
        </w:rPr>
        <w:t xml:space="preserve">ESTATUTOS SOCIALES {{sociedad.nombre_completo}}</w:t>
      </w:r>
    </w:p>
    <w:p w14:paraId="161D5DA6" w14:textId="77777777" w:rsidR="00576A5F" w:rsidRDefault="00000000">
      <w:pPr>
        <w:pStyle w:val="Ttulo2"/>
        <w:rPr>
          <w:sz w:val="22"/>
          <w:szCs w:val="22"/>
        </w:rPr>
      </w:pPr>
      <w:r>
        <w:rPr>
          <w:sz w:val="22"/>
          <w:szCs w:val="22"/>
        </w:rPr>
        <w:t>CAPÍTULO I - NOMBRE, FORMA, NACIONALIDAD, DOMICILIO, DURACIÓN Y OBJETO</w:t>
      </w:r>
    </w:p>
    <w:p>
      <w:pPr>
        <w:pBdr>
          <w:top w:val="nil"/>
          <w:left w:val="nil"/>
          <w:bottom w:val="nil"/>
          <w:right w:val="nil"/>
          <w:between w:val="nil"/>
        </w:pBdr>
        <w:rPr>
          <w:color w:val="000000"/>
          <w:sz w:val="22"/>
          <w:szCs w:val="22"/>
        </w:rPr>
      </w:pPr>
      <w:r>
        <w:rPr>
          <w:color w:val="000000"/>
          <w:sz w:val="22"/>
          <w:szCs w:val="22"/>
          <w:b/>
          <w:bCs/>
        </w:rPr>
        <w:t xml:space="preserve">Artículo 1. Nombre, nacionalidad, domicilio y forma.</w:t>
      </w:r>
      <w:r>
        <w:rPr>
          <w:color w:val="000000"/>
          <w:sz w:val="22"/>
          <w:szCs w:val="22"/>
        </w:rPr>
        <w:t xml:space="preserve"> La sociedad se denomina {{sociedad.nombre_completo}}, es una sociedad por acciones simplificada de nacionalidad colombiana y tiene su domicilio principal en {{sociedad.municipio}}, {{sociedad.departamento}}, República de Colombia. Se rige por estos estatutos, la Ley 1258 de 2008 y las demás normas aplicables.</w:t>
      </w:r>
    </w:p>
    <w:p>
      <w:pPr>
        <w:pBdr>
          <w:top w:val="nil"/>
          <w:left w:val="nil"/>
          <w:bottom w:val="nil"/>
          <w:right w:val="nil"/>
          <w:between w:val="nil"/>
        </w:pBdr>
        <w:rPr>
          <w:color w:val="000000"/>
          <w:sz w:val="22"/>
          <w:szCs w:val="22"/>
        </w:rPr>
      </w:pPr>
      <w:r>
        <w:rPr>
          <w:color w:val="000000"/>
          <w:sz w:val="22"/>
          <w:szCs w:val="22"/>
        </w:rPr>
        <w:t xml:space="preserve">La creación y cierre de agencias y sucursales en Colombia o en el exterior serán decididos por {{sociedad.organo_sucursales}}, con cumplimiento de los requisitos legales.</w:t>
      </w:r>
    </w:p>
    <w:p>
      <w:pPr>
        <w:pBdr>
          <w:top w:val="nil"/>
          <w:left w:val="nil"/>
          <w:bottom w:val="nil"/>
          <w:right w:val="nil"/>
          <w:between w:val="nil"/>
        </w:pBdr>
        <w:rPr>
          <w:color w:val="000000"/>
          <w:sz w:val="22"/>
          <w:szCs w:val="22"/>
        </w:rPr>
      </w:pPr>
      <w:r>
        <w:rPr>
          <w:color w:val="000000"/>
          <w:sz w:val="22"/>
          <w:szCs w:val="22"/>
          <w:b/>
          <w:bCs/>
        </w:rPr>
        <w:t xml:space="preserve">Artículo 2. Duración.</w:t>
      </w:r>
      <w:r>
        <w:rPr>
          <w:color w:val="000000"/>
          <w:sz w:val="22"/>
          <w:szCs w:val="22"/>
        </w:rPr>
        <w:t xml:space="preserve"> La duración de la sociedad será {{sociedad.duracion_texto}}.</w:t>
      </w:r>
    </w:p>
    <w:p>
      <w:pPr>
        <w:pBdr>
          <w:top w:val="nil"/>
          <w:left w:val="nil"/>
          <w:bottom w:val="nil"/>
          <w:right w:val="nil"/>
          <w:between w:val="nil"/>
        </w:pBdr>
        <w:rPr>
          <w:color w:val="000000"/>
          <w:sz w:val="22"/>
          <w:szCs w:val="22"/>
        </w:rPr>
      </w:pPr>
      <w:r>
        <w:rPr>
          <w:color w:val="000000"/>
          <w:sz w:val="22"/>
          <w:szCs w:val="22"/>
          <w:b/>
          <w:bCs/>
        </w:rPr>
        <w:t xml:space="preserve">Artículo 3. Objeto social.</w:t>
      </w:r>
      <w:r>
        <w:rPr>
          <w:color w:val="000000"/>
          <w:sz w:val="22"/>
          <w:szCs w:val="22"/>
        </w:rPr>
        <w:t xml:space="preserve"> La sociedad tendrá por objeto principal: {{sociedad.objeto_principal}}.</w:t>
      </w:r>
    </w:p>
    <w:p>
      <w:pPr>
        <w:pBdr>
          <w:top w:val="nil"/>
          <w:left w:val="nil"/>
          <w:bottom w:val="nil"/>
          <w:right w:val="nil"/>
          <w:between w:val="nil"/>
        </w:pBdr>
        <w:rPr>
          <w:color w:val="000000"/>
          <w:sz w:val="22"/>
          <w:szCs w:val="22"/>
        </w:rPr>
      </w:pPr>
      <w:r>
        <w:rPr>
          <w:color w:val="000000"/>
          <w:sz w:val="22"/>
          <w:szCs w:val="22"/>
        </w:rPr>
        <w:t xml:space="preserve">Para el desarrollo de su objeto podrá realizar los siguientes actos y operaciones conexos: {{sociedad.operaciones_conexas}}.</w:t>
      </w:r>
    </w:p>
    <w:p>
      <w:pPr>
        <w:pBdr>
          <w:top w:val="nil"/>
          <w:left w:val="nil"/>
          <w:bottom w:val="nil"/>
          <w:right w:val="nil"/>
          <w:between w:val="nil"/>
        </w:pBdr>
        <w:rPr>
          <w:color w:val="000000"/>
          <w:sz w:val="22"/>
          <w:szCs w:val="22"/>
        </w:rPr>
      </w:pPr>
      <w:r>
        <w:rPr>
          <w:color w:val="000000"/>
          <w:sz w:val="22"/>
          <w:szCs w:val="22"/>
        </w:rPr>
        <w:t xml:space="preserve">[[SI opciones.objeto_amplio]]</w:t>
      </w:r>
    </w:p>
    <w:p>
      <w:pPr>
        <w:pBdr>
          <w:top w:val="nil"/>
          <w:left w:val="nil"/>
          <w:bottom w:val="nil"/>
          <w:right w:val="nil"/>
          <w:between w:val="nil"/>
        </w:pBdr>
        <w:rPr>
          <w:color w:val="000000"/>
          <w:sz w:val="22"/>
          <w:szCs w:val="22"/>
        </w:rPr>
      </w:pPr>
      <w:r>
        <w:rPr>
          <w:color w:val="000000"/>
          <w:sz w:val="22"/>
          <w:szCs w:val="22"/>
        </w:rPr>
        <w:t xml:space="preserve">(ALTERNATIVA A — INCLUIR SI SE ELIGE: OBJETO AMPLIO.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 sociedad podrá realizar cualquier actividad civil o comercial lícita en Colombia o en el exterior. Las actividades sujetas a autorización o régimen especial solo se desarrollarán previo cumplimiento de sus requisitos.</w:t>
      </w:r>
    </w:p>
    <w:p>
      <w:pPr>
        <w:pBdr>
          <w:top w:val="nil"/>
          <w:left w:val="nil"/>
          <w:bottom w:val="nil"/>
          <w:right w:val="nil"/>
          <w:between w:val="nil"/>
        </w:pBdr>
        <w:rPr>
          <w:color w:val="000000"/>
          <w:sz w:val="22"/>
          <w:szCs w:val="22"/>
        </w:rPr>
      </w:pPr>
      <w:r>
        <w:rPr>
          <w:color w:val="000000"/>
          <w:sz w:val="22"/>
          <w:szCs w:val="22"/>
        </w:rPr>
        <w:t xml:space="preserve">[[FIN_SI]]</w:t>
      </w:r>
    </w:p>
    <w:p w14:paraId="5C50ACA3" w14:textId="77777777" w:rsidR="00576A5F" w:rsidRDefault="00000000">
      <w:pPr>
        <w:pStyle w:val="Ttulo2"/>
        <w:jc w:val="center"/>
        <w:rPr>
          <w:sz w:val="22"/>
          <w:szCs w:val="22"/>
        </w:rPr>
      </w:pPr>
      <w:bookmarkStart w:id="0" w:name="bookmark=id.blmnk0q8v4cy" w:colFirst="0" w:colLast="0"/>
      <w:bookmarkEnd w:id="0"/>
      <w:r>
        <w:rPr>
          <w:sz w:val="22"/>
          <w:szCs w:val="22"/>
        </w:rPr>
        <w:t>CAPÍTULO II - CAPITAL SOCIAL, ACCIONES Y ACCIONISTAS</w:t>
      </w:r>
    </w:p>
    <w:p>
      <w:pPr>
        <w:pBdr>
          <w:top w:val="nil"/>
          <w:left w:val="nil"/>
          <w:bottom w:val="nil"/>
          <w:right w:val="nil"/>
          <w:between w:val="nil"/>
        </w:pBdr>
        <w:rPr>
          <w:color w:val="000000"/>
          <w:sz w:val="22"/>
          <w:szCs w:val="22"/>
        </w:rPr>
      </w:pPr>
      <w:r>
        <w:rPr>
          <w:color w:val="000000"/>
          <w:sz w:val="22"/>
          <w:szCs w:val="22"/>
          <w:b/>
          <w:bCs/>
        </w:rPr>
        <w:t xml:space="preserve">Artículo 4. Capital autorizado, suscrito y pagado.</w:t>
      </w:r>
      <w:r>
        <w:rPr>
          <w:color w:val="000000"/>
          <w:sz w:val="22"/>
          <w:szCs w:val="22"/>
        </w:rPr>
        <w:t xml:space="preserve"> El capital autorizado es de {{capital.autorizado_letras}} pesos colombianos (COP {{capital.autorizado}}), dividido en {{capital.acciones_autorizadas}} acciones nominativas de igual valor nominal de COP {{capital.valor_nominal}} cada una.</w:t>
      </w:r>
    </w:p>
    <w:p>
      <w:pPr>
        <w:pBdr>
          <w:top w:val="nil"/>
          <w:left w:val="nil"/>
          <w:bottom w:val="nil"/>
          <w:right w:val="nil"/>
          <w:between w:val="nil"/>
        </w:pBdr>
        <w:rPr>
          <w:color w:val="000000"/>
          <w:sz w:val="22"/>
          <w:szCs w:val="22"/>
        </w:rPr>
      </w:pPr>
      <w:r>
        <w:rPr>
          <w:color w:val="000000"/>
          <w:sz w:val="22"/>
          <w:szCs w:val="22"/>
        </w:rPr>
        <w:t xml:space="preserve">El capital suscrito es de COP {{capital.suscrito}}, representado en {{capital.acciones_suscritas}} acciones. El capital pagado es de COP {{capital.pagado}}. Las clases, cantidades, aportes y saldos individuales constan en las disposiciones transitorias.</w:t>
      </w:r>
    </w:p>
    <w:p>
      <w:pPr>
        <w:pBdr>
          <w:top w:val="nil"/>
          <w:left w:val="nil"/>
          <w:bottom w:val="nil"/>
          <w:right w:val="nil"/>
          <w:between w:val="nil"/>
        </w:pBdr>
        <w:rPr>
          <w:color w:val="000000"/>
          <w:sz w:val="22"/>
          <w:szCs w:val="22"/>
        </w:rPr>
      </w:pPr>
      <w:r>
        <w:rPr>
          <w:color w:val="000000"/>
          <w:sz w:val="22"/>
          <w:szCs w:val="22"/>
        </w:rPr>
        <w:t xml:space="preserve">El saldo pendiente se pagará conforme al calendario individual de aportes, sin que el plazo de pago de cada suscripción exceda de dos (2) años desde su suscripción. Las acciones autorizadas no suscritas permanecerán en reserva.</w:t>
      </w:r>
    </w:p>
    <w:p>
      <w:pPr>
        <w:pBdr>
          <w:top w:val="nil"/>
          <w:left w:val="nil"/>
          <w:bottom w:val="nil"/>
          <w:right w:val="nil"/>
          <w:between w:val="nil"/>
        </w:pBdr>
        <w:rPr>
          <w:color w:val="000000"/>
          <w:sz w:val="22"/>
          <w:szCs w:val="22"/>
        </w:rPr>
      </w:pPr>
      <w:r>
        <w:rPr>
          <w:color w:val="000000"/>
          <w:sz w:val="22"/>
          <w:szCs w:val="22"/>
        </w:rPr>
        <w:t xml:space="preserve">[[SI opciones.aportes_especie]]</w:t>
      </w:r>
    </w:p>
    <w:p>
      <w:pPr>
        <w:pBdr>
          <w:top w:val="nil"/>
          <w:left w:val="nil"/>
          <w:bottom w:val="nil"/>
          <w:right w:val="nil"/>
          <w:between w:val="nil"/>
        </w:pBdr>
        <w:rPr>
          <w:color w:val="000000"/>
          <w:sz w:val="22"/>
          <w:szCs w:val="22"/>
        </w:rPr>
      </w:pPr>
      <w:r>
        <w:rPr>
          <w:color w:val="000000"/>
          <w:sz w:val="22"/>
          <w:szCs w:val="22"/>
        </w:rPr>
        <w:t xml:space="preserve">(ALTERNATIVA A — INCLUIR SI SE ELIGE: APORTES ESPECIE.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Los aportes en especie, su valoración aprobada, identificación y entrega se describen así: {{capital.aportes_especie_detalle}}. Cuando su transferencia requiera escritura pública, la constitución y la transferencia cumplirán esa formalidad y los registros correspondientes.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5. Clases y series de acciones.</w:t>
      </w:r>
      <w:r>
        <w:rPr>
          <w:color w:val="000000"/>
          <w:sz w:val="22"/>
          <w:szCs w:val="22"/>
        </w:rPr>
        <w:t xml:space="preserve"> La sociedad tendrá las clases y series descritas en el artículo siguiente. La existencia estatutaria de una clase no implica que tenga acciones suscritas. Al constituirse, las clases efectivamente suscritas serán {{capital.clases_iniciales}}.</w:t>
      </w:r>
    </w:p>
    <w:p>
      <w:pPr>
        <w:pBdr>
          <w:top w:val="nil"/>
          <w:left w:val="nil"/>
          <w:bottom w:val="nil"/>
          <w:right w:val="nil"/>
          <w:between w:val="nil"/>
        </w:pBdr>
        <w:rPr>
          <w:color w:val="000000"/>
          <w:sz w:val="22"/>
          <w:szCs w:val="22"/>
        </w:rPr>
      </w:pPr>
      <w:r>
        <w:rPr>
          <w:color w:val="000000"/>
          <w:sz w:val="22"/>
          <w:szCs w:val="22"/>
        </w:rPr>
        <w:t xml:space="preserve">La creación o emisión de clases y series y la conversión voluntaria de acciones requerirán {{mayorias.creacion_conversion_clases}}, además de la reforma estatutaria cuando corresponda y las aprobaciones de clase previstas en estos estatutos o en la ley. No podrán desconocerse derechos adquiridos ni derechos mínimos imperativos.</w:t>
      </w:r>
    </w:p>
    <w:p>
      <w:pPr>
        <w:pBdr>
          <w:top w:val="nil"/>
          <w:left w:val="nil"/>
          <w:bottom w:val="nil"/>
          <w:right w:val="nil"/>
          <w:between w:val="nil"/>
        </w:pBdr>
        <w:rPr>
          <w:color w:val="000000"/>
          <w:sz w:val="22"/>
          <w:szCs w:val="22"/>
        </w:rPr>
      </w:pPr>
      <w:r>
        <w:rPr>
          <w:color w:val="000000"/>
          <w:sz w:val="22"/>
          <w:szCs w:val="22"/>
        </w:rPr>
        <w:t xml:space="preserve">Las condiciones particulares de cada clase deberán constar en los títulos y en el libro de registro de accionistas.</w:t>
      </w:r>
    </w:p>
    <w:p>
      <w:pPr>
        <w:pBdr>
          <w:top w:val="nil"/>
          <w:left w:val="nil"/>
          <w:bottom w:val="nil"/>
          <w:right w:val="nil"/>
          <w:between w:val="nil"/>
        </w:pBdr>
        <w:rPr>
          <w:color w:val="000000"/>
          <w:sz w:val="22"/>
          <w:szCs w:val="22"/>
        </w:rPr>
      </w:pPr>
      <w:r>
        <w:rPr>
          <w:color w:val="000000"/>
          <w:sz w:val="22"/>
          <w:szCs w:val="22"/>
          <w:b/>
          <w:bCs/>
        </w:rPr>
        <w:t xml:space="preserve">Artículo 6. Derechos de las acciones.</w:t>
      </w:r>
      <w:r>
        <w:rPr>
          <w:color w:val="000000"/>
          <w:sz w:val="22"/>
          <w:szCs w:val="22"/>
        </w:rPr>
        <w:t xml:space="preserve"> Cada titular tendrá los derechos legales correspondientes a la naturaleza de sus acciones, con las siguientes particularidades:</w:t>
      </w:r>
    </w:p>
    <w:p>
      <w:pPr>
        <w:pBdr>
          <w:top w:val="nil"/>
          <w:left w:val="nil"/>
          <w:bottom w:val="nil"/>
          <w:right w:val="nil"/>
          <w:between w:val="nil"/>
        </w:pBdr>
        <w:rPr>
          <w:color w:val="000000"/>
          <w:sz w:val="22"/>
          <w:szCs w:val="22"/>
        </w:rPr>
      </w:pPr>
      <w:r>
        <w:rPr>
          <w:color w:val="000000"/>
          <w:sz w:val="22"/>
          <w:szCs w:val="22"/>
        </w:rPr>
        <w:t xml:space="preserve">[[REPETIR clases COMO clase]]</w:t>
      </w:r>
    </w:p>
    <w:p>
      <w:pPr>
        <w:pBdr>
          <w:top w:val="nil"/>
          <w:left w:val="nil"/>
          <w:bottom w:val="nil"/>
          <w:right w:val="nil"/>
          <w:between w:val="nil"/>
        </w:pBdr>
        <w:rPr>
          <w:color w:val="000000"/>
          <w:sz w:val="22"/>
          <w:szCs w:val="22"/>
        </w:rPr>
      </w:pPr>
      <w:r>
        <w:rPr>
          <w:color w:val="000000"/>
          <w:sz w:val="22"/>
          <w:szCs w:val="22"/>
        </w:rPr>
        <w:t xml:space="preserve">Clase o serie {{clase.codigo}} — {{clase.denominacion}}. Naturaleza jurídica: {{clase.naturaleza}}.</w:t>
      </w:r>
    </w:p>
    <w:p>
      <w:pPr>
        <w:pBdr>
          <w:top w:val="nil"/>
          <w:left w:val="nil"/>
          <w:bottom w:val="nil"/>
          <w:right w:val="nil"/>
          <w:between w:val="nil"/>
        </w:pBdr>
        <w:rPr>
          <w:color w:val="000000"/>
          <w:sz w:val="22"/>
          <w:szCs w:val="22"/>
        </w:rPr>
      </w:pPr>
      <w:r>
        <w:rPr>
          <w:color w:val="000000"/>
          <w:sz w:val="22"/>
          <w:szCs w:val="22"/>
        </w:rPr>
        <w:t xml:space="preserve">a) Voto. Cada acción conferirá {{clase.votos_por_accion}} votos en los asuntos en que tenga derecho de voto. Los asuntos sometidos a reglas especiales y los eventos de adquisición o recuperación del voto son: {{clase.regimen_voto_especial}}.</w:t>
      </w:r>
    </w:p>
    <w:p>
      <w:pPr>
        <w:pBdr>
          <w:top w:val="nil"/>
          <w:left w:val="nil"/>
          <w:bottom w:val="nil"/>
          <w:right w:val="nil"/>
          <w:between w:val="nil"/>
        </w:pBdr>
        <w:rPr>
          <w:color w:val="000000"/>
          <w:sz w:val="22"/>
          <w:szCs w:val="22"/>
        </w:rPr>
      </w:pPr>
      <w:r>
        <w:rPr>
          <w:color w:val="000000"/>
          <w:sz w:val="22"/>
          <w:szCs w:val="22"/>
        </w:rPr>
        <w:t xml:space="preserve">b) Dividendos. Los dividendos se asignarán conforme al régimen económico y a los escenarios previstos en este artículo. Los derechos económicos adicionales de esta clase son: {{clase.derechos_economicos_adicionales}}.</w:t>
      </w:r>
    </w:p>
    <w:p>
      <w:pPr>
        <w:pBdr>
          <w:top w:val="nil"/>
          <w:left w:val="nil"/>
          <w:bottom w:val="nil"/>
          <w:right w:val="nil"/>
          <w:between w:val="nil"/>
        </w:pBdr>
        <w:rPr>
          <w:color w:val="000000"/>
          <w:sz w:val="22"/>
          <w:szCs w:val="22"/>
        </w:rPr>
      </w:pPr>
      <w:r>
        <w:rPr>
          <w:color w:val="000000"/>
          <w:sz w:val="22"/>
          <w:szCs w:val="22"/>
        </w:rPr>
        <w:t xml:space="preserve">c) Liquidación. Su derecho sobre el remanente, una vez pagado el pasivo externo y respetada la prelación legal, será: {{clase.derechos_liquidacion}}.</w:t>
      </w:r>
    </w:p>
    <w:p>
      <w:pPr>
        <w:pBdr>
          <w:top w:val="nil"/>
          <w:left w:val="nil"/>
          <w:bottom w:val="nil"/>
          <w:right w:val="nil"/>
          <w:between w:val="nil"/>
        </w:pBdr>
        <w:rPr>
          <w:color w:val="000000"/>
          <w:sz w:val="22"/>
          <w:szCs w:val="22"/>
        </w:rPr>
      </w:pPr>
      <w:r>
        <w:rPr>
          <w:color w:val="000000"/>
          <w:sz w:val="22"/>
          <w:szCs w:val="22"/>
        </w:rPr>
        <w:t xml:space="preserve">d) Titularidad. Los requisitos para ser titular de esta clase serán: {{clase.requisitos_titularidad}}.</w:t>
      </w:r>
    </w:p>
    <w:p>
      <w:pPr>
        <w:pBdr>
          <w:top w:val="nil"/>
          <w:left w:val="nil"/>
          <w:bottom w:val="nil"/>
          <w:right w:val="nil"/>
          <w:between w:val="nil"/>
        </w:pBdr>
        <w:rPr>
          <w:color w:val="000000"/>
          <w:sz w:val="22"/>
          <w:szCs w:val="22"/>
        </w:rPr>
      </w:pPr>
      <w:r>
        <w:rPr>
          <w:color w:val="000000"/>
          <w:sz w:val="22"/>
          <w:szCs w:val="22"/>
        </w:rPr>
        <w:t xml:space="preserve">e) Derechos particulares y protección. {{clase.derechos_especiales}}. Para modificar sus derechos se requerirá, además de las aprobaciones generales aplicables: {{clase.aprobacion_modificacion_derechos}}.</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Régimen económico adoptado: {{dividendos.regimen}}. Para cada conjunto de clases con acciones en circulación y derecho económico vigente, se aplicará exclusivamente el escenario correspondiente que se relaciona a continuación:</w:t>
      </w:r>
    </w:p>
    <w:p>
      <w:pPr>
        <w:pBdr>
          <w:top w:val="nil"/>
          <w:left w:val="nil"/>
          <w:bottom w:val="nil"/>
          <w:right w:val="nil"/>
          <w:between w:val="nil"/>
        </w:pBdr>
        <w:rPr>
          <w:color w:val="000000"/>
          <w:sz w:val="22"/>
          <w:szCs w:val="22"/>
        </w:rPr>
      </w:pPr>
      <w:r>
        <w:rPr>
          <w:color w:val="000000"/>
          <w:sz w:val="22"/>
          <w:szCs w:val="22"/>
        </w:rPr>
        <w:t xml:space="preserve">[[REPETIR dividendos.escenarios COMO escenario]]</w:t>
      </w:r>
    </w:p>
    <w:p>
      <w:pPr>
        <w:pBdr>
          <w:top w:val="nil"/>
          <w:left w:val="nil"/>
          <w:bottom w:val="nil"/>
          <w:right w:val="nil"/>
          <w:between w:val="nil"/>
        </w:pBdr>
        <w:rPr>
          <w:color w:val="000000"/>
          <w:sz w:val="22"/>
          <w:szCs w:val="22"/>
        </w:rPr>
      </w:pPr>
      <w:r>
        <w:rPr>
          <w:color w:val="000000"/>
          <w:sz w:val="22"/>
          <w:szCs w:val="22"/>
        </w:rPr>
        <w:t xml:space="preserve">Escenario {{escenario.codigo}}. Clases concurrentes: {{escenario.clases_concurrentes}}.</w:t>
      </w:r>
    </w:p>
    <w:p>
      <w:pPr>
        <w:pBdr>
          <w:top w:val="nil"/>
          <w:left w:val="nil"/>
          <w:bottom w:val="nil"/>
          <w:right w:val="nil"/>
          <w:between w:val="nil"/>
        </w:pBdr>
        <w:rPr>
          <w:color w:val="000000"/>
          <w:sz w:val="22"/>
          <w:szCs w:val="22"/>
        </w:rPr>
      </w:pPr>
      <w:r>
        <w:rPr>
          <w:color w:val="000000"/>
          <w:sz w:val="22"/>
          <w:szCs w:val="22"/>
        </w:rPr>
        <w:t xml:space="preserve">[[REPETIR escenario.asignaciones COMO asignacion]]</w:t>
      </w:r>
    </w:p>
    <w:p>
      <w:pPr>
        <w:pBdr>
          <w:top w:val="nil"/>
          <w:left w:val="nil"/>
          <w:bottom w:val="nil"/>
          <w:right w:val="nil"/>
          <w:between w:val="nil"/>
        </w:pBdr>
        <w:rPr>
          <w:color w:val="000000"/>
          <w:sz w:val="22"/>
          <w:szCs w:val="22"/>
        </w:rPr>
      </w:pPr>
      <w:r>
        <w:rPr>
          <w:color w:val="000000"/>
          <w:sz w:val="22"/>
          <w:szCs w:val="22"/>
        </w:rPr>
        <w:t xml:space="preserve">La clase {{asignacion.clase}} recibirá {{asignacion.porcentaje}} % del monto total de dividendos decretados para este escenario.</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Dentro de cada clase, la suma asignada se distribuirá en proporción al valor nominal efectivamente pagado de las acciones con derecho a participar en el reparto, salvo la regla especial válida expresamente incluida en su ficha de derechos. Las acciones readquiridas por la sociedad no participarán mientras sus derechos estén suspendidos.</w:t>
      </w:r>
    </w:p>
    <w:p>
      <w:pPr>
        <w:pBdr>
          <w:top w:val="nil"/>
          <w:left w:val="nil"/>
          <w:bottom w:val="nil"/>
          <w:right w:val="nil"/>
          <w:between w:val="nil"/>
        </w:pBdr>
        <w:rPr>
          <w:color w:val="000000"/>
          <w:sz w:val="22"/>
          <w:szCs w:val="22"/>
        </w:rPr>
      </w:pPr>
      <w:r>
        <w:rPr>
          <w:color w:val="000000"/>
          <w:sz w:val="22"/>
          <w:szCs w:val="22"/>
        </w:rPr>
        <w:t xml:space="preserve">[[SI opciones.dividendos_preferenciales_o_fijos]]</w:t>
      </w:r>
    </w:p>
    <w:p>
      <w:pPr>
        <w:pBdr>
          <w:top w:val="nil"/>
          <w:left w:val="nil"/>
          <w:bottom w:val="nil"/>
          <w:right w:val="nil"/>
          <w:between w:val="nil"/>
        </w:pBdr>
        <w:rPr>
          <w:color w:val="000000"/>
          <w:sz w:val="22"/>
          <w:szCs w:val="22"/>
        </w:rPr>
      </w:pPr>
      <w:r>
        <w:rPr>
          <w:color w:val="000000"/>
          <w:sz w:val="22"/>
          <w:szCs w:val="22"/>
        </w:rPr>
        <w:t xml:space="preserve">(ALTERNATIVA A — INCLUIR SI SE ELIGE: DIVIDENDOS PREFERENCIALES O FIJOS.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Antes de aplicar la distribución residual, se observará el siguiente régimen especial de dividendos mínimos, preferenciales o fijos: {{dividendos.regimen_preferencial_completo}}. En este caso los porcentajes de los escenarios se aplicarán al saldo residual definido en dicho régimen, sin duplicar asignaciones.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No podrán confundirse el porcentaje de capital, el poder de voto y la participación en dividendos. La sola decisión de decretar utilidades no autoriza a alterar los derechos económicos estatutarios. Las futuras clases deberán incorporarse junto con sus reglas de concurrencia antes de ser emitidas.</w:t>
      </w:r>
    </w:p>
    <w:p>
      <w:pPr>
        <w:pBdr>
          <w:top w:val="nil"/>
          <w:left w:val="nil"/>
          <w:bottom w:val="nil"/>
          <w:right w:val="nil"/>
          <w:between w:val="nil"/>
        </w:pBdr>
        <w:rPr>
          <w:color w:val="000000"/>
          <w:sz w:val="22"/>
          <w:szCs w:val="22"/>
        </w:rPr>
      </w:pPr>
      <w:r>
        <w:rPr>
          <w:color w:val="000000"/>
          <w:sz w:val="22"/>
          <w:szCs w:val="22"/>
          <w:b/>
          <w:bCs/>
        </w:rPr>
        <w:t xml:space="preserve">Artículo 7. Prohibición temporal y autorización de transferencias.</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opciones.prohibicion_temporal]]</w:t>
      </w:r>
    </w:p>
    <w:p>
      <w:pPr>
        <w:pBdr>
          <w:top w:val="nil"/>
          <w:left w:val="nil"/>
          <w:bottom w:val="nil"/>
          <w:right w:val="nil"/>
          <w:between w:val="nil"/>
        </w:pBdr>
        <w:rPr>
          <w:color w:val="000000"/>
          <w:sz w:val="22"/>
          <w:szCs w:val="22"/>
        </w:rPr>
      </w:pPr>
      <w:r>
        <w:rPr>
          <w:color w:val="000000"/>
          <w:sz w:val="22"/>
          <w:szCs w:val="22"/>
        </w:rPr>
        <w:t xml:space="preserve">(ALTERNATIVA A — INCLUIR SI SE ELIGE: PROHIBICION TEMPORAL.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Se prohíbe negociar las acciones de las clases {{transferencias.clases_restringidas}} durante {{transferencias.prohibicion_anios}} años, contados individualmente desde su emisión, sin exceder de diez (10) años. La prohibición constará en los títulos. Su prórroga requerirá la voluntad unánime de todos los accionistas y cada período adicional no excederá de diez (10) años.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opciones.autorizacion_transferencias]]</w:t>
      </w:r>
    </w:p>
    <w:p>
      <w:pPr>
        <w:pBdr>
          <w:top w:val="nil"/>
          <w:left w:val="nil"/>
          <w:bottom w:val="nil"/>
          <w:right w:val="nil"/>
          <w:between w:val="nil"/>
        </w:pBdr>
        <w:rPr>
          <w:color w:val="000000"/>
          <w:sz w:val="22"/>
          <w:szCs w:val="22"/>
        </w:rPr>
      </w:pPr>
      <w:r>
        <w:rPr>
          <w:color w:val="000000"/>
          <w:sz w:val="22"/>
          <w:szCs w:val="22"/>
        </w:rPr>
        <w:t xml:space="preserve">(ALTERNATIVA A — INCLUIR SI SE ELIGE: AUTORIZACION TRANSFERENCIAS.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 transferencia de las acciones de las clases {{transferencias.clases_autorizacion}} requerirá autorización previa de la asamblea, adoptada mediante {{mayorias.autorizacion_transferencias}} y sujeta a {{transferencias.criterios_admision}}.</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Las reglas de autorización y preferencia no dispensan de una prohibición temporal vigente. La transferencia que contravenga las restricciones estatutarias estará sujeta a la ineficacia de pleno derecho prevista en el artículo 15 de la Ley 1258 de 2008, cuando corresponda.</w:t>
      </w:r>
    </w:p>
    <w:p>
      <w:pPr>
        <w:pBdr>
          <w:top w:val="nil"/>
          <w:left w:val="nil"/>
          <w:bottom w:val="nil"/>
          <w:right w:val="nil"/>
          <w:between w:val="nil"/>
        </w:pBdr>
        <w:rPr>
          <w:color w:val="000000"/>
          <w:sz w:val="22"/>
          <w:szCs w:val="22"/>
        </w:rPr>
      </w:pPr>
      <w:r>
        <w:rPr>
          <w:color w:val="000000"/>
          <w:sz w:val="22"/>
          <w:szCs w:val="22"/>
          <w:b/>
          <w:bCs/>
        </w:rPr>
        <w:t xml:space="preserve">Artículo 8. Conversión por cambio de titularidad.</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opciones.conversion_por_transferencia]]</w:t>
      </w:r>
    </w:p>
    <w:p>
      <w:pPr>
        <w:pBdr>
          <w:top w:val="nil"/>
          <w:left w:val="nil"/>
          <w:bottom w:val="nil"/>
          <w:right w:val="nil"/>
          <w:between w:val="nil"/>
        </w:pBdr>
        <w:rPr>
          <w:color w:val="000000"/>
          <w:sz w:val="22"/>
          <w:szCs w:val="22"/>
        </w:rPr>
      </w:pPr>
      <w:r>
        <w:rPr>
          <w:color w:val="000000"/>
          <w:sz w:val="22"/>
          <w:szCs w:val="22"/>
        </w:rPr>
        <w:t xml:space="preserve">(ALTERNATIVA A — INCLUIR SI SE ELIGE: CONVERSION POR TRANSFERENCIA.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[[REPETIR conversiones COMO conversion]]</w:t>
      </w:r>
    </w:p>
    <w:p>
      <w:pPr>
        <w:pBdr>
          <w:top w:val="nil"/>
          <w:left w:val="nil"/>
          <w:bottom w:val="nil"/>
          <w:right w:val="nil"/>
          <w:between w:val="nil"/>
        </w:pBdr>
        <w:rPr>
          <w:color w:val="000000"/>
          <w:sz w:val="22"/>
          <w:szCs w:val="22"/>
        </w:rPr>
      </w:pPr>
      <w:r>
        <w:rPr>
          <w:color w:val="000000"/>
          <w:sz w:val="22"/>
          <w:szCs w:val="22"/>
        </w:rPr>
        <w:t xml:space="preserve">Las acciones de la clase {{conversion.clase_origen}} conservarán sus derechos particulares mientras pertenezcan a {{conversion.titulares_habilitados}}. Si ocurre {{conversion.evento}}, se convertirán en acciones de clase {{conversion.clase_destino}}, en proporción de {{conversion.relacion_canje}}, a partir de {{conversion.momento_efectos}}. Se exceptúan {{conversion.excepciones}}. La conversión preservará el capital nominal y se registrará documentalmente en el libro de accionistas con sustitución de los títulos.</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La mera inscripción de un embargo no constituye transferencia ni genera por sí sola conversión. La transmisión sucesoral, la representación de acciones de una sucesión ilíquida y la adjudicación se tratarán conforme a la ley. La conversión no suprime derechos sucesorales ni desconoce adjudicaciones o decisiones judiciales.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opciones.sin_conversion_por_transferencia]]</w:t>
      </w:r>
    </w:p>
    <w:p>
      <w:pPr>
        <w:pBdr>
          <w:top w:val="nil"/>
          <w:left w:val="nil"/>
          <w:bottom w:val="nil"/>
          <w:right w:val="nil"/>
          <w:between w:val="nil"/>
        </w:pBdr>
        <w:rPr>
          <w:color w:val="000000"/>
          <w:sz w:val="22"/>
          <w:szCs w:val="22"/>
        </w:rPr>
      </w:pPr>
      <w:r>
        <w:rPr>
          <w:color w:val="000000"/>
          <w:sz w:val="22"/>
          <w:szCs w:val="22"/>
        </w:rPr>
        <w:t xml:space="preserve">(ALTERNATIVA B — NO INCLUIR: CONVERSION POR TRANSFERENCIA.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 transferencia de acciones no modificará su clase por sí sola.</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9. Aumento y disminución del capital.</w:t>
      </w:r>
      <w:r>
        <w:rPr>
          <w:color w:val="000000"/>
          <w:sz w:val="22"/>
          <w:szCs w:val="22"/>
        </w:rPr>
        <w:t xml:space="preserve"> El aumento del capital autorizado requerirá reforma estatutaria. El capital suscrito podrá incrementarse mediante la colocación de acciones dentro del autorizado, con observancia de estos estatutos. Las disminuciones de capital, los reembolsos y la cancelación de acciones se sujetarán a los requisitos y autorizaciones legales aplicables.</w:t>
      </w:r>
    </w:p>
    <w:p>
      <w:pPr>
        <w:pBdr>
          <w:top w:val="nil"/>
          <w:left w:val="nil"/>
          <w:bottom w:val="nil"/>
          <w:right w:val="nil"/>
          <w:between w:val="nil"/>
        </w:pBdr>
        <w:rPr>
          <w:color w:val="000000"/>
          <w:sz w:val="22"/>
          <w:szCs w:val="22"/>
        </w:rPr>
      </w:pPr>
      <w:r>
        <w:rPr>
          <w:color w:val="000000"/>
          <w:sz w:val="22"/>
          <w:szCs w:val="22"/>
          <w:b/>
          <w:bCs/>
        </w:rPr>
        <w:t xml:space="preserve">Artículo 10. Títulos de acciones.</w:t>
      </w:r>
      <w:r>
        <w:rPr>
          <w:color w:val="000000"/>
          <w:sz w:val="22"/>
          <w:szCs w:val="22"/>
        </w:rPr>
        <w:t xml:space="preserve"> A todo suscriptor de acciones deberá expedírsele el título o títulos que justifiquen su calidad de accionista.</w:t>
      </w:r>
    </w:p>
    <w:p>
      <w:pPr>
        <w:pBdr>
          <w:top w:val="nil"/>
          <w:left w:val="nil"/>
          <w:bottom w:val="nil"/>
          <w:right w:val="nil"/>
          <w:between w:val="nil"/>
        </w:pBdr>
        <w:rPr>
          <w:color w:val="000000"/>
          <w:sz w:val="22"/>
          <w:szCs w:val="22"/>
        </w:rPr>
      </w:pPr>
      <w:r>
        <w:rPr>
          <w:color w:val="000000"/>
          <w:sz w:val="22"/>
          <w:szCs w:val="22"/>
        </w:rPr>
        <w:t xml:space="preserve">Los títulos se expedirán en series continuas con la firma del representante legal de la sociedad, y en ellos se indicará cuando menos: a) la denominación de la sociedad, su domicilio, la fecha del documento de constitución y la fecha en la que el mismo fue inscrito en el Registro Mercantil; b) la cantidad de acciones representadas en cada título, el valor nominal de las mismas y su clase; c) las restricciones o limitaciones a la libre negociación de las acciones; d) los derechos que confieren las acciones a su titular; y e) el nombre completo de la persona en cuyo favor se expiden.</w:t>
      </w:r>
    </w:p>
    <w:p>
      <w:pPr>
        <w:pBdr>
          <w:top w:val="nil"/>
          <w:left w:val="nil"/>
          <w:bottom w:val="nil"/>
          <w:right w:val="nil"/>
          <w:between w:val="nil"/>
        </w:pBdr>
        <w:rPr>
          <w:color w:val="000000"/>
          <w:sz w:val="22"/>
          <w:szCs w:val="22"/>
        </w:rPr>
      </w:pPr>
      <w:r>
        <w:rPr>
          <w:color w:val="000000"/>
          <w:sz w:val="22"/>
          <w:szCs w:val="22"/>
          <w:b/>
          <w:bCs/>
        </w:rPr>
        <w:t xml:space="preserve">Artículo 11. Certificados provisionales.</w:t>
      </w:r>
      <w:r>
        <w:rPr>
          <w:color w:val="000000"/>
          <w:sz w:val="22"/>
          <w:szCs w:val="22"/>
        </w:rPr>
        <w:t xml:space="preserve"> Mientras el valor de las acciones suscritas no esté íntegramente pagado, sólo se expedirán certificados provisionales a los suscriptores. La transferencia de los certificados se sujetará a las mismas condiciones exigidas para la transferencia de títulos, y del importe no pagado responderán solidariamente cedentes y cesionarios. Pagadas totalmente las acciones se cambiarán los certificados por títulos definitivos.</w:t>
      </w:r>
    </w:p>
    <w:p>
      <w:pPr>
        <w:pBdr>
          <w:top w:val="nil"/>
          <w:left w:val="nil"/>
          <w:bottom w:val="nil"/>
          <w:right w:val="nil"/>
          <w:between w:val="nil"/>
        </w:pBdr>
        <w:rPr>
          <w:color w:val="000000"/>
          <w:sz w:val="22"/>
          <w:szCs w:val="22"/>
        </w:rPr>
      </w:pPr>
      <w:r>
        <w:rPr>
          <w:color w:val="000000"/>
          <w:sz w:val="22"/>
          <w:szCs w:val="22"/>
          <w:b/>
          <w:bCs/>
        </w:rPr>
        <w:t xml:space="preserve">Artículo 12. Mora en el pago de las acciones.</w:t>
      </w:r>
      <w:r>
        <w:rPr>
          <w:color w:val="000000"/>
          <w:sz w:val="22"/>
          <w:szCs w:val="22"/>
        </w:rPr>
        <w:t xml:space="preserve"> Cuando un accionista esté en mora de pagar las cuotas de las acciones que haya suscrito, no podrá ejercer los derechos inherentes a ellas. Para este efecto, la sociedad anotará los pagos efectuados y los saldos pendientes. Si la sociedad tuviere obligaciones vencidas a cargo de los accionistas por concepto de cuotas de las acciones suscritas, acudirá, a elección de la asamblea general de accionistas al cobro judicial, o a vender de cuenta y riesgo del moroso las acciones que hubiere suscrito, o a imputar las sumas recibidas a la liberación del número de acciones que correspondan a las cuotas pagadas, previa deducción de un veinte por ciento (20 %) a título de indemnización de perjuicios, que se presumirán causados, y a retirar las demás acciones suscritas y no pagadas por el moroso.</w:t>
      </w:r>
    </w:p>
    <w:p>
      <w:pPr>
        <w:pBdr>
          <w:top w:val="nil"/>
          <w:left w:val="nil"/>
          <w:bottom w:val="nil"/>
          <w:right w:val="nil"/>
          <w:between w:val="nil"/>
        </w:pBdr>
        <w:rPr>
          <w:color w:val="000000"/>
          <w:sz w:val="22"/>
          <w:szCs w:val="22"/>
        </w:rPr>
      </w:pPr>
      <w:r>
        <w:rPr>
          <w:color w:val="000000"/>
          <w:sz w:val="22"/>
          <w:szCs w:val="22"/>
        </w:rPr>
        <w:t xml:space="preserve">Las acciones que la Sociedad retire al accionista moroso las colocará de inmediato en la forma prevista en estos estatutos excluyendo de tal colocación al accionista al que se le retiraron dichas acciones.</w:t>
      </w:r>
    </w:p>
    <w:p>
      <w:pPr>
        <w:pBdr>
          <w:top w:val="nil"/>
          <w:left w:val="nil"/>
          <w:bottom w:val="nil"/>
          <w:right w:val="nil"/>
          <w:between w:val="nil"/>
        </w:pBdr>
        <w:rPr>
          <w:color w:val="000000"/>
          <w:sz w:val="22"/>
          <w:szCs w:val="22"/>
        </w:rPr>
      </w:pPr>
      <w:r>
        <w:rPr>
          <w:color w:val="000000"/>
          <w:sz w:val="22"/>
          <w:szCs w:val="22"/>
          <w:b/>
          <w:bCs/>
        </w:rPr>
        <w:t xml:space="preserve">Artículo 13. Libro de registro de accionistas.</w:t>
      </w:r>
      <w:r>
        <w:rPr>
          <w:color w:val="000000"/>
          <w:sz w:val="22"/>
          <w:szCs w:val="22"/>
        </w:rPr>
        <w:t xml:space="preserve"> La sociedad llevará un libro de registro de accionistas en el que figurará el nombre, documento de identidad y domicilio de cada accionista, el número de acciones de la que es titular, al igual que los títulos de acciones y certificados provisionales expedidos, con indicación de los números y fecha de inscripción de cada uno, y un espacio donde se anotarán todas las enajenaciones de las acciones, los gravámenes, embargos, demandas y cualquier otro acto que limiten las propiedad sobre las acciones.</w:t>
      </w:r>
    </w:p>
    <w:p>
      <w:pPr>
        <w:pBdr>
          <w:top w:val="nil"/>
          <w:left w:val="nil"/>
          <w:bottom w:val="nil"/>
          <w:right w:val="nil"/>
          <w:between w:val="nil"/>
        </w:pBdr>
        <w:rPr>
          <w:color w:val="000000"/>
          <w:sz w:val="22"/>
          <w:szCs w:val="22"/>
        </w:rPr>
      </w:pPr>
      <w:r>
        <w:rPr>
          <w:color w:val="000000"/>
          <w:sz w:val="22"/>
          <w:szCs w:val="22"/>
        </w:rPr>
        <w:t xml:space="preserve">Las personas naturales o jurídicas cuyos nombres aparezcan inscritos en el libro de registro de accionistas como accionistas de la sociedad, gozarán de todos los derechos que conforme a la ley y a los estatutos se derivan de su calidad de tales.</w:t>
      </w:r>
    </w:p>
    <w:p>
      <w:pPr>
        <w:pBdr>
          <w:top w:val="nil"/>
          <w:left w:val="nil"/>
          <w:bottom w:val="nil"/>
          <w:right w:val="nil"/>
          <w:between w:val="nil"/>
        </w:pBdr>
        <w:rPr>
          <w:color w:val="000000"/>
          <w:sz w:val="22"/>
          <w:szCs w:val="22"/>
        </w:rPr>
      </w:pPr>
      <w:r>
        <w:rPr>
          <w:color w:val="000000"/>
          <w:sz w:val="22"/>
          <w:szCs w:val="22"/>
          <w:b/>
          <w:bCs/>
        </w:rPr>
        <w:t xml:space="preserve">Artículo 14. Gravámenes.</w:t>
      </w:r>
      <w:r>
        <w:rPr>
          <w:color w:val="000000"/>
          <w:sz w:val="22"/>
          <w:szCs w:val="22"/>
        </w:rPr>
        <w:t xml:space="preserve"> La constitución voluntaria de prenda u otro gravamen sobre acciones requerirá {{mayorias.gravamenes}}, sin perjuicio de las formalidades y registros legales aplicables. Los derechos del acreedor serán los previstos en la ley y en el pacto válido correspondiente. Esta autorización no condiciona la eficacia de medidas decretadas por autoridad competente.</w:t>
      </w:r>
    </w:p>
    <w:p>
      <w:pPr>
        <w:pBdr>
          <w:top w:val="nil"/>
          <w:left w:val="nil"/>
          <w:bottom w:val="nil"/>
          <w:right w:val="nil"/>
          <w:between w:val="nil"/>
        </w:pBdr>
        <w:rPr>
          <w:color w:val="000000"/>
          <w:sz w:val="22"/>
          <w:szCs w:val="22"/>
        </w:rPr>
      </w:pPr>
      <w:r>
        <w:rPr>
          <w:color w:val="000000"/>
          <w:sz w:val="22"/>
          <w:szCs w:val="22"/>
          <w:b/>
          <w:bCs/>
        </w:rPr>
        <w:t xml:space="preserve">Artículo 15. Usufructo.</w:t>
      </w:r>
      <w:r>
        <w:rPr>
          <w:color w:val="000000"/>
          <w:sz w:val="22"/>
          <w:szCs w:val="22"/>
        </w:rPr>
        <w:t xml:space="preserve"> Su constitución requerirá {{mayorias.usufructo}} y las formalidades legales. Salvo reserva expresa válida, el usufructuario tendrá los derechos inherentes a la calidad de accionista, excepto enajenar o gravar las acciones y obtener su reembolso en la liquidación. Las reservas de derechos políticos o económicos a favor del nudo propietario deberán constar por escrito e inscribirse cuando corresponda. La sociedad identificará separadamente a los legitimados para votar y para recibir dividendos.</w:t>
      </w:r>
    </w:p>
    <w:p>
      <w:pPr>
        <w:pBdr>
          <w:top w:val="nil"/>
          <w:left w:val="nil"/>
          <w:bottom w:val="nil"/>
          <w:right w:val="nil"/>
          <w:between w:val="nil"/>
        </w:pBdr>
        <w:rPr>
          <w:color w:val="000000"/>
          <w:sz w:val="22"/>
          <w:szCs w:val="22"/>
        </w:rPr>
      </w:pPr>
      <w:r>
        <w:rPr>
          <w:color w:val="000000"/>
          <w:sz w:val="22"/>
          <w:szCs w:val="22"/>
          <w:b/>
          <w:bCs/>
        </w:rPr>
        <w:t xml:space="preserve">Artículo 16. Colocación de acciones en reserva.</w:t>
      </w:r>
      <w:r>
        <w:rPr>
          <w:color w:val="000000"/>
          <w:sz w:val="22"/>
          <w:szCs w:val="22"/>
        </w:rPr>
        <w:t xml:space="preserve"> La asamblea aprobará las emisiones y los reglamentos de suscripción mediante {{mayorias.emision}}. Cada reglamento precisará cantidad, clase, destinatarios, proporción, precio, prima cuando exista, plazo de oferta, adjudicación y calendario de pago. El plazo de oferta será {{emision.plazo_oferta_texto}}, respetando los límites legales aplicables. El pago no excederá de dos (2) años desde la respectiva suscripción. No podrán emitirse acciones de clases que carezcan de un régimen estatutario completo.</w:t>
      </w:r>
    </w:p>
    <w:p>
      <w:pPr>
        <w:pBdr>
          <w:top w:val="nil"/>
          <w:left w:val="nil"/>
          <w:bottom w:val="nil"/>
          <w:right w:val="nil"/>
          <w:between w:val="nil"/>
        </w:pBdr>
        <w:rPr>
          <w:color w:val="000000"/>
          <w:sz w:val="22"/>
          <w:szCs w:val="22"/>
        </w:rPr>
      </w:pPr>
      <w:r>
        <w:rPr>
          <w:color w:val="000000"/>
          <w:sz w:val="22"/>
          <w:szCs w:val="22"/>
          <w:b/>
          <w:bCs/>
        </w:rPr>
        <w:t xml:space="preserve">Artículo 17. Comunicación de la oferta.</w:t>
      </w:r>
      <w:r>
        <w:rPr>
          <w:color w:val="000000"/>
          <w:sz w:val="22"/>
          <w:szCs w:val="22"/>
        </w:rPr>
        <w:t xml:space="preserve"> El representante legal comunicará la oferta dentro de {{emision.dias_comunicacion}} días hábiles desde la aprobación del reglamento, por los medios estatutarios de convocatoria, dejando constancia de su envío y recepción cuando sea exigible.</w:t>
      </w:r>
    </w:p>
    <w:p>
      <w:pPr>
        <w:pBdr>
          <w:top w:val="nil"/>
          <w:left w:val="nil"/>
          <w:bottom w:val="nil"/>
          <w:right w:val="nil"/>
          <w:between w:val="nil"/>
        </w:pBdr>
        <w:rPr>
          <w:color w:val="000000"/>
          <w:sz w:val="22"/>
          <w:szCs w:val="22"/>
        </w:rPr>
      </w:pPr>
      <w:r>
        <w:rPr>
          <w:color w:val="000000"/>
          <w:sz w:val="22"/>
          <w:szCs w:val="22"/>
          <w:b/>
          <w:bCs/>
        </w:rPr>
        <w:t xml:space="preserve">Artículo 18. Preferencia en la suscripción.</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opciones.preferencia_suscripcion]]</w:t>
      </w:r>
    </w:p>
    <w:p>
      <w:pPr>
        <w:pBdr>
          <w:top w:val="nil"/>
          <w:left w:val="nil"/>
          <w:bottom w:val="nil"/>
          <w:right w:val="nil"/>
          <w:between w:val="nil"/>
        </w:pBdr>
        <w:rPr>
          <w:color w:val="000000"/>
          <w:sz w:val="22"/>
          <w:szCs w:val="22"/>
        </w:rPr>
      </w:pPr>
      <w:r>
        <w:rPr>
          <w:color w:val="000000"/>
          <w:sz w:val="22"/>
          <w:szCs w:val="22"/>
        </w:rPr>
        <w:t xml:space="preserve">(ALTERNATIVA A — INCLUIR SI SE ELIGE: PREFERENCIA SUSCRIPCION.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Los accionistas tendrán preferencia conforme al siguiente orden: {{preferencia_suscripcion.orden}}. En cada turno participarán proporcionalmente a las acciones que cada beneficiario posea dentro del grupo llamado a suscribir; las no suscritas pasarán al turno siguiente. Los grupos inexistentes se omitirán. El procedimiento de aceptación, acrecimiento y adjudicación de remanentes será: {{preferencia_suscripcion.procedimiento}}.</w:t>
      </w:r>
    </w:p>
    <w:p>
      <w:pPr>
        <w:pBdr>
          <w:top w:val="nil"/>
          <w:left w:val="nil"/>
          <w:bottom w:val="nil"/>
          <w:right w:val="nil"/>
          <w:between w:val="nil"/>
        </w:pBdr>
        <w:rPr>
          <w:color w:val="000000"/>
          <w:sz w:val="22"/>
          <w:szCs w:val="22"/>
        </w:rPr>
      </w:pPr>
      <w:r>
        <w:rPr>
          <w:color w:val="000000"/>
          <w:sz w:val="22"/>
          <w:szCs w:val="22"/>
        </w:rPr>
        <w:t xml:space="preserve">Una emisión podrá colocarse sin preferencia mediante {{mayorias.exclusion_preferencia_suscripcion}}, respetando las protecciones de clase. Estas reglas se aplicarán a la recolocación de acciones propias cuando corresponda.</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opciones.sin_preferencia_suscripcion]]</w:t>
      </w:r>
    </w:p>
    <w:p>
      <w:pPr>
        <w:pBdr>
          <w:top w:val="nil"/>
          <w:left w:val="nil"/>
          <w:bottom w:val="nil"/>
          <w:right w:val="nil"/>
          <w:between w:val="nil"/>
        </w:pBdr>
        <w:rPr>
          <w:color w:val="000000"/>
          <w:sz w:val="22"/>
          <w:szCs w:val="22"/>
        </w:rPr>
      </w:pPr>
      <w:r>
        <w:rPr>
          <w:color w:val="000000"/>
          <w:sz w:val="22"/>
          <w:szCs w:val="22"/>
        </w:rPr>
        <w:t xml:space="preserve">(ALTERNATIVA B — NO INCLUIR: PREFERENCIA SUSCRIPCION.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No habrá derecho estatutario de preferencia en nuevas suscripciones ni en recolocaciones, sin perjuicio de los derechos de clase y las normas imperativas.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19. Negociación del derecho de suscripción.</w:t>
      </w:r>
      <w:r>
        <w:rPr>
          <w:color w:val="000000"/>
          <w:sz w:val="22"/>
          <w:szCs w:val="22"/>
        </w:rPr>
        <w:t xml:space="preserve"> Cuando exista preferencia, su negociabilidad y los destinatarios permitidos serán: {{preferencia_suscripcion.negociabilidad}}. La cesión se informará por escrito al representante legal, con identificación del cesionario y del número de derechos cedidos.</w:t>
      </w:r>
    </w:p>
    <w:p>
      <w:pPr>
        <w:pBdr>
          <w:top w:val="nil"/>
          <w:left w:val="nil"/>
          <w:bottom w:val="nil"/>
          <w:right w:val="nil"/>
          <w:between w:val="nil"/>
        </w:pBdr>
        <w:rPr>
          <w:color w:val="000000"/>
          <w:sz w:val="22"/>
          <w:szCs w:val="22"/>
        </w:rPr>
      </w:pPr>
      <w:r>
        <w:rPr>
          <w:color w:val="000000"/>
          <w:sz w:val="22"/>
          <w:szCs w:val="22"/>
          <w:b/>
          <w:bCs/>
        </w:rPr>
        <w:t xml:space="preserve">Artículo 20. Preferencia en la transferencia.</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opciones.preferencia_transferencia]]</w:t>
      </w:r>
    </w:p>
    <w:p>
      <w:pPr>
        <w:pBdr>
          <w:top w:val="nil"/>
          <w:left w:val="nil"/>
          <w:bottom w:val="nil"/>
          <w:right w:val="nil"/>
          <w:between w:val="nil"/>
        </w:pBdr>
        <w:rPr>
          <w:color w:val="000000"/>
          <w:sz w:val="22"/>
          <w:szCs w:val="22"/>
        </w:rPr>
      </w:pPr>
      <w:r>
        <w:rPr>
          <w:color w:val="000000"/>
          <w:sz w:val="22"/>
          <w:szCs w:val="22"/>
        </w:rPr>
        <w:t xml:space="preserve">(ALTERNATIVA A — INCLUIR SI SE ELIGE: PREFERENCIA TRANSFERENCIA.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 transferencia voluntaria de acciones estará sujeta al siguiente orden de preferencia: {{preferencia_transferencia.orden}}. Los eventos incluidos serán {{preferencia_transferencia.eventos}} y las excepciones serán {{preferencia_transferencia.excepciones}}.</w:t>
      </w:r>
    </w:p>
    <w:p>
      <w:pPr>
        <w:pBdr>
          <w:top w:val="nil"/>
          <w:left w:val="nil"/>
          <w:bottom w:val="nil"/>
          <w:right w:val="nil"/>
          <w:between w:val="nil"/>
        </w:pBdr>
        <w:rPr>
          <w:color w:val="000000"/>
          <w:sz w:val="22"/>
          <w:szCs w:val="22"/>
        </w:rPr>
      </w:pPr>
      <w:r>
        <w:rPr>
          <w:color w:val="000000"/>
          <w:sz w:val="22"/>
          <w:szCs w:val="22"/>
        </w:rPr>
        <w:t xml:space="preserve">El oferente comunicará al representante legal la clase y cantidad de acciones, adquirente proyectado si lo hay, precio, forma de pago y restantes condiciones. En actos gratuitos o con contraprestación distinta de dinero se aplicará la siguiente equivalencia y valoración: {{preferencia_transferencia.equivalencia_actos_no_dinerarios}}.</w:t>
      </w:r>
    </w:p>
    <w:p>
      <w:pPr>
        <w:pBdr>
          <w:top w:val="nil"/>
          <w:left w:val="nil"/>
          <w:bottom w:val="nil"/>
          <w:right w:val="nil"/>
          <w:between w:val="nil"/>
        </w:pBdr>
        <w:rPr>
          <w:color w:val="000000"/>
          <w:sz w:val="22"/>
          <w:szCs w:val="22"/>
        </w:rPr>
      </w:pPr>
      <w:r>
        <w:rPr>
          <w:color w:val="000000"/>
          <w:sz w:val="22"/>
          <w:szCs w:val="22"/>
        </w:rPr>
        <w:t xml:space="preserve">El representante legal trasladará la oferta a cada turno dentro de {{preferencia_transferencia.dias_traslado}} días hábiles. Cada turno dispondrá de {{preferencia_transferencia.dias_aceptacion}} días hábiles para aceptar. El silencio significará rechazo. La distribución dentro del turno será proporcional a las acciones de los aceptantes en ese grupo; los remanentes se ofrecerán a quienes aceptaron durante {{preferencia_transferencia.dias_acrecimiento}} días hábiles, antes de avanzar al siguiente turno. Se omitirán grupos sin beneficiarios y el oferente no participará como adquirente preferente de sus propias acciones.</w:t>
      </w:r>
    </w:p>
    <w:p>
      <w:pPr>
        <w:pBdr>
          <w:top w:val="nil"/>
          <w:left w:val="nil"/>
          <w:bottom w:val="nil"/>
          <w:right w:val="nil"/>
          <w:between w:val="nil"/>
        </w:pBdr>
        <w:rPr>
          <w:color w:val="000000"/>
          <w:sz w:val="22"/>
          <w:szCs w:val="22"/>
        </w:rPr>
      </w:pPr>
      <w:r>
        <w:rPr>
          <w:color w:val="000000"/>
          <w:sz w:val="22"/>
          <w:szCs w:val="22"/>
        </w:rPr>
        <w:t xml:space="preserve">Si la sociedad participa como adquirente, solo podrá aceptar cuando cumpla los requisitos de readquisición. Agotados los turnos, la transferencia al tercero permitido podrá realizarse dentro de {{preferencia_transferencia.dias_venta_tercero}} días calendario, en condiciones que no sean más favorables que las ofrecidas. Vencido el plazo o mejoradas las condiciones, se repetirá el procedimiento.</w:t>
      </w:r>
    </w:p>
    <w:p>
      <w:pPr>
        <w:pBdr>
          <w:top w:val="nil"/>
          <w:left w:val="nil"/>
          <w:bottom w:val="nil"/>
          <w:right w:val="nil"/>
          <w:between w:val="nil"/>
        </w:pBdr>
        <w:rPr>
          <w:color w:val="000000"/>
          <w:sz w:val="22"/>
          <w:szCs w:val="22"/>
        </w:rPr>
      </w:pPr>
      <w:r>
        <w:rPr>
          <w:color w:val="000000"/>
          <w:sz w:val="22"/>
          <w:szCs w:val="22"/>
        </w:rPr>
        <w:t xml:space="preserve">La dispensa para una operación concreta requerirá {{mayorias.dispensa_preferencia_transferencia}} y no removerá otras restricciones aplicables.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opciones.sin_preferencia_transferencia]]</w:t>
      </w:r>
    </w:p>
    <w:p>
      <w:pPr>
        <w:pBdr>
          <w:top w:val="nil"/>
          <w:left w:val="nil"/>
          <w:bottom w:val="nil"/>
          <w:right w:val="nil"/>
          <w:between w:val="nil"/>
        </w:pBdr>
        <w:rPr>
          <w:color w:val="000000"/>
          <w:sz w:val="22"/>
          <w:szCs w:val="22"/>
        </w:rPr>
      </w:pPr>
      <w:r>
        <w:rPr>
          <w:color w:val="000000"/>
          <w:sz w:val="22"/>
          <w:szCs w:val="22"/>
        </w:rPr>
        <w:t xml:space="preserve">(ALTERNATIVA B — NO INCLUIR: PREFERENCIA TRANSFERENCIA.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No existirá derecho estatutario de preferencia en la transferencia, sin perjuicio de las demás restricciones expresamente pactadas.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21. Readquisición.</w:t>
      </w:r>
      <w:r>
        <w:rPr>
          <w:color w:val="000000"/>
          <w:sz w:val="22"/>
          <w:szCs w:val="22"/>
        </w:rPr>
        <w:t xml:space="preserve"> La sociedad podrá readquirir acciones íntegramente pagadas, con fondos provenientes de utilidades líquidas y previa aprobación mediante {{mayorias.readquisicion}}, sin reducir las exigencias legales aplicables. Los derechos de las acciones readquiridas quedarán suspendidos mientras pertenezcan a la sociedad. Su posterior destino será decidido por la asamblea con sujeción a la ley.</w:t>
      </w:r>
    </w:p>
    <w:p>
      <w:pPr>
        <w:pBdr>
          <w:top w:val="nil"/>
          <w:left w:val="nil"/>
          <w:bottom w:val="nil"/>
          <w:right w:val="nil"/>
          <w:between w:val="nil"/>
        </w:pBdr>
        <w:rPr>
          <w:color w:val="000000"/>
          <w:sz w:val="22"/>
          <w:szCs w:val="22"/>
        </w:rPr>
      </w:pPr>
      <w:r>
        <w:rPr>
          <w:color w:val="000000"/>
          <w:sz w:val="22"/>
          <w:szCs w:val="22"/>
          <w:b/>
          <w:bCs/>
        </w:rPr>
        <w:t xml:space="preserve">Artículo 22. Negociación de acciones nominativas.</w:t>
      </w:r>
      <w:r>
        <w:rPr>
          <w:color w:val="000000"/>
          <w:sz w:val="22"/>
          <w:szCs w:val="22"/>
        </w:rPr>
        <w:t xml:space="preserve"> La enajenación de las acciones nominativas podrá hacerse por el simple acuerdo de las partes; más para que produzca efecto respecto de la sociedad y de terceros, será necesaria su inscripción en el libro de registro de acciones, mediante orden escrita del enajenante. Esta orden podrá darse en forma de endoso hecho sobre el título respectivo. Para hacer la nueva inscripción y expedir el título al adquirente, será menester la previa cancelación de los títulos expedidos al tradente. En las ventas forzadas y en las adjudicaciones judiciales de acciones nominativas, el registro se hará mediante exhibición del original o de copia auténtica de los documentos pertinentes.</w:t>
      </w:r>
    </w:p>
    <w:p>
      <w:pPr>
        <w:pBdr>
          <w:top w:val="nil"/>
          <w:left w:val="nil"/>
          <w:bottom w:val="nil"/>
          <w:right w:val="nil"/>
          <w:between w:val="nil"/>
        </w:pBdr>
        <w:rPr>
          <w:color w:val="000000"/>
          <w:sz w:val="22"/>
          <w:szCs w:val="22"/>
        </w:rPr>
      </w:pPr>
      <w:r>
        <w:rPr>
          <w:color w:val="000000"/>
          <w:sz w:val="22"/>
          <w:szCs w:val="22"/>
          <w:b/>
          <w:bCs/>
        </w:rPr>
        <w:t xml:space="preserve">Artículo 23. Acuerdos entre accionistas.</w:t>
      </w:r>
      <w:r>
        <w:rPr>
          <w:color w:val="000000"/>
          <w:sz w:val="22"/>
          <w:szCs w:val="22"/>
        </w:rPr>
        <w:t xml:space="preserve"> Los acuerdos de accionistas sobre cualquier asunto lícito deberán ser acatados por la sociedad siempre que los acuerdos consten por escrito y cuando hubieren sido depositados en cumplimiento de las disposiciones legales para el efecto, siempre que su término no fuere superior a diez (10) años, prorrogables por voluntad unánime de sus suscriptores por períodos que no superen los diez (10) años.</w:t>
      </w:r>
    </w:p>
    <w:p>
      <w:pPr>
        <w:pBdr>
          <w:top w:val="nil"/>
          <w:left w:val="nil"/>
          <w:bottom w:val="nil"/>
          <w:right w:val="nil"/>
          <w:between w:val="nil"/>
        </w:pBdr>
        <w:rPr>
          <w:color w:val="000000"/>
          <w:sz w:val="22"/>
          <w:szCs w:val="22"/>
        </w:rPr>
      </w:pPr>
      <w:r>
        <w:rPr>
          <w:color w:val="000000"/>
          <w:sz w:val="22"/>
          <w:szCs w:val="22"/>
        </w:rPr>
        <w:t xml:space="preserve">Parágrafo primero. En sede de la asamblea general de accionistas no se computará el voto proferido en contravención a un acuerdo de accionistas debidamente depositado.</w:t>
      </w:r>
    </w:p>
    <w:p>
      <w:pPr>
        <w:pBdr>
          <w:top w:val="nil"/>
          <w:left w:val="nil"/>
          <w:bottom w:val="nil"/>
          <w:right w:val="nil"/>
          <w:between w:val="nil"/>
        </w:pBdr>
        <w:rPr>
          <w:color w:val="000000"/>
          <w:sz w:val="22"/>
          <w:szCs w:val="22"/>
        </w:rPr>
      </w:pPr>
      <w:r>
        <w:rPr>
          <w:color w:val="000000"/>
          <w:sz w:val="22"/>
          <w:szCs w:val="22"/>
        </w:rPr>
        <w:t xml:space="preserve">Parágrafo segundo. En las condiciones previstas en el acuerdo, los accionistas podrán promover ante la Superintendencia de Sociedades, la ejecución específica de las obligaciones pactadas en los acuerdos.</w:t>
      </w:r>
    </w:p>
    <w:p w14:paraId="728B08A7" w14:textId="77777777" w:rsidR="00576A5F" w:rsidRDefault="00000000">
      <w:pPr>
        <w:pStyle w:val="Ttulo2"/>
        <w:jc w:val="center"/>
        <w:rPr>
          <w:sz w:val="22"/>
          <w:szCs w:val="22"/>
        </w:rPr>
      </w:pPr>
      <w:bookmarkStart w:id="1" w:name="bookmark=id.6wvkjwnm8eei" w:colFirst="0" w:colLast="0"/>
      <w:bookmarkEnd w:id="1"/>
      <w:r>
        <w:rPr>
          <w:sz w:val="22"/>
          <w:szCs w:val="22"/>
        </w:rPr>
        <w:t>CAPÍTULO III - DIRECCIÓN Y ADMINISTRACIÓN DE LA SOCIEDAD</w:t>
      </w:r>
    </w:p>
    <w:p>
      <w:pPr>
        <w:pBdr>
          <w:top w:val="nil"/>
          <w:left w:val="nil"/>
          <w:bottom w:val="nil"/>
          <w:right w:val="nil"/>
          <w:between w:val="nil"/>
        </w:pBdr>
        <w:rPr>
          <w:color w:val="000000"/>
          <w:sz w:val="22"/>
          <w:szCs w:val="22"/>
        </w:rPr>
      </w:pPr>
      <w:r>
        <w:rPr>
          <w:color w:val="000000"/>
          <w:sz w:val="22"/>
          <w:szCs w:val="22"/>
          <w:b/>
          <w:bCs/>
        </w:rPr>
        <w:t xml:space="preserve">Artículo 24. Órganos sociales y gobierno familiar.</w:t>
      </w:r>
      <w:r>
        <w:rPr>
          <w:color w:val="000000"/>
          <w:sz w:val="22"/>
          <w:szCs w:val="22"/>
        </w:rPr>
        <w:t xml:space="preserve"> La sociedad tendrá asamblea de accionistas y representante legal. El accionista único ejercerá las funciones de la asamblea mientras exista un único titular.</w:t>
      </w:r>
    </w:p>
    <w:p>
      <w:pPr>
        <w:pBdr>
          <w:top w:val="nil"/>
          <w:left w:val="nil"/>
          <w:bottom w:val="nil"/>
          <w:right w:val="nil"/>
          <w:between w:val="nil"/>
        </w:pBdr>
        <w:rPr>
          <w:color w:val="000000"/>
          <w:sz w:val="22"/>
          <w:szCs w:val="22"/>
        </w:rPr>
      </w:pPr>
      <w:r>
        <w:rPr>
          <w:color w:val="000000"/>
          <w:sz w:val="22"/>
          <w:szCs w:val="22"/>
        </w:rPr>
        <w:t xml:space="preserve">[[SI opciones.junta_directiva]]</w:t>
      </w:r>
    </w:p>
    <w:p>
      <w:pPr>
        <w:pBdr>
          <w:top w:val="nil"/>
          <w:left w:val="nil"/>
          <w:bottom w:val="nil"/>
          <w:right w:val="nil"/>
          <w:between w:val="nil"/>
        </w:pBdr>
        <w:rPr>
          <w:color w:val="000000"/>
          <w:sz w:val="22"/>
          <w:szCs w:val="22"/>
        </w:rPr>
      </w:pPr>
      <w:r>
        <w:rPr>
          <w:color w:val="000000"/>
          <w:sz w:val="22"/>
          <w:szCs w:val="22"/>
        </w:rPr>
        <w:t xml:space="preserve">(ALTERNATIVA A — INCLUIR SI SE ELIGE: JUNTA DIRECTIVA.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Existirá junta directiva integrada por {{junta.numero_principales}} miembros principales y {{junta.regimen_suplencias}}, elegidos por {{junta.sistema_eleccion}} para períodos de {{junta.periodo}}. Sus funciones serán {{junta.funciones}}. Será convocada por {{junta.convocante}}, con {{junta.dias_convocatoria}} días hábiles de anticipación, por {{junta.medio_convocatoria}}. Deliberará con {{junta.quorum}} y decidirá por {{junta.mayoria}}. Su régimen de sesiones, actas, reemplazos y desempates será {{junta.reglas_funcionamiento}}.</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opciones.consejo_familia]]</w:t>
      </w:r>
    </w:p>
    <w:p>
      <w:pPr>
        <w:pBdr>
          <w:top w:val="nil"/>
          <w:left w:val="nil"/>
          <w:bottom w:val="nil"/>
          <w:right w:val="nil"/>
          <w:between w:val="nil"/>
        </w:pBdr>
        <w:rPr>
          <w:color w:val="000000"/>
          <w:sz w:val="22"/>
          <w:szCs w:val="22"/>
        </w:rPr>
      </w:pPr>
      <w:r>
        <w:rPr>
          <w:color w:val="000000"/>
          <w:sz w:val="22"/>
          <w:szCs w:val="22"/>
        </w:rPr>
        <w:t xml:space="preserve">(ALTERNATIVA A — INCLUIR SI SE ELIGE: CONSEJO FAMILIA.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Existirá un consejo de familia consultivo, integrado conforme a {{familia.integracion_consejo}}, para períodos de {{familia.periodo_consejo}}. Sus reglas de convocatoria, reuniones, decisiones y reemplazos serán {{familia.funcionamiento_consejo}} y sus funciones {{familia.funciones_consejo}}. Sus recomendaciones no sustituirán las decisiones de los órganos sociales ni conferirán representación legal.</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Para las cláusulas que remitan al grupo familiar, este comprenderá {{familia.definicion_grupo}}. Esa definición no altera el parentesco legal, la vocación hereditaria ni los derechos de cónyuges, compañeros permanentes, acreedores u otros terceros.</w:t>
      </w:r>
    </w:p>
    <w:p w14:paraId="5508612E" w14:textId="77777777" w:rsidR="00576A5F" w:rsidRDefault="00000000">
      <w:pPr>
        <w:pStyle w:val="Ttulo2"/>
        <w:jc w:val="center"/>
        <w:rPr>
          <w:sz w:val="22"/>
          <w:szCs w:val="22"/>
        </w:rPr>
      </w:pPr>
      <w:bookmarkStart w:id="2" w:name="bookmark=id.oes1lxim7twm" w:colFirst="0" w:colLast="0"/>
      <w:bookmarkEnd w:id="2"/>
      <w:r>
        <w:rPr>
          <w:sz w:val="22"/>
          <w:szCs w:val="22"/>
        </w:rPr>
        <w:t>CAPÍTULO IV - ASAMBLEA GENERAL DE ACCIONISTAS</w:t>
      </w:r>
    </w:p>
    <w:p>
      <w:pPr>
        <w:pBdr>
          <w:top w:val="nil"/>
          <w:left w:val="nil"/>
          <w:bottom w:val="nil"/>
          <w:right w:val="nil"/>
          <w:between w:val="nil"/>
        </w:pBdr>
        <w:rPr>
          <w:color w:val="000000"/>
          <w:sz w:val="22"/>
          <w:szCs w:val="22"/>
        </w:rPr>
      </w:pPr>
      <w:r>
        <w:rPr>
          <w:color w:val="000000"/>
          <w:sz w:val="22"/>
          <w:szCs w:val="22"/>
          <w:b/>
          <w:bCs/>
        </w:rPr>
        <w:t xml:space="preserve">Artículo 25. Composición de la asamblea general de accionistas.</w:t>
      </w:r>
      <w:r>
        <w:rPr>
          <w:color w:val="000000"/>
          <w:sz w:val="22"/>
          <w:szCs w:val="22"/>
        </w:rPr>
        <w:t xml:space="preserve"> La asamblea general de accionistas estará conformada por todos los accionistas inscritos en el libro de registro de accionistas, reunidos conforme a las prescripciones de los presentes estatutos y de la Ley.</w:t>
      </w:r>
    </w:p>
    <w:p>
      <w:pPr>
        <w:pBdr>
          <w:top w:val="nil"/>
          <w:left w:val="nil"/>
          <w:bottom w:val="nil"/>
          <w:right w:val="nil"/>
          <w:between w:val="nil"/>
        </w:pBdr>
        <w:rPr>
          <w:color w:val="000000"/>
          <w:sz w:val="22"/>
          <w:szCs w:val="22"/>
        </w:rPr>
      </w:pPr>
      <w:r>
        <w:rPr>
          <w:color w:val="000000"/>
          <w:sz w:val="22"/>
          <w:szCs w:val="22"/>
          <w:b/>
          <w:bCs/>
        </w:rPr>
        <w:t xml:space="preserve">Artículo 26. Funciones de la asamblea.</w:t>
      </w:r>
      <w:r>
        <w:rPr>
          <w:color w:val="000000"/>
          <w:sz w:val="22"/>
          <w:szCs w:val="22"/>
        </w:rPr>
        <w:t xml:space="preserve"> Corresponde a la asamblea examinar y aprobar las cuentas, estados financieros e informes; decidir sobre utilidades y reservas; elegir y remover al representante legal y sus suplentes, a los miembros de junta si existe y al revisor fiscal cuando corresponda; fijar sus remuneraciones; aprobar emisiones y reglamentos; reformar los estatutos; decidir sobre reorganizaciones, enajenación global de activos, disolución y liquidación; autorizar operaciones reservadas a su competencia; conocer los conflictos de interés conforme a la ley; decidir sobre la acción social de responsabilidad; y ejercer las demás funciones legales y estatutarias.</w:t>
      </w:r>
    </w:p>
    <w:p>
      <w:pPr>
        <w:pBdr>
          <w:top w:val="nil"/>
          <w:left w:val="nil"/>
          <w:bottom w:val="nil"/>
          <w:right w:val="nil"/>
          <w:between w:val="nil"/>
        </w:pBdr>
        <w:rPr>
          <w:color w:val="000000"/>
          <w:sz w:val="22"/>
          <w:szCs w:val="22"/>
        </w:rPr>
      </w:pPr>
      <w:r>
        <w:rPr>
          <w:color w:val="000000"/>
          <w:sz w:val="22"/>
          <w:szCs w:val="22"/>
        </w:rPr>
        <w:t xml:space="preserve">Cada determinación se sujetará a su mayoría aplicable y a las protecciones especiales. Las funciones legalmente indelegables no podrán delegarse.</w:t>
      </w:r>
    </w:p>
    <w:p>
      <w:pPr>
        <w:pBdr>
          <w:top w:val="nil"/>
          <w:left w:val="nil"/>
          <w:bottom w:val="nil"/>
          <w:right w:val="nil"/>
          <w:between w:val="nil"/>
        </w:pBdr>
        <w:rPr>
          <w:color w:val="000000"/>
          <w:sz w:val="22"/>
          <w:szCs w:val="22"/>
        </w:rPr>
      </w:pPr>
      <w:r>
        <w:rPr>
          <w:color w:val="000000"/>
          <w:sz w:val="22"/>
          <w:szCs w:val="22"/>
          <w:b/>
          <w:bCs/>
        </w:rPr>
        <w:t xml:space="preserve">Artículo 27. Lugar de las reuniones de la asamblea general de accionistas.</w:t>
      </w:r>
      <w:r>
        <w:rPr>
          <w:color w:val="000000"/>
          <w:sz w:val="22"/>
          <w:szCs w:val="22"/>
        </w:rPr>
        <w:t xml:space="preserve"> La asamblea general de accionistas se reunirá en el domicilio principal de la Sociedad o en el sitio, día y hora que se indique en la respectiva convocatoria y se cumplan con las disposiciones estatutarias que regulan el quórum. Sin embargo, la asamblea general de accionistas podrá reunirse y decidir válidamente sin previa convocatoria y en el domicilio social, o en un sitio diferente, cuando se encuentren presentes o representadas la totalidad de las acciones suscritas de la sociedad.</w:t>
      </w:r>
    </w:p>
    <w:p>
      <w:pPr>
        <w:pBdr>
          <w:top w:val="nil"/>
          <w:left w:val="nil"/>
          <w:bottom w:val="nil"/>
          <w:right w:val="nil"/>
          <w:between w:val="nil"/>
        </w:pBdr>
        <w:rPr>
          <w:color w:val="000000"/>
          <w:sz w:val="22"/>
          <w:szCs w:val="22"/>
        </w:rPr>
      </w:pPr>
      <w:r>
        <w:rPr>
          <w:color w:val="000000"/>
          <w:sz w:val="22"/>
          <w:szCs w:val="22"/>
          <w:b/>
          <w:bCs/>
        </w:rPr>
        <w:t xml:space="preserve">Artículo 28. Representación de los accionistas.</w:t>
      </w:r>
      <w:r>
        <w:rPr>
          <w:color w:val="000000"/>
          <w:sz w:val="22"/>
          <w:szCs w:val="22"/>
        </w:rPr>
        <w:t xml:space="preserve"> Todo accionista podrá hacerse representar en las reuniones de la asamblea general de accionistas mediante poder otorgado por escrito, en el que se indique el nombre del apoderado y si éste está autorizado para hacerse sustituir, además de la fecha o época de la reunión o reuniones para las que se confiere y los demás requisitos que la Ley establece para el efecto. Los poderes otorgados en el exterior sólo requerirán las formalidades aquí previstas.</w:t>
      </w:r>
    </w:p>
    <w:p>
      <w:pPr>
        <w:pBdr>
          <w:top w:val="nil"/>
          <w:left w:val="nil"/>
          <w:bottom w:val="nil"/>
          <w:right w:val="nil"/>
          <w:between w:val="nil"/>
        </w:pBdr>
        <w:rPr>
          <w:color w:val="000000"/>
          <w:sz w:val="22"/>
          <w:szCs w:val="22"/>
        </w:rPr>
      </w:pPr>
      <w:r>
        <w:rPr>
          <w:color w:val="000000"/>
          <w:sz w:val="22"/>
          <w:szCs w:val="22"/>
          <w:b/>
          <w:bCs/>
        </w:rPr>
        <w:t xml:space="preserve">Artículo 29. Quórum deliberatorio.</w:t>
      </w:r>
      <w:r>
        <w:rPr>
          <w:color w:val="000000"/>
          <w:sz w:val="22"/>
          <w:szCs w:val="22"/>
        </w:rPr>
        <w:t xml:space="preserve"> Salvo reglas legales o estatutarias especiales, la asamblea deliberará con accionistas que representen {{asamblea.quorum_porcentaje}} % de las acciones suscritas computables para la deliberación. Para contar acciones se atenderá al derecho de participación de cada clase y a las suspensiones legales; el voto múltiple no multiplicará el número de acciones. Las actas registrarán separadamente acciones representadas y votos disponibles.</w:t>
      </w:r>
    </w:p>
    <w:p>
      <w:pPr>
        <w:pBdr>
          <w:top w:val="nil"/>
          <w:left w:val="nil"/>
          <w:bottom w:val="nil"/>
          <w:right w:val="nil"/>
          <w:between w:val="nil"/>
        </w:pBdr>
        <w:rPr>
          <w:color w:val="000000"/>
          <w:sz w:val="22"/>
          <w:szCs w:val="22"/>
        </w:rPr>
      </w:pPr>
      <w:r>
        <w:rPr>
          <w:color w:val="000000"/>
          <w:sz w:val="22"/>
          <w:szCs w:val="22"/>
          <w:b/>
          <w:bCs/>
        </w:rPr>
        <w:t xml:space="preserve">Artículo 30. Mayoría ordinaria.</w:t>
      </w:r>
      <w:r>
        <w:rPr>
          <w:color w:val="000000"/>
          <w:sz w:val="22"/>
          <w:szCs w:val="22"/>
        </w:rPr>
        <w:t xml:space="preserve"> Las decisiones ordinarias requerirán votos favorables que {{asamblea.operador_mayoria}} {{asamblea.mayoria_porcentaje}} % de los votos válidamente representados y habilitados para el asunto. Cada acción se computará con el número de votos de su clase. Se respetarán las exclusiones legales del voto y las mayorías o consentimientos imperativos, que no podrán reemplazarse por una suma de votos múltiples.</w:t>
      </w:r>
    </w:p>
    <w:p>
      <w:pPr>
        <w:pBdr>
          <w:top w:val="nil"/>
          <w:left w:val="nil"/>
          <w:bottom w:val="nil"/>
          <w:right w:val="nil"/>
          <w:between w:val="nil"/>
        </w:pBdr>
        <w:rPr>
          <w:color w:val="000000"/>
          <w:sz w:val="22"/>
          <w:szCs w:val="22"/>
        </w:rPr>
      </w:pPr>
      <w:r>
        <w:rPr>
          <w:color w:val="000000"/>
          <w:sz w:val="22"/>
          <w:szCs w:val="22"/>
          <w:b/>
          <w:bCs/>
        </w:rPr>
        <w:t xml:space="preserve">Artículo 31. Decisiones reservadas y protecciones de clase.</w:t>
      </w:r>
      <w:r>
        <w:rPr>
          <w:color w:val="000000"/>
          <w:sz w:val="22"/>
          <w:szCs w:val="22"/>
        </w:rPr>
        <w:t xml:space="preserve"> Además de la mayoría general o legal aplicable, las siguientes decisiones requerirán las aprobaciones adicionales indicadas:</w:t>
      </w:r>
    </w:p>
    <w:p>
      <w:pPr>
        <w:pBdr>
          <w:top w:val="nil"/>
          <w:left w:val="nil"/>
          <w:bottom w:val="nil"/>
          <w:right w:val="nil"/>
          <w:between w:val="nil"/>
        </w:pBdr>
        <w:rPr>
          <w:color w:val="000000"/>
          <w:sz w:val="22"/>
          <w:szCs w:val="22"/>
        </w:rPr>
      </w:pPr>
      <w:r>
        <w:rPr>
          <w:color w:val="000000"/>
          <w:sz w:val="22"/>
          <w:szCs w:val="22"/>
        </w:rPr>
        <w:t xml:space="preserve">[[REPETIR decisiones_reservadas COMO decision]]</w:t>
      </w:r>
    </w:p>
    <w:p>
      <w:pPr>
        <w:pBdr>
          <w:top w:val="nil"/>
          <w:left w:val="nil"/>
          <w:bottom w:val="nil"/>
          <w:right w:val="nil"/>
          <w:between w:val="nil"/>
        </w:pBdr>
        <w:rPr>
          <w:color w:val="000000"/>
          <w:sz w:val="22"/>
          <w:szCs w:val="22"/>
        </w:rPr>
      </w:pPr>
      <w:r>
        <w:rPr>
          <w:color w:val="000000"/>
          <w:sz w:val="22"/>
          <w:szCs w:val="22"/>
        </w:rPr>
        <w:t xml:space="preserve">Materia: {{decision.materia}}. Clases protegidas: {{decision.clases}}. Aprobación adicional: {{decision.aprobacion}}. Si no existen acciones en circulación de las clases protegidas, se aplicará: {{decision.regla_sin_clase}}.</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Ninguna regla de este artículo dispensará de una unanimidad legal. Las aprobaciones adicionales se entenderán acumulativas, salvo disposición expresa válida que establezca otra relación.</w:t>
      </w:r>
    </w:p>
    <w:p>
      <w:pPr>
        <w:pBdr>
          <w:top w:val="nil"/>
          <w:left w:val="nil"/>
          <w:bottom w:val="nil"/>
          <w:right w:val="nil"/>
          <w:between w:val="nil"/>
        </w:pBdr>
        <w:rPr>
          <w:color w:val="000000"/>
          <w:sz w:val="22"/>
          <w:szCs w:val="22"/>
        </w:rPr>
      </w:pPr>
      <w:r>
        <w:rPr>
          <w:color w:val="000000"/>
          <w:sz w:val="22"/>
          <w:szCs w:val="22"/>
          <w:b/>
          <w:bCs/>
        </w:rPr>
        <w:t xml:space="preserve">Artículo 32. Fraccionamiento del voto.</w:t>
      </w:r>
      <w:r>
        <w:rPr>
          <w:color w:val="000000"/>
          <w:sz w:val="22"/>
          <w:szCs w:val="22"/>
        </w:rPr>
        <w:t xml:space="preserve"> Para la elección de juntas directivas y otros cuerpos colegiados se permitirá el fraccionamiento previsto por la ley. En los demás asuntos se aplicará {{asamblea.regla_fraccionamiento}} sin desconocer las reglas de representación y legitimación aplicables.</w:t>
      </w:r>
    </w:p>
    <w:p>
      <w:pPr>
        <w:pBdr>
          <w:top w:val="nil"/>
          <w:left w:val="nil"/>
          <w:bottom w:val="nil"/>
          <w:right w:val="nil"/>
          <w:between w:val="nil"/>
        </w:pBdr>
        <w:rPr>
          <w:color w:val="000000"/>
          <w:sz w:val="22"/>
          <w:szCs w:val="22"/>
        </w:rPr>
      </w:pPr>
      <w:r>
        <w:rPr>
          <w:color w:val="000000"/>
          <w:sz w:val="22"/>
          <w:szCs w:val="22"/>
          <w:b/>
          <w:bCs/>
        </w:rPr>
        <w:t xml:space="preserve">Artículo 33. Reuniones ordinarias y extraordinarias.</w:t>
      </w:r>
      <w:r>
        <w:rPr>
          <w:color w:val="000000"/>
          <w:sz w:val="22"/>
          <w:szCs w:val="22"/>
        </w:rPr>
        <w:t xml:space="preserve"> La reunión ordinaria se realizará anualmente dentro de {{asamblea.plazo_reunion_ordinaria}}, para examinar la situación social, las cuentas, la gestión, los estados financieros, las utilidades y los demás asuntos de su competencia.</w:t>
      </w:r>
    </w:p>
    <w:p>
      <w:pPr>
        <w:pBdr>
          <w:top w:val="nil"/>
          <w:left w:val="nil"/>
          <w:bottom w:val="nil"/>
          <w:right w:val="nil"/>
          <w:between w:val="nil"/>
        </w:pBdr>
        <w:rPr>
          <w:color w:val="000000"/>
          <w:sz w:val="22"/>
          <w:szCs w:val="22"/>
        </w:rPr>
      </w:pPr>
      <w:r>
        <w:rPr>
          <w:color w:val="000000"/>
          <w:sz w:val="22"/>
          <w:szCs w:val="22"/>
        </w:rPr>
        <w:t xml:space="preserve">Se celebrarán reuniones extraordinarias cuando lo exijan las necesidades sociales, por convocatoria de quienes estén facultados. Se atenderán las solicitudes de convocatoria de accionistas que representen al menos {{asamblea.porcentaje_solicitud_convocatoria}} % del capital, sin limitar el derecho que reconozcan las normas imperativas a un porcentaje menor.</w:t>
      </w:r>
    </w:p>
    <w:p>
      <w:pPr>
        <w:pBdr>
          <w:top w:val="nil"/>
          <w:left w:val="nil"/>
          <w:bottom w:val="nil"/>
          <w:right w:val="nil"/>
          <w:between w:val="nil"/>
        </w:pBdr>
        <w:rPr>
          <w:color w:val="000000"/>
          <w:sz w:val="22"/>
          <w:szCs w:val="22"/>
        </w:rPr>
      </w:pPr>
      <w:r>
        <w:rPr>
          <w:color w:val="000000"/>
          <w:sz w:val="22"/>
          <w:szCs w:val="22"/>
          <w:b/>
          <w:bCs/>
        </w:rPr>
        <w:t xml:space="preserve">Artículo 34. Convocatoria.</w:t>
      </w:r>
      <w:r>
        <w:rPr>
          <w:color w:val="000000"/>
          <w:sz w:val="22"/>
          <w:szCs w:val="22"/>
        </w:rPr>
        <w:t xml:space="preserve"> El representante legal y los demás legitimados convocarán mediante {{asamblea.medios_convocatoria}}, a los datos registrados por cada accionista. La antelación será de {{asamblea.dias_convocatoria}} días hábiles, sin contar el día de envío ni el de la reunión y respetando los mínimos legales.</w:t>
      </w:r>
    </w:p>
    <w:p>
      <w:pPr>
        <w:pBdr>
          <w:top w:val="nil"/>
          <w:left w:val="nil"/>
          <w:bottom w:val="nil"/>
          <w:right w:val="nil"/>
          <w:between w:val="nil"/>
        </w:pBdr>
        <w:rPr>
          <w:color w:val="000000"/>
          <w:sz w:val="22"/>
          <w:szCs w:val="22"/>
        </w:rPr>
      </w:pPr>
      <w:r>
        <w:rPr>
          <w:color w:val="000000"/>
          <w:sz w:val="22"/>
          <w:szCs w:val="22"/>
        </w:rPr>
        <w:t xml:space="preserve">La convocatoria indicará fecha, hora, lugar o medio de conexión y orden del día. Cuando se estudien operaciones que den lugar a retiro, se advertirá expresamente esa posibilidad. La renuncia escrita a convocatoria y la asistencia sin objeción se regirán por el artículo 21 de la Ley 1258 de 2008.</w:t>
      </w:r>
    </w:p>
    <w:p>
      <w:pPr>
        <w:pBdr>
          <w:top w:val="nil"/>
          <w:left w:val="nil"/>
          <w:bottom w:val="nil"/>
          <w:right w:val="nil"/>
          <w:between w:val="nil"/>
        </w:pBdr>
        <w:rPr>
          <w:color w:val="000000"/>
          <w:sz w:val="22"/>
          <w:szCs w:val="22"/>
        </w:rPr>
      </w:pPr>
      <w:r>
        <w:rPr>
          <w:color w:val="000000"/>
          <w:sz w:val="22"/>
          <w:szCs w:val="22"/>
          <w:b/>
          <w:bCs/>
        </w:rPr>
        <w:t xml:space="preserve">Artículo 35. Inspección.</w:t>
      </w:r>
      <w:r>
        <w:rPr>
          <w:color w:val="000000"/>
          <w:sz w:val="22"/>
          <w:szCs w:val="22"/>
        </w:rPr>
        <w:t xml:space="preserve"> Los accionistas podrán ejercer el derecho de inspección en los términos legales y, para los asuntos previstos en el artículo 20 de la Ley 1258 de 2008, durante {{asamblea.dias_inspeccion}} días hábiles anteriores a la reunión, nunca menos del mínimo legal. Los documentos estarán disponibles en las oficinas de administración y por {{asamblea.medios_inspeccion_adicionales}}.</w:t>
      </w:r>
    </w:p>
    <w:p>
      <w:pPr>
        <w:pBdr>
          <w:top w:val="nil"/>
          <w:left w:val="nil"/>
          <w:bottom w:val="nil"/>
          <w:right w:val="nil"/>
          <w:between w:val="nil"/>
        </w:pBdr>
        <w:rPr>
          <w:color w:val="000000"/>
          <w:sz w:val="22"/>
          <w:szCs w:val="22"/>
        </w:rPr>
      </w:pPr>
      <w:r>
        <w:rPr>
          <w:color w:val="000000"/>
          <w:sz w:val="22"/>
          <w:szCs w:val="22"/>
        </w:rPr>
        <w:t xml:space="preserve">La reserva de secretos industriales y la información cuya divulgación pueda perjudicar a la sociedad se tratarán conforme a la ley; la mera existencia de un pacto de confidencialidad no permitirá negar indiscriminadamente la inspección. Toda renuncia será expresa y referida a una reunión concreta, conforme a la ley.</w:t>
      </w:r>
    </w:p>
    <w:p>
      <w:pPr>
        <w:pBdr>
          <w:top w:val="nil"/>
          <w:left w:val="nil"/>
          <w:bottom w:val="nil"/>
          <w:right w:val="nil"/>
          <w:between w:val="nil"/>
        </w:pBdr>
        <w:rPr>
          <w:color w:val="000000"/>
          <w:sz w:val="22"/>
          <w:szCs w:val="22"/>
        </w:rPr>
      </w:pPr>
      <w:r>
        <w:rPr>
          <w:color w:val="000000"/>
          <w:sz w:val="22"/>
          <w:szCs w:val="22"/>
          <w:b/>
          <w:bCs/>
        </w:rPr>
        <w:t xml:space="preserve">Artículo 36. Reunión por derecho propio.</w:t>
      </w:r>
      <w:r>
        <w:rPr>
          <w:color w:val="000000"/>
          <w:sz w:val="22"/>
          <w:szCs w:val="22"/>
        </w:rPr>
        <w:t xml:space="preserve"> Si no se convoca la reunión ordinaria cuando corresponde, se celebrará por derecho propio en la fecha, hora y lugar previstos legalmente. Se aplicará el quórum especial legal, conservando las mayorías imperativas y las protecciones de clase que correspondan.</w:t>
      </w:r>
    </w:p>
    <w:p>
      <w:pPr>
        <w:pBdr>
          <w:top w:val="nil"/>
          <w:left w:val="nil"/>
          <w:bottom w:val="nil"/>
          <w:right w:val="nil"/>
          <w:between w:val="nil"/>
        </w:pBdr>
        <w:rPr>
          <w:color w:val="000000"/>
          <w:sz w:val="22"/>
          <w:szCs w:val="22"/>
        </w:rPr>
      </w:pPr>
      <w:r>
        <w:rPr>
          <w:color w:val="000000"/>
          <w:sz w:val="22"/>
          <w:szCs w:val="22"/>
          <w:b/>
          <w:bCs/>
        </w:rPr>
        <w:t xml:space="preserve">Artículo 37. Segunda convocatoria.</w:t>
      </w:r>
      <w:r>
        <w:rPr>
          <w:color w:val="000000"/>
          <w:sz w:val="22"/>
          <w:szCs w:val="22"/>
        </w:rPr>
        <w:t xml:space="preserve"> Si la primera reunión no se realiza por falta de quórum, la segunda podrá deliberar con uno o varios accionistas cualquiera que sea el número de acciones representadas, dentro de los términos del artículo 20 de la Ley 1258 de 2008. Esta regla no elimina las mayorías especiales, unanimidades legales ni consentimientos de clase. La convocatoria inicial podrá prever la fecha de la segunda reunión.</w:t>
      </w:r>
    </w:p>
    <w:p>
      <w:pPr>
        <w:pBdr>
          <w:top w:val="nil"/>
          <w:left w:val="nil"/>
          <w:bottom w:val="nil"/>
          <w:right w:val="nil"/>
          <w:between w:val="nil"/>
        </w:pBdr>
        <w:rPr>
          <w:color w:val="000000"/>
          <w:sz w:val="22"/>
          <w:szCs w:val="22"/>
        </w:rPr>
      </w:pPr>
      <w:r>
        <w:rPr>
          <w:color w:val="000000"/>
          <w:sz w:val="22"/>
          <w:szCs w:val="22"/>
          <w:b/>
          <w:bCs/>
        </w:rPr>
        <w:t xml:space="preserve">Artículo 38. Reuniones no presenciales y mixtas.</w:t>
      </w:r>
      <w:r>
        <w:rPr>
          <w:color w:val="000000"/>
          <w:sz w:val="22"/>
          <w:szCs w:val="22"/>
        </w:rPr>
        <w:t xml:space="preserve"> Podrán realizarse por comunicación simultánea o sucesiva, con observancia de las reglas vigentes de convocatoria, identificación, participación, quórum y prueba. El representante legal verificará la identidad y la continuidad del quórum. Las actas dejarán constancia del medio utilizado, participantes y decisiones.</w:t>
      </w:r>
    </w:p>
    <w:p>
      <w:pPr>
        <w:pBdr>
          <w:top w:val="nil"/>
          <w:left w:val="nil"/>
          <w:bottom w:val="nil"/>
          <w:right w:val="nil"/>
          <w:between w:val="nil"/>
        </w:pBdr>
        <w:rPr>
          <w:color w:val="000000"/>
          <w:sz w:val="22"/>
          <w:szCs w:val="22"/>
        </w:rPr>
      </w:pPr>
      <w:r>
        <w:rPr>
          <w:color w:val="000000"/>
          <w:sz w:val="22"/>
          <w:szCs w:val="22"/>
          <w:b/>
          <w:bCs/>
        </w:rPr>
        <w:t xml:space="preserve">Artículo 39. Decisiones por escrito.</w:t>
      </w:r>
      <w:r>
        <w:rPr>
          <w:color w:val="000000"/>
          <w:sz w:val="22"/>
          <w:szCs w:val="22"/>
        </w:rPr>
        <w:t xml:space="preserve"> Podrán adoptarse cuando todos los accionistas expresen por escrito el sentido de su voto, dentro de los términos legales. Las mayorías se calcularán sobre la totalidad correspondiente según la ley y los derechos de voto de cada clase. Se mantendrán las aprobaciones especiales y las unanimidades imperativas. El representante legal comunicará el resultado y asentará el acta dentro de los plazos legales.</w:t>
      </w:r>
    </w:p>
    <w:p>
      <w:pPr>
        <w:pBdr>
          <w:top w:val="nil"/>
          <w:left w:val="nil"/>
          <w:bottom w:val="nil"/>
          <w:right w:val="nil"/>
          <w:between w:val="nil"/>
        </w:pBdr>
        <w:rPr>
          <w:color w:val="000000"/>
          <w:sz w:val="22"/>
          <w:szCs w:val="22"/>
        </w:rPr>
      </w:pPr>
      <w:r>
        <w:rPr>
          <w:color w:val="000000"/>
          <w:sz w:val="22"/>
          <w:szCs w:val="22"/>
          <w:b/>
          <w:bCs/>
        </w:rPr>
        <w:t xml:space="preserve">Artículo 40. Actas.</w:t>
      </w:r>
      <w:r>
        <w:rPr>
          <w:color w:val="000000"/>
          <w:sz w:val="22"/>
          <w:szCs w:val="22"/>
        </w:rPr>
        <w:t xml:space="preserve"> La verificación del quórum, las deliberaciones, elecciones y demás decisiones de la asamblea general de accionistas, se harán constar en actas aprobadas por ella misma, asentándose cronológicamente en el libro de actas. Estas actas se firmarán por el presidente y el secretario de la respectiva reunión, salvo que la ley o los estatutos regulen en contrario. En las reuniones de la asamblea general de accionistas, ésta podrá nombrar una comisión para elaborar y aprobar las respectivas actas, así como las condiciones para el funcionamiento de la comisión.</w:t>
      </w:r>
    </w:p>
    <w:p>
      <w:pPr>
        <w:pBdr>
          <w:top w:val="nil"/>
          <w:left w:val="nil"/>
          <w:bottom w:val="nil"/>
          <w:right w:val="nil"/>
          <w:between w:val="nil"/>
        </w:pBdr>
        <w:rPr>
          <w:color w:val="000000"/>
          <w:sz w:val="22"/>
          <w:szCs w:val="22"/>
        </w:rPr>
      </w:pPr>
      <w:r>
        <w:rPr>
          <w:color w:val="000000"/>
          <w:sz w:val="22"/>
          <w:szCs w:val="22"/>
        </w:rPr>
        <w:t xml:space="preserve">Las copias de las actas, autorizada por el secretario o por un representante legal de la sociedad, serán prueba suficiente de los hechos que consten en ellas.</w:t>
      </w:r>
    </w:p>
    <w:p>
      <w:pPr>
        <w:pBdr>
          <w:top w:val="nil"/>
          <w:left w:val="nil"/>
          <w:bottom w:val="nil"/>
          <w:right w:val="nil"/>
          <w:between w:val="nil"/>
        </w:pBdr>
        <w:rPr>
          <w:color w:val="000000"/>
          <w:sz w:val="22"/>
          <w:szCs w:val="22"/>
        </w:rPr>
      </w:pPr>
      <w:r>
        <w:rPr>
          <w:color w:val="000000"/>
          <w:sz w:val="22"/>
          <w:szCs w:val="22"/>
        </w:rPr>
        <w:t xml:space="preserve">En las actas deberá incluirse información acerca de la fecha, hora y lugar de la reunión, el orden del día, las personas designadas como presidente y secretario de la reunión cuando estos sean nombrados, la identidad de los accionistas presentes o de sus representantes o apoderados, los documentos e informes sometidos a consideración de los accionistas, la recapitulación de las deliberaciones llevadas a cabo, la transcripción de las propuestas presentadas ante la asamblea y el número de votos emitidos a favor, en contra y en blanco respecto de cada una de tales propuestas.</w:t>
      </w:r>
    </w:p>
    <w:p>
      <w:pPr>
        <w:pBdr>
          <w:top w:val="nil"/>
          <w:left w:val="nil"/>
          <w:bottom w:val="nil"/>
          <w:right w:val="nil"/>
          <w:between w:val="nil"/>
        </w:pBdr>
        <w:rPr>
          <w:color w:val="000000"/>
          <w:sz w:val="22"/>
          <w:szCs w:val="22"/>
        </w:rPr>
      </w:pPr>
      <w:r>
        <w:rPr>
          <w:color w:val="000000"/>
          <w:sz w:val="22"/>
          <w:szCs w:val="22"/>
          <w:b/>
          <w:bCs/>
        </w:rPr>
        <w:t xml:space="preserve">Artículo 41. Reformas.</w:t>
      </w:r>
      <w:r>
        <w:rPr>
          <w:color w:val="000000"/>
          <w:sz w:val="22"/>
          <w:szCs w:val="22"/>
        </w:rPr>
        <w:t xml:space="preserve"> Las reformas requerirán {{mayorias.reformas}}, sin perjuicio de las aprobaciones especiales o imperativas, y se documentarán e inscribirán conforme a la ley.</w:t>
      </w:r>
    </w:p>
    <w:p>
      <w:pPr>
        <w:pBdr>
          <w:top w:val="nil"/>
          <w:left w:val="nil"/>
          <w:bottom w:val="nil"/>
          <w:right w:val="nil"/>
          <w:between w:val="nil"/>
        </w:pBdr>
        <w:rPr>
          <w:color w:val="000000"/>
          <w:sz w:val="22"/>
          <w:szCs w:val="22"/>
        </w:rPr>
      </w:pPr>
      <w:r>
        <w:rPr>
          <w:color w:val="000000"/>
          <w:sz w:val="22"/>
          <w:szCs w:val="22"/>
        </w:rPr>
        <w:t xml:space="preserve">La inclusión o modificación de las disposiciones comprendidas en los artículos 13, 14, 39 y 40 de la Ley 1258 de 2008 requerirá la determinación de los titulares del ciento por ciento (100 %) de las acciones suscritas, conforme a su artículo 41. El voto múltiple o la aprobación de una sola clase no sustituirán ese consentimiento.</w:t>
      </w:r>
    </w:p>
    <w:p>
      <w:pPr>
        <w:pBdr>
          <w:top w:val="nil"/>
          <w:left w:val="nil"/>
          <w:bottom w:val="nil"/>
          <w:right w:val="nil"/>
          <w:between w:val="nil"/>
        </w:pBdr>
        <w:rPr>
          <w:color w:val="000000"/>
          <w:sz w:val="22"/>
          <w:szCs w:val="22"/>
        </w:rPr>
      </w:pPr>
      <w:r>
        <w:rPr>
          <w:color w:val="000000"/>
          <w:sz w:val="22"/>
          <w:szCs w:val="22"/>
          <w:b/>
          <w:bCs/>
        </w:rPr>
        <w:t xml:space="preserve">Artículo 42. Fusión, escisión y transformación.</w:t>
      </w:r>
      <w:r>
        <w:rPr>
          <w:color w:val="000000"/>
          <w:sz w:val="22"/>
          <w:szCs w:val="22"/>
        </w:rPr>
        <w:t xml:space="preserve"> La fusión y la escisión requerirán {{mayorias.fusion_escision}}, sin perjuicio de las exigencias imperativas y de clase. La transformación de o hacia S.A.S., incluidos los tránsitos de tipo societario mediante otros negocios sujetos al artículo 31 de la Ley 1258 de 2008, requerirá unanimidad de los titulares de la totalidad de las acciones suscritas. Se garantizarán los derechos de retiro y de acreedores cuando procedan.</w:t>
      </w:r>
    </w:p>
    <w:p>
      <w:pPr>
        <w:pBdr>
          <w:top w:val="nil"/>
          <w:left w:val="nil"/>
          <w:bottom w:val="nil"/>
          <w:right w:val="nil"/>
          <w:between w:val="nil"/>
        </w:pBdr>
        <w:rPr>
          <w:color w:val="000000"/>
          <w:sz w:val="22"/>
          <w:szCs w:val="22"/>
        </w:rPr>
      </w:pPr>
      <w:r>
        <w:rPr>
          <w:color w:val="000000"/>
          <w:sz w:val="22"/>
          <w:szCs w:val="22"/>
          <w:b/>
          <w:bCs/>
        </w:rPr>
        <w:t xml:space="preserve">Artículo 43. Enajenación global de activos.</w:t>
      </w:r>
      <w:r>
        <w:rPr>
          <w:color w:val="000000"/>
          <w:sz w:val="22"/>
          <w:szCs w:val="22"/>
        </w:rPr>
        <w:t xml:space="preserve"> Se aplicará la definición y el régimen del artículo 32 de la Ley 1258 de 2008, incluida la referencia a activos y pasivos que representen el cincuenta por ciento (50 %) o más del patrimonio líquido. La aprobación requerirá {{mayorias.enajenacion_global}}, sin disminuir la exigencia legal y con observancia de las aprobaciones de clase. Se reconocerá el retiro a ausentes y disidentes en caso de desmejora patrimonial y se efectuará la inscripción mercantil correspondiente.</w:t>
      </w:r>
    </w:p>
    <w:p>
      <w:pPr>
        <w:pBdr>
          <w:top w:val="nil"/>
          <w:left w:val="nil"/>
          <w:bottom w:val="nil"/>
          <w:right w:val="nil"/>
          <w:between w:val="nil"/>
        </w:pBdr>
        <w:rPr>
          <w:color w:val="000000"/>
          <w:sz w:val="22"/>
          <w:szCs w:val="22"/>
        </w:rPr>
      </w:pPr>
      <w:r>
        <w:rPr>
          <w:color w:val="000000"/>
          <w:sz w:val="22"/>
          <w:szCs w:val="22"/>
        </w:rPr>
        <w:t xml:space="preserve">Las ventas de activos estratégicos que no constituyan esta operación se sujetarán a las autorizaciones especiales expresamente previstas en estos estatutos.</w:t>
      </w:r>
    </w:p>
    <w:p>
      <w:pPr>
        <w:pBdr>
          <w:top w:val="nil"/>
          <w:left w:val="nil"/>
          <w:bottom w:val="nil"/>
          <w:right w:val="nil"/>
          <w:between w:val="nil"/>
        </w:pBdr>
        <w:rPr>
          <w:color w:val="000000"/>
          <w:sz w:val="22"/>
          <w:szCs w:val="22"/>
        </w:rPr>
      </w:pPr>
      <w:r>
        <w:rPr>
          <w:color w:val="000000"/>
          <w:sz w:val="22"/>
          <w:szCs w:val="22"/>
          <w:b/>
          <w:bCs/>
        </w:rPr>
        <w:t xml:space="preserve">Artículo 44. Acción social de responsabilidad.</w:t>
      </w:r>
      <w:r>
        <w:rPr>
          <w:color w:val="000000"/>
          <w:sz w:val="22"/>
          <w:szCs w:val="22"/>
        </w:rPr>
        <w:t xml:space="preserve"> La responsabilidad de los administradores, al igual que la acción social de responsabilidad se regirá por lo dispuesto en el artículo 27 de la Ley 1258 de 2008, en los artículos 24 y 25 de la Ley 222 de 1995 y en las normas que los modifiquen o sustituyan. La responsabilidad de los administradores de la sociedad es predicable de su representante legal, de su suplente, de los miembros junta directiva si los hubiese y de los miembros de los demás órganos de administración, si los hubiere.</w:t>
      </w:r>
    </w:p>
    <w:p>
      <w:pPr>
        <w:pBdr>
          <w:top w:val="nil"/>
          <w:left w:val="nil"/>
          <w:bottom w:val="nil"/>
          <w:right w:val="nil"/>
          <w:between w:val="nil"/>
        </w:pBdr>
        <w:rPr>
          <w:color w:val="000000"/>
          <w:sz w:val="22"/>
          <w:szCs w:val="22"/>
        </w:rPr>
      </w:pPr>
      <w:r>
        <w:rPr>
          <w:color w:val="000000"/>
          <w:sz w:val="22"/>
          <w:szCs w:val="22"/>
        </w:rPr>
        <w:t xml:space="preserve">Las personas naturales o jurídicas que sin ser administradores de la sociedad se inmiscuyan en una actividad positiva de gestión, administración o dirección de la sociedad, incurrirán en las mismas responsabilidades y sanciones aplicables a los administradores.</w:t>
      </w:r>
    </w:p>
    <w:p w14:paraId="1133175A" w14:textId="77777777" w:rsidR="00576A5F" w:rsidRDefault="00000000">
      <w:pPr>
        <w:pStyle w:val="Ttulo2"/>
        <w:jc w:val="center"/>
        <w:rPr>
          <w:sz w:val="22"/>
          <w:szCs w:val="22"/>
        </w:rPr>
      </w:pPr>
      <w:bookmarkStart w:id="3" w:name="bookmark=id.wfvsm0aj7bh8" w:colFirst="0" w:colLast="0"/>
      <w:bookmarkEnd w:id="3"/>
      <w:r>
        <w:rPr>
          <w:sz w:val="22"/>
          <w:szCs w:val="22"/>
        </w:rPr>
        <w:t>CAPÍTULO V - REPRESENTACIÓN LEGAL</w:t>
      </w:r>
    </w:p>
    <w:p>
      <w:pPr>
        <w:pBdr>
          <w:top w:val="nil"/>
          <w:left w:val="nil"/>
          <w:bottom w:val="nil"/>
          <w:right w:val="nil"/>
          <w:between w:val="nil"/>
        </w:pBdr>
        <w:rPr>
          <w:color w:val="000000"/>
          <w:sz w:val="22"/>
          <w:szCs w:val="22"/>
        </w:rPr>
      </w:pPr>
      <w:r>
        <w:rPr>
          <w:color w:val="000000"/>
          <w:sz w:val="22"/>
          <w:szCs w:val="22"/>
          <w:b/>
          <w:bCs/>
        </w:rPr>
        <w:t xml:space="preserve">Artículo 45. Representación legal.</w:t>
      </w:r>
      <w:r>
        <w:rPr>
          <w:color w:val="000000"/>
          <w:sz w:val="22"/>
          <w:szCs w:val="22"/>
        </w:rPr>
        <w:t xml:space="preserve"> La representación legal estará a cargo de {{representacion.denominacion_cargo}}, designado por {{representacion.organo_designacion}} para {{representacion.periodo}}, reelegible y removible conforme a la ley. Su régimen de suplencias y orden de actuación será {{representacion.regimen_suplencias}}. Las facultades y limitaciones de los suplentes serán {{representacion.facultades_suplentes}}.</w:t>
      </w:r>
    </w:p>
    <w:p>
      <w:pPr>
        <w:pBdr>
          <w:top w:val="nil"/>
          <w:left w:val="nil"/>
          <w:bottom w:val="nil"/>
          <w:right w:val="nil"/>
          <w:between w:val="nil"/>
        </w:pBdr>
        <w:rPr>
          <w:color w:val="000000"/>
          <w:sz w:val="22"/>
          <w:szCs w:val="22"/>
        </w:rPr>
      </w:pPr>
      <w:r>
        <w:rPr>
          <w:color w:val="000000"/>
          <w:sz w:val="22"/>
          <w:szCs w:val="22"/>
          <w:b/>
          <w:bCs/>
        </w:rPr>
        <w:t xml:space="preserve">Artículo 46. Facultades y límites.</w:t>
      </w:r>
      <w:r>
        <w:rPr>
          <w:color w:val="000000"/>
          <w:sz w:val="22"/>
          <w:szCs w:val="22"/>
        </w:rPr>
        <w:t xml:space="preserve"> El representante legal podrá ejecutar los actos comprendidos en el objeto y los necesarios para el funcionamiento de la sociedad; representarla judicial y extrajudicialmente; abrir y administrar cuentas; contratar personal y apoderados; atender obligaciones tributarias; convocar reuniones; custodiar los activos y libros; presentar cuentas, estados financieros e informes; y ejecutar las decisiones de los órganos competentes.</w:t>
      </w:r>
    </w:p>
    <w:p>
      <w:pPr>
        <w:pBdr>
          <w:top w:val="nil"/>
          <w:left w:val="nil"/>
          <w:bottom w:val="nil"/>
          <w:right w:val="nil"/>
          <w:between w:val="nil"/>
        </w:pBdr>
        <w:rPr>
          <w:color w:val="000000"/>
          <w:sz w:val="22"/>
          <w:szCs w:val="22"/>
        </w:rPr>
      </w:pPr>
      <w:r>
        <w:rPr>
          <w:color w:val="000000"/>
          <w:sz w:val="22"/>
          <w:szCs w:val="22"/>
        </w:rPr>
        <w:t xml:space="preserve">Requerirá autorización previa de {{representacion.organo_autorizacion}} para {{representacion.operaciones_reservadas}}. El límite de cuantía y la regla de acumulación de operaciones relacionadas serán {{representacion.limite_cuantia}}.</w:t>
      </w:r>
    </w:p>
    <w:p>
      <w:pPr>
        <w:pBdr>
          <w:top w:val="nil"/>
          <w:left w:val="nil"/>
          <w:bottom w:val="nil"/>
          <w:right w:val="nil"/>
          <w:between w:val="nil"/>
        </w:pBdr>
        <w:rPr>
          <w:color w:val="000000"/>
          <w:sz w:val="22"/>
          <w:szCs w:val="22"/>
        </w:rPr>
      </w:pPr>
      <w:r>
        <w:rPr>
          <w:color w:val="000000"/>
          <w:sz w:val="22"/>
          <w:szCs w:val="22"/>
        </w:rPr>
        <w:t xml:space="preserve">Se aplicará la siguiente política sobre préstamos a accionistas o administradores y garantías de obligaciones ajenas: {{representacion.politica_prestamos_garantias}}. Los conflictos de interés y actos de competencia se someterán en todo caso al régimen legal, con revelación de información y exclusión del voto del administrador interesado cuando corresponda. El parentesco no dispensa esos deberes.</w:t>
      </w:r>
    </w:p>
    <w:p w14:paraId="5F589B35" w14:textId="77777777" w:rsidR="00576A5F" w:rsidRDefault="00000000">
      <w:pPr>
        <w:pStyle w:val="Ttulo2"/>
        <w:jc w:val="center"/>
        <w:rPr>
          <w:sz w:val="22"/>
          <w:szCs w:val="22"/>
        </w:rPr>
      </w:pPr>
      <w:bookmarkStart w:id="4" w:name="bookmark=id.8u3atkkh1ygq" w:colFirst="0" w:colLast="0"/>
      <w:bookmarkEnd w:id="4"/>
      <w:r>
        <w:rPr>
          <w:sz w:val="22"/>
          <w:szCs w:val="22"/>
        </w:rPr>
        <w:t>CAPÍTULO VI - REVISORÍA FISCAL</w:t>
      </w:r>
    </w:p>
    <w:p>
      <w:pPr>
        <w:pBdr>
          <w:top w:val="nil"/>
          <w:left w:val="nil"/>
          <w:bottom w:val="nil"/>
          <w:right w:val="nil"/>
          <w:between w:val="nil"/>
        </w:pBdr>
        <w:rPr>
          <w:color w:val="000000"/>
          <w:sz w:val="22"/>
          <w:szCs w:val="22"/>
        </w:rPr>
      </w:pPr>
      <w:r>
        <w:rPr>
          <w:color w:val="000000"/>
          <w:sz w:val="22"/>
          <w:szCs w:val="22"/>
          <w:b/>
          <w:bCs/>
        </w:rPr>
        <w:t xml:space="preserve">Artículo 47. Revisoría fiscal.</w:t>
      </w:r>
      <w:r>
        <w:rPr>
          <w:color w:val="000000"/>
          <w:sz w:val="22"/>
          <w:szCs w:val="22"/>
        </w:rPr>
        <w:t xml:space="preserve"> La sociedad tendrá revisor fiscal cuando lo ordene la ley o lo decida la asamblea. Su período será {{revisoria.periodo}} y su régimen de suplencia {{revisoria.suplencia}}. Quienes ejerzan el cargo deberán cumplir los requisitos de idoneidad, independencia e incompatibilidades legales. Si se designa una firma, se identificarán los contadores responsables y sus tarjetas profesionales.</w:t>
      </w:r>
    </w:p>
    <w:p>
      <w:pPr>
        <w:pBdr>
          <w:top w:val="nil"/>
          <w:left w:val="nil"/>
          <w:bottom w:val="nil"/>
          <w:right w:val="nil"/>
          <w:between w:val="nil"/>
        </w:pBdr>
        <w:rPr>
          <w:color w:val="000000"/>
          <w:sz w:val="22"/>
          <w:szCs w:val="22"/>
        </w:rPr>
      </w:pPr>
      <w:r>
        <w:rPr>
          <w:color w:val="000000"/>
          <w:sz w:val="22"/>
          <w:szCs w:val="22"/>
          <w:b/>
          <w:bCs/>
        </w:rPr>
        <w:t xml:space="preserve">Artículo 48. Funciones.</w:t>
      </w:r>
      <w:r>
        <w:rPr>
          <w:color w:val="000000"/>
          <w:sz w:val="22"/>
          <w:szCs w:val="22"/>
        </w:rPr>
        <w:t xml:space="preserve"> La revisoría fiscal cumplirá con aquellas funciones que por ley le correspondan, en adición a lo prescrito por la asamblea general de accionistas en cuanto resulte compatible con sus obligaciones legales.</w:t>
      </w:r>
    </w:p>
    <w:p>
      <w:pPr>
        <w:pBdr>
          <w:top w:val="nil"/>
          <w:left w:val="nil"/>
          <w:bottom w:val="nil"/>
          <w:right w:val="nil"/>
          <w:between w:val="nil"/>
        </w:pBdr>
        <w:rPr>
          <w:color w:val="000000"/>
          <w:sz w:val="22"/>
          <w:szCs w:val="22"/>
        </w:rPr>
      </w:pPr>
      <w:r>
        <w:rPr>
          <w:color w:val="000000"/>
          <w:sz w:val="22"/>
          <w:szCs w:val="22"/>
        </w:rPr>
        <w:t xml:space="preserve">Parágrafo. El revisor fiscal podrá intervenir con voz, pero sin voto, en las deliberaciones de la asamblea general de accionistas. Tendrá así mismo, derecho a inspeccionar en cualquier tiempo los libros de contabilidad, libros de actas, correspondencia, comprobantes de cuentas y demás papeles de la sociedad.</w:t>
      </w:r>
    </w:p>
    <w:p w14:paraId="0C61BE47" w14:textId="77777777" w:rsidR="00576A5F" w:rsidRDefault="00000000">
      <w:pPr>
        <w:pStyle w:val="Ttulo2"/>
        <w:jc w:val="center"/>
        <w:rPr>
          <w:sz w:val="22"/>
          <w:szCs w:val="22"/>
        </w:rPr>
      </w:pPr>
      <w:bookmarkStart w:id="5" w:name="bookmark=id.j9up5mh7td83" w:colFirst="0" w:colLast="0"/>
      <w:bookmarkEnd w:id="5"/>
      <w:r>
        <w:rPr>
          <w:sz w:val="22"/>
          <w:szCs w:val="22"/>
        </w:rPr>
        <w:t>CAPÍTULO VII - ESTADOS FINANCIEROS, RESERVAS Y DISTRIBUCIÓN DE UTILIDADES</w:t>
      </w:r>
    </w:p>
    <w:p>
      <w:pPr>
        <w:pBdr>
          <w:top w:val="nil"/>
          <w:left w:val="nil"/>
          <w:bottom w:val="nil"/>
          <w:right w:val="nil"/>
          <w:between w:val="nil"/>
        </w:pBdr>
        <w:rPr>
          <w:color w:val="000000"/>
          <w:sz w:val="22"/>
          <w:szCs w:val="22"/>
        </w:rPr>
      </w:pPr>
      <w:r>
        <w:rPr>
          <w:color w:val="000000"/>
          <w:sz w:val="22"/>
          <w:szCs w:val="22"/>
          <w:b/>
          <w:bCs/>
        </w:rPr>
        <w:t xml:space="preserve">Artículo 49. Estados financieros.</w:t>
      </w:r>
      <w:r>
        <w:rPr>
          <w:color w:val="000000"/>
          <w:sz w:val="22"/>
          <w:szCs w:val="22"/>
        </w:rPr>
        <w:t xml:space="preserve"> A fin de cada ejercicio social y por lo menos una vez al año, el treinta y uno (31) de diciembre, la sociedad deberá cortar sus cuentas y preparar y difundir estados financieros de propósito general individuales y consolidados cuando sea del caso.</w:t>
      </w:r>
    </w:p>
    <w:p>
      <w:pPr>
        <w:pBdr>
          <w:top w:val="nil"/>
          <w:left w:val="nil"/>
          <w:bottom w:val="nil"/>
          <w:right w:val="nil"/>
          <w:between w:val="nil"/>
        </w:pBdr>
        <w:rPr>
          <w:color w:val="000000"/>
          <w:sz w:val="22"/>
          <w:szCs w:val="22"/>
        </w:rPr>
      </w:pPr>
      <w:r>
        <w:rPr>
          <w:color w:val="000000"/>
          <w:sz w:val="22"/>
          <w:szCs w:val="22"/>
          <w:b/>
          <w:bCs/>
        </w:rPr>
        <w:t xml:space="preserve">Artículo 50. Presentación de información financiera.</w:t>
      </w:r>
      <w:r>
        <w:rPr>
          <w:color w:val="000000"/>
          <w:sz w:val="22"/>
          <w:szCs w:val="22"/>
        </w:rPr>
        <w:t xml:space="preserve"> Los administradores presentarán a la asamblea los estados financieros con sus notas, certificaciones, dictámenes cuando correspondan, informe de gestión y demás documentos legalmente exigidos. La certificación y el dictamen se cumplirán según el régimen aplicable; la ausencia de revisor fiscal no dispensará las exigencias del artículo 28 de la Ley 1258 de 2008 cuando resulten procedentes.</w:t>
      </w:r>
    </w:p>
    <w:p>
      <w:pPr>
        <w:pBdr>
          <w:top w:val="nil"/>
          <w:left w:val="nil"/>
          <w:bottom w:val="nil"/>
          <w:right w:val="nil"/>
          <w:between w:val="nil"/>
        </w:pBdr>
        <w:rPr>
          <w:color w:val="000000"/>
          <w:sz w:val="22"/>
          <w:szCs w:val="22"/>
        </w:rPr>
      </w:pPr>
      <w:r>
        <w:rPr>
          <w:color w:val="000000"/>
          <w:sz w:val="22"/>
          <w:szCs w:val="22"/>
          <w:b/>
          <w:bCs/>
        </w:rPr>
        <w:t xml:space="preserve">Artículo 51. Reservas estatutarias.</w:t>
      </w:r>
      <w:r>
        <w:rPr>
          <w:color w:val="000000"/>
          <w:sz w:val="22"/>
          <w:szCs w:val="22"/>
        </w:rPr>
        <w:t xml:space="preserve"> Se adopta el siguiente régimen de reserva: {{reservas.regimen}}. Cuando se pacte una apropiación periódica, su porcentaje, base, límite y reglas de reposición serán {{reservas.parametros}}. Esto no releva del cumplimiento de reservas impuestas por normas especiales aplicables.</w:t>
      </w:r>
    </w:p>
    <w:p>
      <w:pPr>
        <w:pBdr>
          <w:top w:val="nil"/>
          <w:left w:val="nil"/>
          <w:bottom w:val="nil"/>
          <w:right w:val="nil"/>
          <w:between w:val="nil"/>
        </w:pBdr>
        <w:rPr>
          <w:color w:val="000000"/>
          <w:sz w:val="22"/>
          <w:szCs w:val="22"/>
        </w:rPr>
      </w:pPr>
      <w:r>
        <w:rPr>
          <w:color w:val="000000"/>
          <w:sz w:val="22"/>
          <w:szCs w:val="22"/>
          <w:b/>
          <w:bCs/>
        </w:rPr>
        <w:t xml:space="preserve">Artículo 52. Reservas ocasionales.</w:t>
      </w:r>
      <w:r>
        <w:rPr>
          <w:color w:val="000000"/>
          <w:sz w:val="22"/>
          <w:szCs w:val="22"/>
        </w:rPr>
        <w:t xml:space="preserve"> La asamblea podrá crear o incrementar reservas ocasionales mediante {{mayorias.reservas}}, con destinación especial determinada y con sujeción a la ley. Su cambio de destino o liberación requerirá la aprobación correspondiente.</w:t>
      </w:r>
    </w:p>
    <w:p>
      <w:pPr>
        <w:pBdr>
          <w:top w:val="nil"/>
          <w:left w:val="nil"/>
          <w:bottom w:val="nil"/>
          <w:right w:val="nil"/>
          <w:between w:val="nil"/>
        </w:pBdr>
        <w:rPr>
          <w:color w:val="000000"/>
          <w:sz w:val="22"/>
          <w:szCs w:val="22"/>
        </w:rPr>
      </w:pPr>
      <w:r>
        <w:rPr>
          <w:color w:val="000000"/>
          <w:sz w:val="22"/>
          <w:szCs w:val="22"/>
          <w:b/>
          <w:bCs/>
        </w:rPr>
        <w:t xml:space="preserve">Artículo 53. Dividendos.</w:t>
      </w:r>
      <w:r>
        <w:rPr>
          <w:color w:val="000000"/>
          <w:sz w:val="22"/>
          <w:szCs w:val="22"/>
        </w:rPr>
        <w:t xml:space="preserve"> Solo se distribuirán utilidades justificadas en estados financieros debidamente preparados y aprobados, luego de absorber pérdidas y efectuar las apropiaciones exigibles. El monto distribuible será aprobado mediante {{mayorias.dividendos}}, con las aprobaciones adicionales de clase que procedan.</w:t>
      </w:r>
    </w:p>
    <w:p>
      <w:pPr>
        <w:pBdr>
          <w:top w:val="nil"/>
          <w:left w:val="nil"/>
          <w:bottom w:val="nil"/>
          <w:right w:val="nil"/>
          <w:between w:val="nil"/>
        </w:pBdr>
        <w:rPr>
          <w:color w:val="000000"/>
          <w:sz w:val="22"/>
          <w:szCs w:val="22"/>
        </w:rPr>
      </w:pPr>
      <w:r>
        <w:rPr>
          <w:color w:val="000000"/>
          <w:sz w:val="22"/>
          <w:szCs w:val="22"/>
        </w:rPr>
        <w:t xml:space="preserve">La asignación entre clases y titulares se sujetará al artículo 6. La forma y plazo de pago serán {{dividendos.forma_plazo_pago}}, dentro de los límites legales. El pago con acciones liberadas observará el artículo 455 del Código de Comercio y sus reglas especiales aplicables, incluida la aceptación individual cuando sea necesaria. No se eliminarán saldos por redondeo: se aplicará {{dividendos.regla_redondeo}} conservando íntegramente el total distribuido.</w:t>
      </w:r>
    </w:p>
    <w:p>
      <w:pPr>
        <w:pBdr>
          <w:top w:val="nil"/>
          <w:left w:val="nil"/>
          <w:bottom w:val="nil"/>
          <w:right w:val="nil"/>
          <w:between w:val="nil"/>
        </w:pBdr>
        <w:rPr>
          <w:color w:val="000000"/>
          <w:sz w:val="22"/>
          <w:szCs w:val="22"/>
        </w:rPr>
      </w:pPr>
      <w:r>
        <w:rPr>
          <w:color w:val="000000"/>
          <w:sz w:val="22"/>
          <w:szCs w:val="22"/>
          <w:b/>
          <w:bCs/>
        </w:rPr>
        <w:t xml:space="preserve">Artículo 54. Protección del reparto y renuncias.</w:t>
      </w:r>
      <w:r>
        <w:rPr>
          <w:color w:val="000000"/>
          <w:sz w:val="22"/>
          <w:szCs w:val="22"/>
        </w:rPr>
        <w:t xml:space="preserve"> Una mayoría no podrá modificar para un ejercicio los derechos económicos de las clases por el solo hecho de aprobar el reparto. La renuncia individual a dividendos deberá ser expresa, libre, escrita e identificar período, cuantía o porcentaje y efectos. Su destino será {{dividendos.destino_renuncias}}, sin perjudicar derechos de terceros ni sustituir reformas o autorizaciones exigibles. Toda modificación permanente de los derechos económicos deberá cumplir el procedimiento estatutario y legal correspondiente.</w:t>
      </w:r>
    </w:p>
    <w:p>
      <w:pPr>
        <w:pBdr>
          <w:top w:val="nil"/>
          <w:left w:val="nil"/>
          <w:bottom w:val="nil"/>
          <w:right w:val="nil"/>
          <w:between w:val="nil"/>
        </w:pBdr>
        <w:rPr>
          <w:color w:val="000000"/>
          <w:sz w:val="22"/>
          <w:szCs w:val="22"/>
        </w:rPr>
      </w:pPr>
      <w:r>
        <w:rPr>
          <w:color w:val="000000"/>
          <w:sz w:val="22"/>
          <w:szCs w:val="22"/>
          <w:b/>
          <w:bCs/>
        </w:rPr>
        <w:t xml:space="preserve">Artículo 55. Dividendos pendientes.</w:t>
      </w:r>
      <w:r>
        <w:rPr>
          <w:color w:val="000000"/>
          <w:sz w:val="22"/>
          <w:szCs w:val="22"/>
        </w:rPr>
        <w:t xml:space="preserve"> Los dividendos decretados y exigibles se reconocerán como obligaciones a favor de sus titulares. El tratamiento de sumas no reclamadas será {{dividendos.no_reclamados}}, sin excluir los derechos e intereses imperativos que correspondan por mora imputable a la sociedad.</w:t>
      </w:r>
    </w:p>
    <w:p w14:paraId="5D066476" w14:textId="77777777" w:rsidR="00576A5F" w:rsidRDefault="00000000">
      <w:pPr>
        <w:pStyle w:val="Ttulo2"/>
        <w:jc w:val="center"/>
        <w:rPr>
          <w:sz w:val="22"/>
          <w:szCs w:val="22"/>
        </w:rPr>
      </w:pPr>
      <w:bookmarkStart w:id="6" w:name="bookmark=id.6lim72c18omn" w:colFirst="0" w:colLast="0"/>
      <w:bookmarkEnd w:id="6"/>
      <w:r>
        <w:rPr>
          <w:sz w:val="22"/>
          <w:szCs w:val="22"/>
        </w:rPr>
        <w:t>CAPÍTULO VIII - DISOLUCIÓN Y LIQUIDACIÓN</w:t>
      </w:r>
    </w:p>
    <w:p>
      <w:pPr>
        <w:pBdr>
          <w:top w:val="nil"/>
          <w:left w:val="nil"/>
          <w:bottom w:val="nil"/>
          <w:right w:val="nil"/>
          <w:between w:val="nil"/>
        </w:pBdr>
        <w:rPr>
          <w:color w:val="000000"/>
          <w:sz w:val="22"/>
          <w:szCs w:val="22"/>
        </w:rPr>
      </w:pPr>
      <w:r>
        <w:rPr>
          <w:color w:val="000000"/>
          <w:sz w:val="22"/>
          <w:szCs w:val="22"/>
          <w:b/>
          <w:bCs/>
        </w:rPr>
        <w:t xml:space="preserve">Artículo 56. Disolución.</w:t>
      </w:r>
      <w:r>
        <w:rPr>
          <w:color w:val="000000"/>
          <w:sz w:val="22"/>
          <w:szCs w:val="22"/>
        </w:rPr>
        <w:t xml:space="preserve"> La sociedad se disolverá por las causales legales, por vencimiento del término si se pactó duración determinada, por decisión adoptada mediante {{mayorias.disolucion}} y por las siguientes causales estatutarias adicionales: {{liquidacion.causales_adicionales}}.</w:t>
      </w:r>
    </w:p>
    <w:p>
      <w:pPr>
        <w:pBdr>
          <w:top w:val="nil"/>
          <w:left w:val="nil"/>
          <w:bottom w:val="nil"/>
          <w:right w:val="nil"/>
          <w:between w:val="nil"/>
        </w:pBdr>
        <w:rPr>
          <w:color w:val="000000"/>
          <w:sz w:val="22"/>
          <w:szCs w:val="22"/>
        </w:rPr>
      </w:pPr>
      <w:r>
        <w:rPr>
          <w:color w:val="000000"/>
          <w:sz w:val="22"/>
          <w:szCs w:val="22"/>
        </w:rPr>
        <w:t xml:space="preserve">Se aplicará la causal de incumplimiento de la hipótesis de negocio en marcha y los deberes de los administradores previstos en el artículo 4 de la Ley 2069 de 2020 y su reglamentación. La posibilidad de subsanar una causal y el plazo correspondiente serán los que establezca la norma vigente para cada supuesto; no se establece un plazo general de dieciocho meses.</w:t>
      </w:r>
    </w:p>
    <w:p>
      <w:pPr>
        <w:pBdr>
          <w:top w:val="nil"/>
          <w:left w:val="nil"/>
          <w:bottom w:val="nil"/>
          <w:right w:val="nil"/>
          <w:between w:val="nil"/>
        </w:pBdr>
        <w:rPr>
          <w:color w:val="000000"/>
          <w:sz w:val="22"/>
          <w:szCs w:val="22"/>
        </w:rPr>
      </w:pPr>
      <w:r>
        <w:rPr>
          <w:color w:val="000000"/>
          <w:sz w:val="22"/>
          <w:szCs w:val="22"/>
          <w:b/>
          <w:bCs/>
        </w:rPr>
        <w:t xml:space="preserve">Artículo 57. Liquidación.</w:t>
      </w:r>
      <w:r>
        <w:rPr>
          <w:color w:val="000000"/>
          <w:sz w:val="22"/>
          <w:szCs w:val="22"/>
        </w:rPr>
        <w:t xml:space="preserve"> Llegado el caso de disolución de la sociedad, se procederá a la liquidación y distribución de los bienes de acuerdo con lo prescrito en la ley, y por lo tanto la sociedad solo podrá iniciar nuevas actividades que tiendan a la liquidación del patrimonio social y conserven su valor comercial. La denominación social deberá adicionarse con la expresión “En Liquidación”.</w:t>
      </w:r>
    </w:p>
    <w:p>
      <w:pPr>
        <w:pBdr>
          <w:top w:val="nil"/>
          <w:left w:val="nil"/>
          <w:bottom w:val="nil"/>
          <w:right w:val="nil"/>
          <w:between w:val="nil"/>
        </w:pBdr>
        <w:rPr>
          <w:color w:val="000000"/>
          <w:sz w:val="22"/>
          <w:szCs w:val="22"/>
        </w:rPr>
      </w:pPr>
      <w:r>
        <w:rPr>
          <w:color w:val="000000"/>
          <w:sz w:val="22"/>
          <w:szCs w:val="22"/>
          <w:b/>
          <w:bCs/>
        </w:rPr>
        <w:t xml:space="preserve">Artículo 58. Liquidador.</w:t>
      </w:r>
      <w:r>
        <w:rPr>
          <w:color w:val="000000"/>
          <w:sz w:val="22"/>
          <w:szCs w:val="22"/>
        </w:rPr>
        <w:t xml:space="preserve"> La asamblea designará al liquidador y decidirá sobre su suplencia. A falta de nombramiento actuará el representante legal, conforme a la ley. El liquidador cumplirá sus deberes y las reglas de rendición y aprobación de cuentas.</w:t>
      </w:r>
    </w:p>
    <w:p>
      <w:pPr>
        <w:pBdr>
          <w:top w:val="nil"/>
          <w:left w:val="nil"/>
          <w:bottom w:val="nil"/>
          <w:right w:val="nil"/>
          <w:between w:val="nil"/>
        </w:pBdr>
        <w:rPr>
          <w:color w:val="000000"/>
          <w:sz w:val="22"/>
          <w:szCs w:val="22"/>
        </w:rPr>
      </w:pPr>
      <w:r>
        <w:rPr>
          <w:color w:val="000000"/>
          <w:sz w:val="22"/>
          <w:szCs w:val="22"/>
          <w:b/>
          <w:bCs/>
        </w:rPr>
        <w:t xml:space="preserve">Artículo 59. Funcionamiento de la asamblea general de accionistas durante la liquidación.</w:t>
      </w:r>
      <w:r>
        <w:rPr>
          <w:color w:val="000000"/>
          <w:sz w:val="22"/>
          <w:szCs w:val="22"/>
        </w:rPr>
        <w:t xml:space="preserve"> Durante el período de liquidación la asamblea general de accionistas sesionará en reuniones ordinarias o extraordinarias en la forma prevista en estos estatutos y tendrá todas las funciones compatibles con el estado de liquidación, tales como nombrar y remover libremente al liquidador y a su suplente, aprobar la cuenta final y el acta de distribución.</w:t>
      </w:r>
    </w:p>
    <w:p>
      <w:pPr>
        <w:pBdr>
          <w:top w:val="nil"/>
          <w:left w:val="nil"/>
          <w:bottom w:val="nil"/>
          <w:right w:val="nil"/>
          <w:between w:val="nil"/>
        </w:pBdr>
        <w:rPr>
          <w:color w:val="000000"/>
          <w:sz w:val="22"/>
          <w:szCs w:val="22"/>
        </w:rPr>
      </w:pPr>
      <w:r>
        <w:rPr>
          <w:color w:val="000000"/>
          <w:sz w:val="22"/>
          <w:szCs w:val="22"/>
          <w:b/>
          <w:bCs/>
        </w:rPr>
        <w:t xml:space="preserve">Artículo 60. Cuentas de la administración y del liquidador.</w:t>
      </w:r>
      <w:r>
        <w:rPr>
          <w:color w:val="000000"/>
          <w:sz w:val="22"/>
          <w:szCs w:val="22"/>
        </w:rPr>
        <w:t xml:space="preserve"> Se aplicarán los requisitos y plazos legales para la aprobación previa de cuentas de quien haya administrado bienes sociales y pretenda ejercer como liquidador, así como para su reemplazo cuando proceda.</w:t>
      </w:r>
    </w:p>
    <w:p>
      <w:pPr>
        <w:pBdr>
          <w:top w:val="nil"/>
          <w:left w:val="nil"/>
          <w:bottom w:val="nil"/>
          <w:right w:val="nil"/>
          <w:between w:val="nil"/>
        </w:pBdr>
        <w:rPr>
          <w:color w:val="000000"/>
          <w:sz w:val="22"/>
          <w:szCs w:val="22"/>
        </w:rPr>
      </w:pPr>
      <w:r>
        <w:rPr>
          <w:color w:val="000000"/>
          <w:sz w:val="22"/>
          <w:szCs w:val="22"/>
          <w:b/>
          <w:bCs/>
        </w:rPr>
        <w:t xml:space="preserve">Artículo 61. Aviso de la liquidación.</w:t>
      </w:r>
      <w:r>
        <w:rPr>
          <w:color w:val="000000"/>
          <w:sz w:val="22"/>
          <w:szCs w:val="22"/>
        </w:rPr>
        <w:t xml:space="preserve"> Una vez disuelta la sociedad, el liquidador deberá dar aviso del estado de liquidación, lo cual se hará en un periódico que circule regularmente en el lugar del domicilio social y se fijará en lugar visible de las oficinas y establecimientos comerciales de la sociedad.</w:t>
      </w:r>
    </w:p>
    <w:p>
      <w:pPr>
        <w:pBdr>
          <w:top w:val="nil"/>
          <w:left w:val="nil"/>
          <w:bottom w:val="nil"/>
          <w:right w:val="nil"/>
          <w:between w:val="nil"/>
        </w:pBdr>
        <w:rPr>
          <w:color w:val="000000"/>
          <w:sz w:val="22"/>
          <w:szCs w:val="22"/>
        </w:rPr>
      </w:pPr>
      <w:r>
        <w:rPr>
          <w:color w:val="000000"/>
          <w:sz w:val="22"/>
          <w:szCs w:val="22"/>
          <w:b/>
          <w:bCs/>
        </w:rPr>
        <w:t xml:space="preserve">Artículo 62. Régimen de liquidación y remanente.</w:t>
      </w:r>
      <w:r>
        <w:rPr>
          <w:color w:val="000000"/>
          <w:sz w:val="22"/>
          <w:szCs w:val="22"/>
        </w:rPr>
        <w:t xml:space="preserve"> La liquidación se sujetará al procedimiento legal aplicable a la S.A.S. El pasivo externo se pagará respetando su prelación. Solo el remanente distribuible entre accionistas se asignará conforme a los derechos de liquidación de cada clase previstos en el artículo 6. Las preferencias en dividendos no se extenderán por sí solas al remanente.</w:t>
      </w:r>
    </w:p>
    <w:p w14:paraId="2787DE99" w14:textId="77777777" w:rsidR="00576A5F" w:rsidRDefault="00000000">
      <w:pPr>
        <w:pStyle w:val="Ttulo2"/>
        <w:jc w:val="center"/>
        <w:rPr>
          <w:sz w:val="22"/>
          <w:szCs w:val="22"/>
        </w:rPr>
      </w:pPr>
      <w:bookmarkStart w:id="7" w:name="bookmark=id.sr6s9xdpacer" w:colFirst="0" w:colLast="0"/>
      <w:bookmarkEnd w:id="7"/>
      <w:r>
        <w:rPr>
          <w:sz w:val="22"/>
          <w:szCs w:val="22"/>
        </w:rPr>
        <w:t>CAPÍTULO IX - DISPOSICIONES VARIAS</w:t>
      </w:r>
    </w:p>
    <w:p>
      <w:pPr>
        <w:pBdr>
          <w:top w:val="nil"/>
          <w:left w:val="nil"/>
          <w:bottom w:val="nil"/>
          <w:right w:val="nil"/>
          <w:between w:val="nil"/>
        </w:pBdr>
        <w:rPr>
          <w:color w:val="000000"/>
          <w:sz w:val="22"/>
          <w:szCs w:val="22"/>
        </w:rPr>
      </w:pPr>
      <w:r>
        <w:rPr>
          <w:color w:val="000000"/>
          <w:sz w:val="22"/>
          <w:szCs w:val="22"/>
          <w:b/>
          <w:bCs/>
        </w:rPr>
        <w:t xml:space="preserve">Artículo 63. Solución de controversias.</w:t>
      </w:r>
      <w:r>
        <w:rPr>
          <w:color w:val="000000"/>
          <w:sz w:val="22"/>
          <w:szCs w:val="22"/>
        </w:rPr>
        <w:t xml:space="preserve"> Las partes procurarán arreglo directo durante {{controversias.dias_arreglo}} días calendario desde la comunicación escrita del conflicto, sin impedir medidas cautelares ni desconocer términos de caducidad o prescripción.</w:t>
      </w:r>
    </w:p>
    <w:p>
      <w:pPr>
        <w:pBdr>
          <w:top w:val="nil"/>
          <w:left w:val="nil"/>
          <w:bottom w:val="nil"/>
          <w:right w:val="nil"/>
          <w:between w:val="nil"/>
        </w:pBdr>
        <w:rPr>
          <w:color w:val="000000"/>
          <w:sz w:val="22"/>
          <w:szCs w:val="22"/>
        </w:rPr>
      </w:pPr>
      <w:r>
        <w:rPr>
          <w:color w:val="000000"/>
          <w:sz w:val="22"/>
          <w:szCs w:val="22"/>
        </w:rPr>
        <w:t xml:space="preserve">[[SI opciones.arbitraje]]</w:t>
      </w:r>
    </w:p>
    <w:p>
      <w:pPr>
        <w:pBdr>
          <w:top w:val="nil"/>
          <w:left w:val="nil"/>
          <w:bottom w:val="nil"/>
          <w:right w:val="nil"/>
          <w:between w:val="nil"/>
        </w:pBdr>
        <w:rPr>
          <w:color w:val="000000"/>
          <w:sz w:val="22"/>
          <w:szCs w:val="22"/>
        </w:rPr>
      </w:pPr>
      <w:r>
        <w:rPr>
          <w:color w:val="000000"/>
          <w:sz w:val="22"/>
          <w:szCs w:val="22"/>
        </w:rPr>
        <w:t xml:space="preserve">(ALTERNATIVA A — INCLUIR SI SE ELIGE: ARBITRAJE.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Las controversias susceptibles de arbitraje entre accionistas, o entre estos y la sociedad o sus administradores, derivadas del contrato social, incluida la impugnación de decisiones sociales en cuanto sea arbitrable, se resolverán por un tribunal de {{controversias.numero_arbitros}} árbitro(s), que decidirá en derecho. Será administrado por {{controversias.centro_arbitraje}}, con sede en {{controversias.sede}}, conforme a su reglamento. Los árbitros se designarán de común acuerdo dentro de {{controversias.dias_designacion}} días calendario; a falta de acuerdo serán designados por el centro conforme a su reglamento.</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opciones.sin_arbitraje]]</w:t>
      </w:r>
    </w:p>
    <w:p>
      <w:pPr>
        <w:pBdr>
          <w:top w:val="nil"/>
          <w:left w:val="nil"/>
          <w:bottom w:val="nil"/>
          <w:right w:val="nil"/>
          <w:between w:val="nil"/>
        </w:pBdr>
        <w:rPr>
          <w:color w:val="000000"/>
          <w:sz w:val="22"/>
          <w:szCs w:val="22"/>
        </w:rPr>
      </w:pPr>
      <w:r>
        <w:rPr>
          <w:color w:val="000000"/>
          <w:sz w:val="22"/>
          <w:szCs w:val="22"/>
        </w:rPr>
        <w:t xml:space="preserve">(ALTERNATIVA B — NO INCLUIR: ARBITRAJE.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Las controversias serán conocidas por la autoridad judicial competente, incluida la Superintendencia de Sociedades cuando tenga competencia, conforme a las reglas legales.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64. Ejercicio de los derechos inherentes a la calidad de accionista.</w:t>
      </w:r>
      <w:r>
        <w:rPr>
          <w:color w:val="000000"/>
          <w:sz w:val="22"/>
          <w:szCs w:val="22"/>
        </w:rPr>
        <w:t xml:space="preserve"> Los accionistas de la sociedad deberán ejercer el derecho de voto en el interés de ésta. Se considerará abusivo el voto ejercido con el propósito de causar daño a la sociedad o a otros accionistas o de obtener para sí o para una tercera persona ventaja injustificada, así como aquel voto del que pueda resultar un perjuicio para la sociedad o para los otros accionistas. Quien abuse de sus derechos de accionista en las determinaciones adoptadas en la asamblea general de accionistas, responderá por los daños que ocasione.</w:t>
      </w:r>
    </w:p>
    <w:p>
      <w:pPr>
        <w:pBdr>
          <w:top w:val="nil"/>
          <w:left w:val="nil"/>
          <w:bottom w:val="nil"/>
          <w:right w:val="nil"/>
          <w:between w:val="nil"/>
        </w:pBdr>
        <w:rPr>
          <w:color w:val="000000"/>
          <w:sz w:val="22"/>
          <w:szCs w:val="22"/>
        </w:rPr>
      </w:pPr>
      <w:r>
        <w:rPr>
          <w:color w:val="000000"/>
          <w:sz w:val="22"/>
          <w:szCs w:val="22"/>
        </w:rPr>
        <w:t xml:space="preserve">La acción de nulidad absoluta y la de indemnización de perjuicios de la determinación respectiva podrán ejercerse tanto en los casos de abuso de mayoría, como en los de minoría y de paridad.</w:t>
      </w:r>
    </w:p>
    <w:p>
      <w:pPr>
        <w:pBdr>
          <w:top w:val="nil"/>
          <w:left w:val="nil"/>
          <w:bottom w:val="nil"/>
          <w:right w:val="nil"/>
          <w:between w:val="nil"/>
        </w:pBdr>
        <w:rPr>
          <w:color w:val="000000"/>
          <w:sz w:val="22"/>
          <w:szCs w:val="22"/>
        </w:rPr>
      </w:pPr>
      <w:r>
        <w:rPr>
          <w:color w:val="000000"/>
          <w:sz w:val="22"/>
          <w:szCs w:val="22"/>
          <w:b/>
          <w:bCs/>
        </w:rPr>
        <w:t xml:space="preserve">Artículo 65. Prohibiciones y coordinación familiar.</w:t>
      </w:r>
      <w:r>
        <w:rPr>
          <w:color w:val="000000"/>
          <w:sz w:val="22"/>
          <w:szCs w:val="22"/>
        </w:rPr>
        <w:t xml:space="preserve"> Los administradores no ejecutarán actos sujetos a autorización sin obtenerla ni utilizarán indebidamente información reservada. Los préstamos, garantías, gravámenes y usufructos se regirán exclusivamente por las reglas específicas de estos estatutos, evitando duplicar mayorías incompatibles.</w:t>
      </w:r>
    </w:p>
    <w:p>
      <w:pPr>
        <w:pBdr>
          <w:top w:val="nil"/>
          <w:left w:val="nil"/>
          <w:bottom w:val="nil"/>
          <w:right w:val="nil"/>
          <w:between w:val="nil"/>
        </w:pBdr>
        <w:rPr>
          <w:color w:val="000000"/>
          <w:sz w:val="22"/>
          <w:szCs w:val="22"/>
        </w:rPr>
      </w:pPr>
      <w:r>
        <w:rPr>
          <w:color w:val="000000"/>
          <w:sz w:val="22"/>
          <w:szCs w:val="22"/>
        </w:rPr>
        <w:t xml:space="preserve">[[SI opciones.protocolo_familia]]</w:t>
      </w:r>
    </w:p>
    <w:p>
      <w:pPr>
        <w:pBdr>
          <w:top w:val="nil"/>
          <w:left w:val="nil"/>
          <w:bottom w:val="nil"/>
          <w:right w:val="nil"/>
          <w:between w:val="nil"/>
        </w:pBdr>
        <w:rPr>
          <w:color w:val="000000"/>
          <w:sz w:val="22"/>
          <w:szCs w:val="22"/>
        </w:rPr>
      </w:pPr>
      <w:r>
        <w:rPr>
          <w:color w:val="000000"/>
          <w:sz w:val="22"/>
          <w:szCs w:val="22"/>
        </w:rPr>
        <w:t xml:space="preserve">(ALTERNATIVA A — INCLUIR SI SE ELIGE: PROTOCOLO FAMILIA.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Los accionistas podrán adoptar un protocolo de familia sobre {{familia.materias_protocolo}}. Solo tendrá la eficacia contractual, estatutaria o de acuerdo de accionistas que corresponda por su contenido y formalización. Su sola existencia no modifica estos estatutos ni lo hace oponible a terceros. Las estipulaciones que reúnan los requisitos del artículo 24 de la Ley 1258 de 2008 se depositarán como acuerdos de accionistas para los efectos allí previstos.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66. Opción de compra ante adjudicaciones a terceros.</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opciones.opcion_compra]]</w:t>
      </w:r>
    </w:p>
    <w:p>
      <w:pPr>
        <w:pBdr>
          <w:top w:val="nil"/>
          <w:left w:val="nil"/>
          <w:bottom w:val="nil"/>
          <w:right w:val="nil"/>
          <w:between w:val="nil"/>
        </w:pBdr>
        <w:rPr>
          <w:color w:val="000000"/>
          <w:sz w:val="22"/>
          <w:szCs w:val="22"/>
        </w:rPr>
      </w:pPr>
      <w:r>
        <w:rPr>
          <w:color w:val="000000"/>
          <w:sz w:val="22"/>
          <w:szCs w:val="22"/>
        </w:rPr>
        <w:t xml:space="preserve">(ALTERNATIVA A — INCLUIR SI SE ELIGE: OPCION COMPRA.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Los accionistas conceden, en los términos de esta cláusula, una opción de compra sobre las acciones de las clases {{opcion_compra.clases}} que sean adjudicadas a {{opcion_compra.terceros_comprendidos}} por {{opcion_compra.eventos}}. Serán beneficiarios {{opcion_compra.beneficiarios_orden}}; si concurrieren varios del mismo turno, se distribuirán las acciones entre ellos conforme a {{opcion_compra.prorrata}}.</w:t>
      </w:r>
    </w:p>
    <w:p>
      <w:pPr>
        <w:pBdr>
          <w:top w:val="nil"/>
          <w:left w:val="nil"/>
          <w:bottom w:val="nil"/>
          <w:right w:val="nil"/>
          <w:between w:val="nil"/>
        </w:pBdr>
        <w:rPr>
          <w:color w:val="000000"/>
          <w:sz w:val="22"/>
          <w:szCs w:val="22"/>
        </w:rPr>
      </w:pPr>
      <w:r>
        <w:rPr>
          <w:color w:val="000000"/>
          <w:sz w:val="22"/>
          <w:szCs w:val="22"/>
        </w:rPr>
        <w:t xml:space="preserve">Los eventos deberán ocurrir hasta {{opcion_compra.fecha_limite_eventos}}. La opción podrá ejercerse dentro de {{opcion_compra.plazo_ejercicio}} desde {{opcion_compra.inicio_computo}}, mediante comunicación escrita al adjudicatario y a la sociedad que identifique beneficiario, evento, acciones y voluntad inequívoca de compra.</w:t>
      </w:r>
    </w:p>
    <w:p>
      <w:pPr>
        <w:pBdr>
          <w:top w:val="nil"/>
          <w:left w:val="nil"/>
          <w:bottom w:val="nil"/>
          <w:right w:val="nil"/>
          <w:between w:val="nil"/>
        </w:pBdr>
        <w:rPr>
          <w:color w:val="000000"/>
          <w:sz w:val="22"/>
          <w:szCs w:val="22"/>
        </w:rPr>
      </w:pPr>
      <w:r>
        <w:rPr>
          <w:color w:val="000000"/>
          <w:sz w:val="22"/>
          <w:szCs w:val="22"/>
        </w:rPr>
        <w:t xml:space="preserve">El precio se determinará a la fecha {{opcion_compra.fecha_valoracion}} mediante {{opcion_compra.metodo_valoracion}}, considerando los derechos económicos, políticos y de liquidación de la clase después de cualquier conversión aplicable. El valorador independiente será designado por acuerdo dentro de {{opcion_compra.dias_designacion_perito}} días hábiles; en defecto de acuerdo, lo designará {{opcion_compra.entidad_designadora}} conforme a su procedimiento. Sus requisitos de experiencia e independencia serán {{opcion_compra.requisitos_perito}}. Deberá valorar dentro de {{opcion_compra.dias_valoracion}} días hábiles desde la entrega de información suficiente.</w:t>
      </w:r>
    </w:p>
    <w:p>
      <w:pPr>
        <w:pBdr>
          <w:top w:val="nil"/>
          <w:left w:val="nil"/>
          <w:bottom w:val="nil"/>
          <w:right w:val="nil"/>
          <w:between w:val="nil"/>
        </w:pBdr>
        <w:rPr>
          <w:color w:val="000000"/>
          <w:sz w:val="22"/>
          <w:szCs w:val="22"/>
        </w:rPr>
      </w:pPr>
      <w:r>
        <w:rPr>
          <w:color w:val="000000"/>
          <w:sz w:val="22"/>
          <w:szCs w:val="22"/>
        </w:rPr>
        <w:t xml:space="preserve">El régimen de objeciones, segunda valoración y determinación final será {{opcion_compra.objeciones}}. Los costos se asumirán según {{opcion_compra.costos}}. Determinado el precio, el pago, sus garantías y el cierre de la transferencia se realizarán conforme a {{opcion_compra.pago_garantias_cierre}}.</w:t>
      </w:r>
    </w:p>
    <w:p>
      <w:pPr>
        <w:pBdr>
          <w:top w:val="nil"/>
          <w:left w:val="nil"/>
          <w:bottom w:val="nil"/>
          <w:right w:val="nil"/>
          <w:between w:val="nil"/>
        </w:pBdr>
        <w:rPr>
          <w:color w:val="000000"/>
          <w:sz w:val="22"/>
          <w:szCs w:val="22"/>
        </w:rPr>
      </w:pPr>
      <w:r>
        <w:rPr>
          <w:color w:val="000000"/>
          <w:sz w:val="22"/>
          <w:szCs w:val="22"/>
        </w:rPr>
        <w:t xml:space="preserve">Esta opción no impide la adjudicación judicial, no autoriza apropiación unilateral de acciones ni sustituye el trámite para exigir su cumplimiento. Si la sociedad es beneficiaria, su ejercicio queda condicionado a cumplir los requisitos de readquisición; si no los cumple, se pasará al siguiente beneficiario. Se respetarán los derechos sucesorales y patrimoniales imperativos de los adjudicatarios.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opciones.sin_opcion_compra]]</w:t>
      </w:r>
    </w:p>
    <w:p>
      <w:pPr>
        <w:pBdr>
          <w:top w:val="nil"/>
          <w:left w:val="nil"/>
          <w:bottom w:val="nil"/>
          <w:right w:val="nil"/>
          <w:between w:val="nil"/>
        </w:pBdr>
        <w:rPr>
          <w:color w:val="000000"/>
          <w:sz w:val="22"/>
          <w:szCs w:val="22"/>
        </w:rPr>
      </w:pPr>
      <w:r>
        <w:rPr>
          <w:color w:val="000000"/>
          <w:sz w:val="22"/>
          <w:szCs w:val="22"/>
        </w:rPr>
        <w:t xml:space="preserve">(ALTERNATIVA B — NO INCLUIR: OPCION COMPRA.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No se pacta opción estatutaria de compra por adjudicación a terceros.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67. Exclusión de accionistas.</w:t>
      </w:r>
      <w:r>
        <w:rPr>
          <w:color w:val="000000"/>
          <w:sz w:val="22"/>
          <w:szCs w:val="22"/>
        </w:rPr>
        <w:t xml:space="preserve"/>
      </w:r>
    </w:p>
    <w:p>
      <w:pPr>
        <w:pBdr>
          <w:top w:val="nil"/>
          <w:left w:val="nil"/>
          <w:bottom w:val="nil"/>
          <w:right w:val="nil"/>
          <w:between w:val="nil"/>
        </w:pBdr>
        <w:rPr>
          <w:color w:val="000000"/>
          <w:sz w:val="22"/>
          <w:szCs w:val="22"/>
        </w:rPr>
      </w:pPr>
      <w:r>
        <w:rPr>
          <w:color w:val="000000"/>
          <w:sz w:val="22"/>
          <w:szCs w:val="22"/>
        </w:rPr>
        <w:t xml:space="preserve">[[SI opciones.exclusion]]</w:t>
      </w:r>
    </w:p>
    <w:p>
      <w:pPr>
        <w:pBdr>
          <w:top w:val="nil"/>
          <w:left w:val="nil"/>
          <w:bottom w:val="nil"/>
          <w:right w:val="nil"/>
          <w:between w:val="nil"/>
        </w:pBdr>
        <w:rPr>
          <w:color w:val="000000"/>
          <w:sz w:val="22"/>
          <w:szCs w:val="22"/>
        </w:rPr>
      </w:pPr>
      <w:r>
        <w:rPr>
          <w:color w:val="000000"/>
          <w:sz w:val="22"/>
          <w:szCs w:val="22"/>
        </w:rPr>
        <w:t xml:space="preserve">(ALTERNATIVA A — INCLUIR SI SE ELIGE: EXCLUSION.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Podrán ser excluidos los titulares de las clases {{exclusion.clases}} únicamente por las causales objetivas siguientes:</w:t>
      </w:r>
    </w:p>
    <w:p>
      <w:pPr>
        <w:pBdr>
          <w:top w:val="nil"/>
          <w:left w:val="nil"/>
          <w:bottom w:val="nil"/>
          <w:right w:val="nil"/>
          <w:between w:val="nil"/>
        </w:pBdr>
        <w:rPr>
          <w:color w:val="000000"/>
          <w:sz w:val="22"/>
          <w:szCs w:val="22"/>
        </w:rPr>
      </w:pPr>
      <w:r>
        <w:rPr>
          <w:color w:val="000000"/>
          <w:sz w:val="22"/>
          <w:szCs w:val="22"/>
        </w:rPr>
        <w:t xml:space="preserve">[[REPETIR exclusion.causales COMO causal]]</w:t>
      </w:r>
    </w:p>
    <w:p>
      <w:pPr>
        <w:pBdr>
          <w:top w:val="nil"/>
          <w:left w:val="nil"/>
          <w:bottom w:val="nil"/>
          <w:right w:val="nil"/>
          <w:between w:val="nil"/>
        </w:pBdr>
        <w:rPr>
          <w:color w:val="000000"/>
          <w:sz w:val="22"/>
          <w:szCs w:val="22"/>
        </w:rPr>
      </w:pPr>
      <w:r>
        <w:rPr>
          <w:color w:val="000000"/>
          <w:sz w:val="22"/>
          <w:szCs w:val="22"/>
        </w:rPr>
        <w:t xml:space="preserve">{{causal.codigo}}. {{causal.descripcion}}. Hechos y medios de acreditación exigidos: {{causal.acreditacion}}.</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El representante legal comunicará por escrito los hechos, causal y pruebas al afectado, con una antelación mínima de {{exclusion.dias_defensa}} días hábiles a la reunión convocada para decidir. Permitirá acceder al expediente, controvertir y aportar pruebas y presentar defensa. El afectado podrá intervenir; su inasistencia o silencio no constituirán confesión ni presunción de responsabilidad.</w:t>
      </w:r>
    </w:p>
    <w:p>
      <w:pPr>
        <w:pBdr>
          <w:top w:val="nil"/>
          <w:left w:val="nil"/>
          <w:bottom w:val="nil"/>
          <w:right w:val="nil"/>
          <w:between w:val="nil"/>
        </w:pBdr>
        <w:rPr>
          <w:color w:val="000000"/>
          <w:sz w:val="22"/>
          <w:szCs w:val="22"/>
        </w:rPr>
      </w:pPr>
      <w:r>
        <w:rPr>
          <w:color w:val="000000"/>
          <w:sz w:val="22"/>
          <w:szCs w:val="22"/>
        </w:rPr>
        <w:t xml:space="preserve">La decisión motivada requerirá {{mayorias.exclusion}}, excluyendo al afectado del voto y de la base de cálculo correspondiente, y se notificará por escrito. La decisión podrá controvertirse ante la autoridad competente.</w:t>
      </w:r>
    </w:p>
    <w:p>
      <w:pPr>
        <w:pBdr>
          <w:top w:val="nil"/>
          <w:left w:val="nil"/>
          <w:bottom w:val="nil"/>
          <w:right w:val="nil"/>
          <w:between w:val="nil"/>
        </w:pBdr>
        <w:rPr>
          <w:color w:val="000000"/>
          <w:sz w:val="22"/>
          <w:szCs w:val="22"/>
        </w:rPr>
      </w:pPr>
      <w:r>
        <w:rPr>
          <w:color w:val="000000"/>
          <w:sz w:val="22"/>
          <w:szCs w:val="22"/>
        </w:rPr>
        <w:t xml:space="preserve">El reembolso se sujetará a los artículos 14 a 16 de la Ley 222 de 1995 y, si implica reducción de capital, al artículo 145 del Código de Comercio. El valor se establecerá mediante {{exclusion.metodo_reembolso}}, sin descuentos sancionatorios automáticos. El procedimiento contractual de valoración no desplazará las garantías y mecanismos imperativos del reembolso.</w:t>
      </w:r>
    </w:p>
    <w:p>
      <w:pPr>
        <w:pBdr>
          <w:top w:val="nil"/>
          <w:left w:val="nil"/>
          <w:bottom w:val="nil"/>
          <w:right w:val="nil"/>
          <w:between w:val="nil"/>
        </w:pBdr>
        <w:rPr>
          <w:color w:val="000000"/>
          <w:sz w:val="22"/>
          <w:szCs w:val="22"/>
        </w:rPr>
      </w:pPr>
      <w:r>
        <w:rPr>
          <w:color w:val="000000"/>
          <w:sz w:val="22"/>
          <w:szCs w:val="22"/>
        </w:rPr>
        <w:t xml:space="preserve">El matrimonio, la unión marital, el ejercicio legítimo de acciones judiciales o la simple existencia de una demanda contra un aporte no constituyen, por sí solos, causales de exclusión en esta plantilla.</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opciones.sin_exclusion]]</w:t>
      </w:r>
    </w:p>
    <w:p>
      <w:pPr>
        <w:pBdr>
          <w:top w:val="nil"/>
          <w:left w:val="nil"/>
          <w:bottom w:val="nil"/>
          <w:right w:val="nil"/>
          <w:between w:val="nil"/>
        </w:pBdr>
        <w:rPr>
          <w:color w:val="000000"/>
          <w:sz w:val="22"/>
          <w:szCs w:val="22"/>
        </w:rPr>
      </w:pPr>
      <w:r>
        <w:rPr>
          <w:color w:val="000000"/>
          <w:sz w:val="22"/>
          <w:szCs w:val="22"/>
        </w:rPr>
        <w:t xml:space="preserve">(ALTERNATIVA B — NO INCLUIR: EXCLUSION.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No se pactan causales estatutarias de exclusión, sin perjuicio de las medidas que autorice directamente la ley.</w:t>
      </w:r>
    </w:p>
    <w:p>
      <w:pPr>
        <w:pBdr>
          <w:top w:val="nil"/>
          <w:left w:val="nil"/>
          <w:bottom w:val="nil"/>
          <w:right w:val="nil"/>
          <w:between w:val="nil"/>
        </w:pBdr>
        <w:rPr>
          <w:color w:val="000000"/>
          <w:sz w:val="22"/>
          <w:szCs w:val="22"/>
        </w:rPr>
      </w:pPr>
      <w:r>
        <w:rPr>
          <w:color w:val="000000"/>
          <w:sz w:val="22"/>
          <w:szCs w:val="22"/>
        </w:rPr>
        <w:t xml:space="preserve">[[FIN_SI]]</w:t>
      </w:r>
    </w:p>
    <w:p w14:paraId="0A3A83DA" w14:textId="77777777" w:rsidR="00576A5F" w:rsidRDefault="00000000">
      <w:pPr>
        <w:pStyle w:val="Ttulo2"/>
        <w:jc w:val="center"/>
        <w:rPr>
          <w:sz w:val="22"/>
          <w:szCs w:val="22"/>
        </w:rPr>
      </w:pPr>
      <w:bookmarkStart w:id="8" w:name="bookmark=id.da5ip2izv196" w:colFirst="0" w:colLast="0"/>
      <w:bookmarkEnd w:id="8"/>
      <w:r>
        <w:rPr>
          <w:sz w:val="22"/>
          <w:szCs w:val="22"/>
        </w:rPr>
        <w:t>CAPÍTULO X - DISPOSICIONES TRANSITORIAS</w:t>
      </w:r>
    </w:p>
    <w:p>
      <w:pPr>
        <w:pBdr>
          <w:top w:val="nil"/>
          <w:left w:val="nil"/>
          <w:bottom w:val="nil"/>
          <w:right w:val="nil"/>
          <w:between w:val="nil"/>
        </w:pBdr>
        <w:rPr>
          <w:color w:val="000000"/>
          <w:sz w:val="22"/>
          <w:szCs w:val="22"/>
        </w:rPr>
      </w:pPr>
      <w:r>
        <w:rPr>
          <w:color w:val="000000"/>
          <w:sz w:val="22"/>
          <w:szCs w:val="22"/>
          <w:b/>
          <w:bCs/>
        </w:rPr>
        <w:t xml:space="preserve">Artículo Primero Transitorio.</w:t>
      </w:r>
      <w:r>
        <w:rPr>
          <w:color w:val="000000"/>
          <w:sz w:val="22"/>
          <w:szCs w:val="22"/>
        </w:rPr>
        <w:t xml:space="preserve"> Nombramientos iniciales.</w:t>
      </w:r>
    </w:p>
    <w:p>
      <w:pPr>
        <w:pBdr>
          <w:top w:val="nil"/>
          <w:left w:val="nil"/>
          <w:bottom w:val="nil"/>
          <w:right w:val="nil"/>
          <w:between w:val="nil"/>
        </w:pBdr>
        <w:rPr>
          <w:color w:val="000000"/>
          <w:sz w:val="22"/>
          <w:szCs w:val="22"/>
        </w:rPr>
      </w:pPr>
      <w:r>
        <w:rPr>
          <w:color w:val="000000"/>
          <w:sz w:val="22"/>
          <w:szCs w:val="22"/>
        </w:rPr>
        <w:t xml:space="preserve">[[REPETIR nombramientos COMO nombramiento]]</w:t>
      </w:r>
    </w:p>
    <w:p>
      <w:pPr>
        <w:pBdr>
          <w:top w:val="nil"/>
          <w:left w:val="nil"/>
          <w:bottom w:val="nil"/>
          <w:right w:val="nil"/>
          <w:between w:val="nil"/>
        </w:pBdr>
        <w:rPr>
          <w:color w:val="000000"/>
          <w:sz w:val="22"/>
          <w:szCs w:val="22"/>
        </w:rPr>
      </w:pPr>
      <w:r>
        <w:rPr>
          <w:color w:val="000000"/>
          <w:sz w:val="22"/>
          <w:szCs w:val="22"/>
        </w:rPr>
        <w:t xml:space="preserve">Cargo: {{nombramiento.cargo}}. Designado(a): {{nombramiento.nombre}}. Identificación: {{nombramiento.tipo_documento}} {{nombramiento.numero_documento}}. Domicilio: {{nombramiento.domicilio}}. Tarjeta profesional, si aplica: {{nombramiento.tarjeta_profesional}}. Aceptación: {{nombramiento.aceptacion_soporte}}.</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Situación de cargos de suplencia: {{nombramientos_situacion_inicial}}.</w:t>
      </w:r>
    </w:p>
    <w:p>
      <w:pPr>
        <w:pBdr>
          <w:top w:val="nil"/>
          <w:left w:val="nil"/>
          <w:bottom w:val="nil"/>
          <w:right w:val="nil"/>
          <w:between w:val="nil"/>
        </w:pBdr>
        <w:rPr>
          <w:color w:val="000000"/>
          <w:sz w:val="22"/>
          <w:szCs w:val="22"/>
        </w:rPr>
      </w:pPr>
      <w:r>
        <w:rPr>
          <w:color w:val="000000"/>
          <w:sz w:val="22"/>
          <w:szCs w:val="22"/>
          <w:b/>
          <w:bCs/>
        </w:rPr>
        <w:t xml:space="preserve">Artículo Segundo Transitorio.</w:t>
      </w:r>
      <w:r>
        <w:rPr>
          <w:color w:val="000000"/>
          <w:sz w:val="22"/>
          <w:szCs w:val="22"/>
        </w:rPr>
        <w:t xml:space="preserve"> Composición del capital social.</w:t>
      </w:r>
    </w:p>
    <w:p>
      <w:pPr>
        <w:pBdr>
          <w:top w:val="nil"/>
          <w:left w:val="nil"/>
          <w:bottom w:val="nil"/>
          <w:right w:val="nil"/>
          <w:between w:val="nil"/>
        </w:pBdr>
        <w:rPr>
          <w:color w:val="000000"/>
          <w:sz w:val="22"/>
          <w:szCs w:val="22"/>
        </w:rPr>
      </w:pPr>
      <w:r>
        <w:rPr>
          <w:color w:val="000000"/>
          <w:sz w:val="22"/>
          <w:szCs w:val="22"/>
        </w:rPr>
        <w:t xml:space="preserve">[[REPETIR suscripciones COMO suscripcion: duplicar la fila de datos de la tabla y el detalle individual que sigue por cada suscripción; conservar encabezado y totales una sola vez]]</w:t>
      </w:r>
    </w:p>
    <w:tbl>
      <w:tblPr>
        <w:tblStyle w:val="a"/>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445"/>
        <w:gridCol w:w="1635"/>
        <w:gridCol w:w="1560"/>
        <w:gridCol w:w="2190"/>
        <w:gridCol w:w="1500"/>
      </w:tblGrid>
      <w:tr w:rsidR="00576A5F" w14:paraId="3D05F4BF" w14:textId="77777777" w:rsidTr="00576A5F">
        <w:trPr>
          <w:cnfStyle w:val="100000000000" w:firstRow="1" w:lastRow="0" w:firstColumn="0" w:lastColumn="0" w:oddVBand="0" w:evenVBand="0" w:oddHBand="0" w:evenHBand="0" w:firstRowFirstColumn="0" w:firstRowLastColumn="0" w:lastRowFirstColumn="0" w:lastRowLastColumn="0"/>
          <w:tblHeader/>
        </w:trPr>
        <w:tc>
          <w:tcPr>
            <w:tcW w:w="2445" w:type="dxa"/>
          </w:tcPr>
          <w:p w14:paraId="4A636324" w14:textId="77777777" w:rsidR="00576A5F" w:rsidRDefault="00000000">
            <w:pPr>
              <w:pBdr>
                <w:top w:val="nil"/>
                <w:left w:val="nil"/>
                <w:bottom w:val="nil"/>
                <w:right w:val="nil"/>
                <w:between w:val="nil"/>
              </w:pBdr>
              <w:spacing w:before="36" w:after="36"/>
              <w:jc w:val="left"/>
              <w:rPr>
                <w:color w:val="000000"/>
                <w:sz w:val="22"/>
                <w:szCs w:val="22"/>
              </w:rPr>
            </w:pPr>
            <w:r>
              <w:rPr>
                <w:color w:val="000000"/>
                <w:sz w:val="22"/>
                <w:szCs w:val="22"/>
              </w:rPr>
              <w:t>Accionista</w:t>
            </w:r>
          </w:p>
        </w:tc>
        <w:tc>
          <w:tcPr>
            <w:tcW w:w="1635" w:type="dxa"/>
          </w:tcPr>
          <w:p w14:paraId="61DF3385" w14:textId="77777777" w:rsidR="00576A5F" w:rsidRDefault="00000000">
            <w:pPr>
              <w:pBdr>
                <w:top w:val="nil"/>
                <w:left w:val="nil"/>
                <w:bottom w:val="nil"/>
                <w:right w:val="nil"/>
                <w:between w:val="nil"/>
              </w:pBdr>
              <w:spacing w:before="36" w:after="36"/>
              <w:jc w:val="left"/>
              <w:rPr>
                <w:color w:val="000000"/>
                <w:sz w:val="22"/>
                <w:szCs w:val="22"/>
              </w:rPr>
            </w:pPr>
            <w:r>
              <w:rPr>
                <w:color w:val="000000"/>
                <w:sz w:val="22"/>
                <w:szCs w:val="22"/>
              </w:rPr>
              <w:t>Clase de acciones</w:t>
            </w:r>
          </w:p>
        </w:tc>
        <w:tc>
          <w:tcPr>
            <w:tcW w:w="1560" w:type="dxa"/>
          </w:tcPr>
          <w:p w14:paraId="4AC84E2E" w14:textId="77777777" w:rsidR="00576A5F" w:rsidRDefault="00000000">
            <w:pPr>
              <w:pBdr>
                <w:top w:val="nil"/>
                <w:left w:val="nil"/>
                <w:bottom w:val="nil"/>
                <w:right w:val="nil"/>
                <w:between w:val="nil"/>
              </w:pBdr>
              <w:spacing w:before="36" w:after="36"/>
              <w:jc w:val="left"/>
              <w:rPr>
                <w:color w:val="000000"/>
                <w:sz w:val="22"/>
                <w:szCs w:val="22"/>
              </w:rPr>
            </w:pPr>
            <w:r>
              <w:rPr>
                <w:color w:val="000000"/>
                <w:sz w:val="22"/>
                <w:szCs w:val="22"/>
              </w:rPr>
              <w:t>Nro. de acciones</w:t>
            </w:r>
          </w:p>
        </w:tc>
        <w:tc>
          <w:tcPr>
            <w:tcW w:w="2190" w:type="dxa"/>
          </w:tcPr>
          <w:p w14:paraId="016C24E3" w14:textId="77777777" w:rsidR="00576A5F" w:rsidRDefault="00000000">
            <w:pPr>
              <w:pBdr>
                <w:top w:val="nil"/>
                <w:left w:val="nil"/>
                <w:bottom w:val="nil"/>
                <w:right w:val="nil"/>
                <w:between w:val="nil"/>
              </w:pBdr>
              <w:spacing w:before="36" w:after="36"/>
              <w:jc w:val="left"/>
              <w:rPr>
                <w:color w:val="000000"/>
                <w:sz w:val="22"/>
                <w:szCs w:val="22"/>
              </w:rPr>
            </w:pPr>
            <w:r>
              <w:rPr>
                <w:color w:val="000000"/>
                <w:sz w:val="22"/>
                <w:szCs w:val="22"/>
              </w:rPr>
              <w:t>Valor capital suscrito ($ COP)</w:t>
            </w:r>
          </w:p>
        </w:tc>
        <w:tc>
          <w:tcPr>
            <w:tcW w:w="1500" w:type="dxa"/>
          </w:tcPr>
          <w:p w14:paraId="2CCFDAB4" w14:textId="77777777" w:rsidR="00576A5F" w:rsidRDefault="00000000">
            <w:pPr>
              <w:pBdr>
                <w:top w:val="nil"/>
                <w:left w:val="nil"/>
                <w:bottom w:val="nil"/>
                <w:right w:val="nil"/>
                <w:between w:val="nil"/>
              </w:pBdr>
              <w:spacing w:before="36" w:after="36"/>
              <w:jc w:val="left"/>
              <w:rPr>
                <w:color w:val="000000"/>
                <w:sz w:val="22"/>
                <w:szCs w:val="22"/>
              </w:rPr>
            </w:pPr>
            <w:r>
              <w:rPr>
                <w:color w:val="000000"/>
                <w:sz w:val="22"/>
                <w:szCs w:val="22"/>
              </w:rPr>
              <w:t>Porcentaje</w:t>
            </w:r>
          </w:p>
        </w:tc>
      </w:tr>
      <w:tr w:rsidR="00576A5F" w14:paraId="4FC27585" w14:textId="77777777" w:rsidTr="00576A5F">
        <w:tc>
          <w:tcPr>
            <w:tcW w:w="2445" w:type="dxa"/>
          </w:tcPr>
          <w:p>
            <w:pPr>
              <w:pBdr>
                <w:top w:val="nil"/>
                <w:left w:val="nil"/>
                <w:bottom w:val="nil"/>
                <w:right w:val="nil"/>
                <w:between w:val="nil"/>
              </w:pBdr>
              <w:spacing w:before="36" w:after="36"/>
              <w:jc w:val="left"/>
              <w:rPr>
                <w:color w:val="000000"/>
                <w:sz w:val="22"/>
                <w:szCs w:val="22"/>
              </w:rPr>
            </w:pPr>
            <w:r>
              <w:rPr>
                <w:color w:val="000000"/>
                <w:sz w:val="22"/>
                <w:szCs w:val="22"/>
              </w:rPr>
              <w:t xml:space="preserve">{{suscripcion.accionista_nombre}}</w:t>
            </w:r>
          </w:p>
        </w:tc>
        <w:tc>
          <w:tcPr>
            <w:tcW w:w="1635" w:type="dxa"/>
          </w:tcPr>
          <w:p>
            <w:pPr>
              <w:pBdr>
                <w:top w:val="nil"/>
                <w:left w:val="nil"/>
                <w:bottom w:val="nil"/>
                <w:right w:val="nil"/>
                <w:between w:val="nil"/>
              </w:pBdr>
              <w:spacing w:before="36" w:after="36"/>
              <w:jc w:val="left"/>
              <w:rPr>
                <w:color w:val="000000"/>
                <w:sz w:val="22"/>
                <w:szCs w:val="22"/>
              </w:rPr>
            </w:pPr>
            <w:r>
              <w:rPr>
                <w:color w:val="000000"/>
                <w:sz w:val="22"/>
                <w:szCs w:val="22"/>
              </w:rPr>
              <w:t xml:space="preserve">{{suscripcion.clase}}</w:t>
            </w:r>
          </w:p>
        </w:tc>
        <w:tc>
          <w:tcPr>
            <w:tcW w:w="1560" w:type="dxa"/>
          </w:tcPr>
          <w:p>
            <w:pPr>
              <w:pBdr>
                <w:top w:val="nil"/>
                <w:left w:val="nil"/>
                <w:bottom w:val="nil"/>
                <w:right w:val="nil"/>
                <w:between w:val="nil"/>
              </w:pBdr>
              <w:spacing w:before="36" w:after="36"/>
              <w:jc w:val="left"/>
              <w:rPr>
                <w:color w:val="000000"/>
                <w:sz w:val="22"/>
                <w:szCs w:val="22"/>
              </w:rPr>
            </w:pPr>
            <w:r>
              <w:rPr>
                <w:color w:val="000000"/>
                <w:sz w:val="22"/>
                <w:szCs w:val="22"/>
              </w:rPr>
              <w:t xml:space="preserve">{{suscripcion.numero_acciones}}</w:t>
            </w:r>
          </w:p>
        </w:tc>
        <w:tc>
          <w:tcPr>
            <w:tcW w:w="2190" w:type="dxa"/>
          </w:tcPr>
          <w:p>
            <w:pPr>
              <w:pBdr>
                <w:top w:val="nil"/>
                <w:left w:val="nil"/>
                <w:bottom w:val="nil"/>
                <w:right w:val="nil"/>
                <w:between w:val="nil"/>
              </w:pBdr>
              <w:spacing w:before="36" w:after="36"/>
              <w:jc w:val="left"/>
              <w:rPr>
                <w:color w:val="000000"/>
                <w:sz w:val="22"/>
                <w:szCs w:val="22"/>
              </w:rPr>
            </w:pPr>
            <w:r>
              <w:rPr>
                <w:color w:val="000000"/>
                <w:sz w:val="22"/>
                <w:szCs w:val="22"/>
              </w:rPr>
              <w:t xml:space="preserve">{{suscripcion.capital_suscrito}}</w:t>
            </w:r>
          </w:p>
        </w:tc>
        <w:tc>
          <w:tcPr>
            <w:tcW w:w="1500" w:type="dxa"/>
          </w:tcPr>
          <w:p>
            <w:pPr>
              <w:pBdr>
                <w:top w:val="nil"/>
                <w:left w:val="nil"/>
                <w:bottom w:val="nil"/>
                <w:right w:val="nil"/>
                <w:between w:val="nil"/>
              </w:pBdr>
              <w:spacing w:before="36" w:after="36"/>
              <w:jc w:val="left"/>
              <w:rPr>
                <w:color w:val="000000"/>
                <w:sz w:val="22"/>
                <w:szCs w:val="22"/>
              </w:rPr>
            </w:pPr>
            <w:r>
              <w:rPr>
                <w:color w:val="000000"/>
                <w:sz w:val="22"/>
                <w:szCs w:val="22"/>
              </w:rPr>
              <w:t xml:space="preserve">{{suscripcion.porcentaje_capital}} %</w:t>
            </w:r>
          </w:p>
        </w:tc>
      </w:tr>
      <w:tr w:rsidR="00576A5F" w14:paraId="7B815ADB" w14:textId="77777777" w:rsidTr="00576A5F">
        <w:tc>
          <w:tcPr>
            <w:tcW w:w="2445" w:type="dxa"/>
          </w:tcPr>
          <w:p>
            <w:pPr>
              <w:pBdr>
                <w:top w:val="nil"/>
                <w:left w:val="nil"/>
                <w:bottom w:val="nil"/>
                <w:right w:val="nil"/>
                <w:between w:val="nil"/>
              </w:pBdr>
              <w:spacing w:before="36" w:after="36"/>
              <w:jc w:val="left"/>
              <w:rPr>
                <w:color w:val="000000"/>
                <w:sz w:val="22"/>
                <w:szCs w:val="22"/>
              </w:rPr>
            </w:pPr>
            <w:r>
              <w:rPr>
                <w:b/>
                <w:bCs/>
                <w:color w:val="000000"/>
                <w:sz w:val="22"/>
                <w:szCs w:val="22"/>
              </w:rPr>
              <w:t xml:space="preserve">Total</w:t>
            </w:r>
          </w:p>
        </w:tc>
        <w:tc>
          <w:tcPr>
            <w:tcW w:w="1635" w:type="dxa"/>
          </w:tcPr>
          <w:p>
            <w:pPr>
              <w:pBdr>
                <w:top w:val="nil"/>
                <w:left w:val="nil"/>
                <w:bottom w:val="nil"/>
                <w:right w:val="nil"/>
                <w:between w:val="nil"/>
              </w:pBdr>
              <w:spacing w:before="36" w:after="36"/>
              <w:rPr>
                <w:color w:val="000000"/>
                <w:sz w:val="22"/>
                <w:szCs w:val="22"/>
              </w:rPr>
            </w:pPr>
            <w:r>
              <w:rPr>
                <w:color w:val="000000"/>
                <w:sz w:val="22"/>
                <w:szCs w:val="22"/>
              </w:rPr>
              <w:t xml:space="preserve">—</w:t>
            </w:r>
          </w:p>
        </w:tc>
        <w:tc>
          <w:tcPr>
            <w:tcW w:w="1560" w:type="dxa"/>
          </w:tcPr>
          <w:p>
            <w:pPr>
              <w:pBdr>
                <w:top w:val="nil"/>
                <w:left w:val="nil"/>
                <w:bottom w:val="nil"/>
                <w:right w:val="nil"/>
                <w:between w:val="nil"/>
              </w:pBdr>
              <w:spacing w:before="36" w:after="36"/>
              <w:jc w:val="left"/>
              <w:rPr>
                <w:color w:val="000000"/>
                <w:sz w:val="22"/>
                <w:szCs w:val="22"/>
              </w:rPr>
            </w:pPr>
            <w:r>
              <w:rPr>
                <w:b/>
                <w:bCs/>
                <w:color w:val="000000"/>
                <w:sz w:val="22"/>
                <w:szCs w:val="22"/>
              </w:rPr>
              <w:t xml:space="preserve">{{capital.acciones_suscritas}}</w:t>
            </w:r>
          </w:p>
        </w:tc>
        <w:tc>
          <w:tcPr>
            <w:tcW w:w="2190" w:type="dxa"/>
          </w:tcPr>
          <w:p>
            <w:pPr>
              <w:pBdr>
                <w:top w:val="nil"/>
                <w:left w:val="nil"/>
                <w:bottom w:val="nil"/>
                <w:right w:val="nil"/>
                <w:between w:val="nil"/>
              </w:pBdr>
              <w:spacing w:before="36" w:after="36"/>
              <w:jc w:val="left"/>
              <w:rPr>
                <w:color w:val="000000"/>
                <w:sz w:val="22"/>
                <w:szCs w:val="22"/>
              </w:rPr>
            </w:pPr>
            <w:r>
              <w:rPr>
                <w:b/>
                <w:bCs/>
                <w:color w:val="000000"/>
                <w:sz w:val="22"/>
                <w:szCs w:val="22"/>
              </w:rPr>
              <w:t xml:space="preserve">{{capital.suscrito}}</w:t>
            </w:r>
          </w:p>
        </w:tc>
        <w:tc>
          <w:tcPr>
            <w:tcW w:w="1500" w:type="dxa"/>
          </w:tcPr>
          <w:p>
            <w:pPr>
              <w:pBdr>
                <w:top w:val="nil"/>
                <w:left w:val="nil"/>
                <w:bottom w:val="nil"/>
                <w:right w:val="nil"/>
                <w:between w:val="nil"/>
              </w:pBdr>
              <w:spacing w:before="36" w:after="36"/>
              <w:jc w:val="left"/>
              <w:rPr>
                <w:color w:val="000000"/>
                <w:sz w:val="22"/>
                <w:szCs w:val="22"/>
              </w:rPr>
            </w:pPr>
            <w:r>
              <w:rPr>
                <w:b/>
                <w:bCs/>
                <w:color w:val="000000"/>
                <w:sz w:val="22"/>
                <w:szCs w:val="22"/>
              </w:rPr>
              <w:t xml:space="preserve">100 %</w:t>
            </w:r>
          </w:p>
        </w:tc>
      </w:tr>
    </w:tbl>
    <w:p>
      <w:pPr>
        <w:pBdr>
          <w:top w:val="nil"/>
          <w:left w:val="nil"/>
          <w:bottom w:val="nil"/>
          <w:right w:val="nil"/>
          <w:between w:val="nil"/>
        </w:pBdr>
        <w:rPr>
          <w:color w:val="000000"/>
          <w:sz w:val="22"/>
          <w:szCs w:val="22"/>
        </w:rPr>
      </w:pPr>
      <w:r>
        <w:rPr>
          <w:color w:val="000000"/>
          <w:sz w:val="22"/>
          <w:szCs w:val="22"/>
        </w:rPr>
        <w:t xml:space="preserve">Detalle individual: {{suscripcion.accionista_nombre}}, documento {{suscripcion.accionista_documento}}, clase {{suscripcion.clase}}: capital nominal pagado COP {{suscripcion.capital_pagado}}, saldo nominal COP {{suscripcion.saldo}}. Aporte: {{suscripcion.aporte_detalle}}. Prima y pago: {{suscripcion.prima_detalle}}. Calendario de pago del saldo: {{suscripcion.calendario_pago}}.</w:t>
      </w:r>
    </w:p>
    <w:p>
      <w:pPr>
        <w:pBdr>
          <w:top w:val="nil"/>
          <w:left w:val="nil"/>
          <w:bottom w:val="nil"/>
          <w:right w:val="nil"/>
          <w:between w:val="nil"/>
        </w:pBdr>
        <w:rPr>
          <w:color w:val="000000"/>
          <w:sz w:val="22"/>
          <w:szCs w:val="22"/>
        </w:rPr>
      </w:pPr>
      <w:r>
        <w:rPr>
          <w:color w:val="000000"/>
          <w:sz w:val="22"/>
          <w:szCs w:val="22"/>
        </w:rPr>
        <w:t xml:space="preserve">[[FIN_REPETIR]]</w:t>
      </w:r>
    </w:p>
    <w:p>
      <w:pPr>
        <w:pBdr>
          <w:top w:val="nil"/>
          <w:left w:val="nil"/>
          <w:bottom w:val="nil"/>
          <w:right w:val="nil"/>
          <w:between w:val="nil"/>
        </w:pBdr>
        <w:rPr>
          <w:color w:val="000000"/>
          <w:sz w:val="22"/>
          <w:szCs w:val="22"/>
        </w:rPr>
      </w:pPr>
      <w:r>
        <w:rPr>
          <w:color w:val="000000"/>
          <w:sz w:val="22"/>
          <w:szCs w:val="22"/>
        </w:rPr>
        <w:t xml:space="preserve">Total de capital pagado: COP {{capital.pagado}}. Saldo total pendiente: COP {{capital.saldo}}. El pago de cada suscripción no excederá de dos (2) años desde su suscripción. La participación en capital no determina por sí sola el voto ni los dividendos.</w:t>
      </w:r>
    </w:p>
    <w:p>
      <w:pPr>
        <w:pBdr>
          <w:top w:val="nil"/>
          <w:left w:val="nil"/>
          <w:bottom w:val="nil"/>
          <w:right w:val="nil"/>
          <w:between w:val="nil"/>
        </w:pBdr>
        <w:rPr>
          <w:color w:val="000000"/>
          <w:sz w:val="22"/>
          <w:szCs w:val="22"/>
        </w:rPr>
      </w:pPr>
      <w:r>
        <w:rPr>
          <w:color w:val="000000"/>
          <w:sz w:val="22"/>
          <w:szCs w:val="22"/>
          <w:b/>
          <w:bCs/>
        </w:rPr>
        <w:t xml:space="preserve">Artículo Tercero Transitorio.</w:t>
      </w:r>
      <w:r>
        <w:rPr>
          <w:color w:val="000000"/>
          <w:sz w:val="22"/>
          <w:szCs w:val="22"/>
        </w:rPr>
        <w:t xml:space="preserve"> Revisoría fiscal.</w:t>
      </w:r>
    </w:p>
    <w:p>
      <w:pPr>
        <w:pBdr>
          <w:top w:val="nil"/>
          <w:left w:val="nil"/>
          <w:bottom w:val="nil"/>
          <w:right w:val="nil"/>
          <w:between w:val="nil"/>
        </w:pBdr>
        <w:rPr>
          <w:color w:val="000000"/>
          <w:sz w:val="22"/>
          <w:szCs w:val="22"/>
        </w:rPr>
      </w:pPr>
      <w:r>
        <w:rPr>
          <w:color w:val="000000"/>
          <w:sz w:val="22"/>
          <w:szCs w:val="22"/>
        </w:rPr>
        <w:t xml:space="preserve">[[SI opciones.revisor_fiscal_inicial]]</w:t>
      </w:r>
    </w:p>
    <w:p>
      <w:pPr>
        <w:pBdr>
          <w:top w:val="nil"/>
          <w:left w:val="nil"/>
          <w:bottom w:val="nil"/>
          <w:right w:val="nil"/>
          <w:between w:val="nil"/>
        </w:pBdr>
        <w:rPr>
          <w:color w:val="000000"/>
          <w:sz w:val="22"/>
          <w:szCs w:val="22"/>
        </w:rPr>
      </w:pPr>
      <w:r>
        <w:rPr>
          <w:color w:val="000000"/>
          <w:sz w:val="22"/>
          <w:szCs w:val="22"/>
        </w:rPr>
        <w:t xml:space="preserve">(ALTERNATIVA A — INCLUIR SI SE ELIGE: REVISOR FISCAL INICIAL.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La sociedad designa al revisor fiscal identificado en el artículo primero transitorio, con su aceptación y acreditación de requisitos.</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[[SI opciones.sin_revisor_fiscal_inicial]]</w:t>
      </w:r>
    </w:p>
    <w:p>
      <w:pPr>
        <w:pBdr>
          <w:top w:val="nil"/>
          <w:left w:val="nil"/>
          <w:bottom w:val="nil"/>
          <w:right w:val="nil"/>
          <w:between w:val="nil"/>
        </w:pBdr>
        <w:rPr>
          <w:color w:val="000000"/>
          <w:sz w:val="22"/>
          <w:szCs w:val="22"/>
        </w:rPr>
      </w:pPr>
      <w:r>
        <w:rPr>
          <w:color w:val="000000"/>
          <w:sz w:val="22"/>
          <w:szCs w:val="22"/>
        </w:rPr>
        <w:t xml:space="preserve">(ALTERNATIVA B — NO INCLUIR: REVISOR FISCAL INICIAL.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No se designa revisor fiscal al constituirse por no configurarse obligación legal ni estatutaria. Si surge la obligación, la asamblea efectuará oportunamente la designación.</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b/>
          <w:bCs/>
        </w:rPr>
        <w:t xml:space="preserve">Artículo Cuarto Transitorio.</w:t>
      </w:r>
      <w:r>
        <w:rPr>
          <w:color w:val="000000"/>
          <w:sz w:val="22"/>
          <w:szCs w:val="22"/>
        </w:rPr>
        <w:t xml:space="preserve"> Registro de libros.</w:t>
      </w:r>
    </w:p>
    <w:p>
      <w:pPr>
        <w:pBdr>
          <w:top w:val="nil"/>
          <w:left w:val="nil"/>
          <w:bottom w:val="nil"/>
          <w:right w:val="nil"/>
          <w:between w:val="nil"/>
        </w:pBdr>
        <w:rPr>
          <w:color w:val="000000"/>
          <w:sz w:val="22"/>
          <w:szCs w:val="22"/>
        </w:rPr>
      </w:pPr>
      <w:r>
        <w:rPr>
          <w:color w:val="000000"/>
          <w:sz w:val="22"/>
          <w:szCs w:val="22"/>
        </w:rPr>
        <w:t xml:space="preserve">La sociedad solicitará a la Cámara de Comercio del domicilio social la inscripción de los libros de registro de accionistas y de actas de asamblea, y realizará los demás registros legalmente exigidos.</w:t>
      </w:r>
    </w:p>
    <w:p>
      <w:pPr>
        <w:pBdr>
          <w:top w:val="nil"/>
          <w:left w:val="nil"/>
          <w:bottom w:val="nil"/>
          <w:right w:val="nil"/>
          <w:between w:val="nil"/>
        </w:pBdr>
        <w:rPr>
          <w:color w:val="000000"/>
          <w:sz w:val="22"/>
          <w:szCs w:val="22"/>
        </w:rPr>
      </w:pPr>
      <w:r>
        <w:rPr>
          <w:color w:val="000000"/>
          <w:sz w:val="22"/>
          <w:szCs w:val="22"/>
          <w:b/>
          <w:bCs/>
        </w:rPr>
        <w:t xml:space="preserve">Artículo Quinto Transitorio.</w:t>
      </w:r>
      <w:r>
        <w:rPr>
          <w:color w:val="000000"/>
          <w:sz w:val="22"/>
          <w:szCs w:val="22"/>
        </w:rPr>
        <w:t xml:space="preserve"> Poder para trámites.</w:t>
      </w:r>
    </w:p>
    <w:p>
      <w:pPr>
        <w:pBdr>
          <w:top w:val="nil"/>
          <w:left w:val="nil"/>
          <w:bottom w:val="nil"/>
          <w:right w:val="nil"/>
          <w:between w:val="nil"/>
        </w:pBdr>
        <w:rPr>
          <w:color w:val="000000"/>
          <w:sz w:val="22"/>
          <w:szCs w:val="22"/>
        </w:rPr>
      </w:pPr>
      <w:r>
        <w:rPr>
          <w:color w:val="000000"/>
          <w:sz w:val="22"/>
          <w:szCs w:val="22"/>
        </w:rPr>
        <w:t xml:space="preserve">[[SI opciones.poder_tramites]]</w:t>
      </w:r>
    </w:p>
    <w:p>
      <w:pPr>
        <w:pBdr>
          <w:top w:val="nil"/>
          <w:left w:val="nil"/>
          <w:bottom w:val="nil"/>
          <w:right w:val="nil"/>
          <w:between w:val="nil"/>
        </w:pBdr>
        <w:rPr>
          <w:color w:val="000000"/>
          <w:sz w:val="22"/>
          <w:szCs w:val="22"/>
        </w:rPr>
      </w:pPr>
      <w:r>
        <w:rPr>
          <w:color w:val="000000"/>
          <w:sz w:val="22"/>
          <w:szCs w:val="22"/>
        </w:rPr>
        <w:t xml:space="preserve">(ALTERNATIVA A — INCLUIR SI SE ELIGE: PODER TRAMITES. Retirar esta indicación en la versión para firma.)</w:t>
      </w:r>
    </w:p>
    <w:p>
      <w:pPr>
        <w:pBdr>
          <w:top w:val="nil"/>
          <w:left w:val="nil"/>
          <w:bottom w:val="nil"/>
          <w:right w:val="nil"/>
          <w:between w:val="nil"/>
        </w:pBdr>
        <w:rPr>
          <w:color w:val="000000"/>
          <w:sz w:val="22"/>
          <w:szCs w:val="22"/>
        </w:rPr>
      </w:pPr>
      <w:r>
        <w:rPr>
          <w:color w:val="000000"/>
          <w:sz w:val="22"/>
          <w:szCs w:val="22"/>
        </w:rPr>
        <w:t xml:space="preserve">{{poder.poderdantes}} confiere(n) poder especial a {{poder.apoderado_nombre}}, identificado(a) con {{poder.apoderado_documento}}, para {{poder.facultades}}, hasta {{poder.vencimiento}}. Su régimen de sustitución será {{poder.sustitucion}}. Este mandato no autoriza a modificar aportes, derechos accionarios o decisiones sustanciales sin autorización expresa de los otorgantes, ni permite sustituir aceptaciones personales de cargos cuando no sea legalmente procedente.</w:t>
      </w:r>
    </w:p>
    <w:p>
      <w:pPr>
        <w:pBdr>
          <w:top w:val="nil"/>
          <w:left w:val="nil"/>
          <w:bottom w:val="nil"/>
          <w:right w:val="nil"/>
          <w:between w:val="nil"/>
        </w:pBdr>
        <w:rPr>
          <w:color w:val="000000"/>
          <w:sz w:val="22"/>
          <w:szCs w:val="22"/>
        </w:rPr>
      </w:pPr>
      <w:r>
        <w:rPr>
          <w:color w:val="000000"/>
          <w:sz w:val="22"/>
          <w:szCs w:val="22"/>
        </w:rPr>
        <w:t xml:space="preserve">[[FIN_SI]]</w:t>
      </w:r>
    </w:p>
    <w:p>
      <w:pPr>
        <w:pBdr>
          <w:top w:val="nil"/>
          <w:left w:val="nil"/>
          <w:bottom w:val="nil"/>
          <w:right w:val="nil"/>
          <w:between w:val="nil"/>
        </w:pBdr>
        <w:rPr>
          <w:color w:val="000000"/>
          <w:sz w:val="22"/>
          <w:szCs w:val="22"/>
        </w:rPr>
      </w:pPr>
      <w:r>
        <w:rPr>
          <w:color w:val="000000"/>
          <w:sz w:val="22"/>
          <w:szCs w:val="22"/>
        </w:rPr>
        <w:t xml:space="preserve">El presente documento fue leído en su totalidad por los constituyentes, quienes le imparten aprobación y proceden a firmarlo. Se cumplirán la autenticación o presentación y las formalidades legales aplicables.</w:t>
      </w:r>
    </w:p>
    <w:p>
      <w:pPr>
        <w:pBdr>
          <w:top w:val="nil"/>
          <w:left w:val="nil"/>
          <w:bottom w:val="nil"/>
          <w:right w:val="nil"/>
          <w:between w:val="nil"/>
        </w:pBdr>
        <w:rPr>
          <w:color w:val="000000"/>
          <w:sz w:val="22"/>
          <w:szCs w:val="22"/>
        </w:rPr>
      </w:pPr>
      <w:r>
        <w:rPr>
          <w:color w:val="000000"/>
          <w:sz w:val="22"/>
          <w:szCs w:val="22"/>
        </w:rPr>
        <w:t xml:space="preserve">[[REPETIR firmantes COMO firmante]]</w:t>
      </w:r>
    </w:p>
    <w:p>
      <w:pPr>
        <w:pBdr>
          <w:top w:val="nil"/>
          <w:left w:val="nil"/>
          <w:bottom w:val="nil"/>
          <w:right w:val="nil"/>
          <w:between w:val="nil"/>
        </w:pBdr>
        <w:rPr>
          <w:color w:val="000000"/>
          <w:sz w:val="22"/>
          <w:szCs w:val="22"/>
        </w:rPr>
      </w:pPr>
      <w:r>
        <w:rPr>
          <w:color w:val="000000"/>
          <w:sz w:val="22"/>
          <w:szCs w:val="22"/>
        </w:rPr>
        <w:t xml:space="preserve">Firma: ___________________________________</w:t>
      </w:r>
    </w:p>
    <w:p>
      <w:pPr>
        <w:pBdr>
          <w:top w:val="nil"/>
          <w:left w:val="nil"/>
          <w:bottom w:val="nil"/>
          <w:right w:val="nil"/>
          <w:between w:val="nil"/>
        </w:pBdr>
        <w:rPr>
          <w:color w:val="000000"/>
          <w:sz w:val="22"/>
          <w:szCs w:val="22"/>
        </w:rPr>
      </w:pPr>
      <w:r>
        <w:rPr>
          <w:color w:val="000000"/>
          <w:sz w:val="22"/>
          <w:szCs w:val="22"/>
        </w:rPr>
        <w:t xml:space="preserve">{{firmante.nombre}}</w:t>
      </w:r>
    </w:p>
    <w:p>
      <w:pPr>
        <w:pBdr>
          <w:top w:val="nil"/>
          <w:left w:val="nil"/>
          <w:bottom w:val="nil"/>
          <w:right w:val="nil"/>
          <w:between w:val="nil"/>
        </w:pBdr>
        <w:rPr>
          <w:color w:val="000000"/>
          <w:sz w:val="22"/>
          <w:szCs w:val="22"/>
        </w:rPr>
      </w:pPr>
      <w:r>
        <w:rPr>
          <w:color w:val="000000"/>
          <w:sz w:val="22"/>
          <w:szCs w:val="22"/>
        </w:rPr>
        <w:t xml:space="preserve">{{firmante.tipo_documento}} {{firmante.numero_documento}}</w:t>
      </w:r>
    </w:p>
    <w:p>
      <w:pPr>
        <w:pBdr>
          <w:top w:val="nil"/>
          <w:left w:val="nil"/>
          <w:bottom w:val="nil"/>
          <w:right w:val="nil"/>
          <w:between w:val="nil"/>
        </w:pBdr>
        <w:rPr>
          <w:color w:val="000000"/>
          <w:sz w:val="22"/>
          <w:szCs w:val="22"/>
        </w:rPr>
      </w:pPr>
      <w:r>
        <w:rPr>
          <w:color w:val="000000"/>
          <w:sz w:val="22"/>
          <w:szCs w:val="22"/>
        </w:rPr>
        <w:t xml:space="preserve">Calidad: {{firmante.calidad}}. Representado, si aplica: {{firmante.representado}}.</w:t>
      </w:r>
    </w:p>
    <w:p>
      <w:pPr>
        <w:pBdr>
          <w:top w:val="nil"/>
          <w:left w:val="nil"/>
          <w:bottom w:val="nil"/>
          <w:right w:val="nil"/>
          <w:between w:val="nil"/>
        </w:pBdr>
        <w:rPr>
          <w:color w:val="000000"/>
          <w:sz w:val="22"/>
          <w:szCs w:val="22"/>
        </w:rPr>
      </w:pPr>
      <w:r>
        <w:rPr>
          <w:color w:val="000000"/>
          <w:sz w:val="22"/>
          <w:szCs w:val="22"/>
        </w:rPr>
        <w:t xml:space="preserve">[[FIN_REPETIR]]</w:t>
      </w:r>
    </w:p>
    <w:sectPr w:rsidR="00576A5F">
      <w:footerReference w:type="even" r:id="rId8"/>
      <w:footerReference w:type="defaul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68939" w14:textId="77777777" w:rsidR="000035C4" w:rsidRDefault="000035C4">
      <w:pPr>
        <w:spacing w:before="0" w:after="0" w:line="240" w:lineRule="auto"/>
      </w:pPr>
      <w:r>
        <w:separator/>
      </w:r>
    </w:p>
  </w:endnote>
  <w:endnote w:type="continuationSeparator" w:id="0">
    <w:p w14:paraId="36612076" w14:textId="77777777" w:rsidR="000035C4" w:rsidRDefault="000035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8004B9DE-C5F3-4219-977F-9C2CB0AE0063}"/>
  </w:font>
  <w:font w:name="Aptos Display">
    <w:charset w:val="00"/>
    <w:family w:val="swiss"/>
    <w:pitch w:val="variable"/>
    <w:sig w:usb0="20000287" w:usb1="00000003" w:usb2="00000000" w:usb3="00000000" w:csb0="0000019F" w:csb1="00000000"/>
    <w:embedRegular r:id="rId2" w:fontKey="{580D56AB-EDC1-4054-B84C-048946932FCD}"/>
  </w:font>
  <w:font w:name="Consolas">
    <w:panose1 w:val="020B0609020204030204"/>
    <w:charset w:val="00"/>
    <w:family w:val="roman"/>
    <w:notTrueType/>
    <w:pitch w:val="default"/>
    <w:embedRegular r:id="rId3" w:fontKey="{9175D1C7-6267-4080-A15C-2093F922FCFC}"/>
    <w:embedBold r:id="rId4" w:fontKey="{F2BAF32F-B566-4836-BA7D-77988A3E794C}"/>
    <w:embedItalic r:id="rId5" w:fontKey="{6C8DA417-F64F-4B38-83FC-6319813CA31E}"/>
    <w:embedBoldItalic r:id="rId6" w:fontKey="{8244C575-EDBF-4CF7-92FB-A073B9758668}"/>
  </w:font>
  <w:font w:name="Aptos">
    <w:charset w:val="00"/>
    <w:family w:val="swiss"/>
    <w:pitch w:val="variable"/>
    <w:sig w:usb0="20000287" w:usb1="00000003" w:usb2="00000000" w:usb3="00000000" w:csb0="0000019F" w:csb1="00000000"/>
    <w:embedRegular r:id="rId7" w:fontKey="{4420979A-A6F7-4F95-A9C3-16081FC9A2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07B5" w14:textId="77777777" w:rsidR="00576A5F" w:rsidRDefault="00000000">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F28850B" w14:textId="77777777" w:rsidR="00576A5F" w:rsidRDefault="00576A5F">
    <w:pPr>
      <w:pBdr>
        <w:top w:val="nil"/>
        <w:left w:val="nil"/>
        <w:bottom w:val="nil"/>
        <w:right w:val="nil"/>
        <w:between w:val="nil"/>
      </w:pBdr>
      <w:tabs>
        <w:tab w:val="center" w:pos="4680"/>
        <w:tab w:val="right" w:pos="9360"/>
      </w:tabs>
      <w:spacing w:before="0"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5B90" w14:textId="77777777" w:rsidR="00576A5F" w:rsidRDefault="00000000">
    <w:pPr>
      <w:pBdr>
        <w:top w:val="nil"/>
        <w:left w:val="nil"/>
        <w:bottom w:val="nil"/>
        <w:right w:val="nil"/>
        <w:between w:val="nil"/>
      </w:pBdr>
      <w:tabs>
        <w:tab w:val="center" w:pos="4680"/>
        <w:tab w:val="right" w:pos="9360"/>
      </w:tabs>
      <w:spacing w:before="0" w:after="0" w:line="240" w:lineRule="auto"/>
      <w:jc w:val="right"/>
      <w:rPr>
        <w:color w:val="000000"/>
      </w:rPr>
    </w:pPr>
    <w:r>
      <w:rPr>
        <w:color w:val="000000"/>
      </w:rPr>
      <w:fldChar w:fldCharType="begin"/>
    </w:r>
    <w:r>
      <w:rPr>
        <w:color w:val="000000"/>
      </w:rPr>
      <w:instrText>PAGE</w:instrText>
    </w:r>
    <w:r>
      <w:rPr>
        <w:color w:val="000000"/>
      </w:rPr>
      <w:fldChar w:fldCharType="separate"/>
    </w:r>
    <w:r w:rsidR="00C36AC6">
      <w:rPr>
        <w:noProof/>
        <w:color w:val="000000"/>
      </w:rPr>
      <w:t>2</w:t>
    </w:r>
    <w:r>
      <w:rPr>
        <w:color w:val="000000"/>
      </w:rPr>
      <w:fldChar w:fldCharType="end"/>
    </w:r>
  </w:p>
  <w:p w14:paraId="66A073C9" w14:textId="77777777" w:rsidR="00576A5F" w:rsidRDefault="00576A5F">
    <w:pPr>
      <w:pBdr>
        <w:top w:val="nil"/>
        <w:left w:val="nil"/>
        <w:bottom w:val="nil"/>
        <w:right w:val="nil"/>
        <w:between w:val="nil"/>
      </w:pBdr>
      <w:tabs>
        <w:tab w:val="center" w:pos="4680"/>
        <w:tab w:val="right" w:pos="9360"/>
      </w:tabs>
      <w:spacing w:before="0"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276A" w14:textId="77777777" w:rsidR="000035C4" w:rsidRDefault="000035C4">
      <w:pPr>
        <w:spacing w:before="0" w:after="0" w:line="240" w:lineRule="auto"/>
      </w:pPr>
      <w:r>
        <w:separator/>
      </w:r>
    </w:p>
  </w:footnote>
  <w:footnote w:type="continuationSeparator" w:id="0">
    <w:p w14:paraId="5EC7E99E" w14:textId="77777777" w:rsidR="000035C4" w:rsidRDefault="000035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411"/>
    <w:multiLevelType w:val="multilevel"/>
    <w:tmpl w:val="44F84C78"/>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1" w15:restartNumberingAfterBreak="0">
    <w:nsid w:val="07BE22F0"/>
    <w:multiLevelType w:val="multilevel"/>
    <w:tmpl w:val="FDA2B404"/>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pStyle w:val="Ttulo7"/>
      <w:lvlText w:val="%7."/>
      <w:lvlJc w:val="left"/>
      <w:pPr>
        <w:ind w:left="5040" w:hanging="480"/>
      </w:pPr>
    </w:lvl>
    <w:lvl w:ilvl="7">
      <w:start w:val="1"/>
      <w:numFmt w:val="lowerRoman"/>
      <w:pStyle w:val="Ttulo8"/>
      <w:lvlText w:val="%8."/>
      <w:lvlJc w:val="left"/>
      <w:pPr>
        <w:ind w:left="5760" w:hanging="480"/>
      </w:pPr>
    </w:lvl>
    <w:lvl w:ilvl="8">
      <w:start w:val="1"/>
      <w:numFmt w:val="lowerRoman"/>
      <w:pStyle w:val="Ttulo9"/>
      <w:lvlText w:val="%9."/>
      <w:lvlJc w:val="left"/>
      <w:pPr>
        <w:ind w:left="6480" w:hanging="480"/>
      </w:pPr>
    </w:lvl>
  </w:abstractNum>
  <w:abstractNum w:abstractNumId="2" w15:restartNumberingAfterBreak="0">
    <w:nsid w:val="205066DB"/>
    <w:multiLevelType w:val="multilevel"/>
    <w:tmpl w:val="3A0A18A6"/>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3" w15:restartNumberingAfterBreak="0">
    <w:nsid w:val="2D0C4E6D"/>
    <w:multiLevelType w:val="multilevel"/>
    <w:tmpl w:val="EB48D28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51BC6D6E"/>
    <w:multiLevelType w:val="multilevel"/>
    <w:tmpl w:val="B4EC39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5" w15:restartNumberingAfterBreak="0">
    <w:nsid w:val="5F1E4C76"/>
    <w:multiLevelType w:val="multilevel"/>
    <w:tmpl w:val="054CB0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6391799E"/>
    <w:multiLevelType w:val="multilevel"/>
    <w:tmpl w:val="ECB0BE9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70C86846"/>
    <w:multiLevelType w:val="multilevel"/>
    <w:tmpl w:val="01162C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7A705E1A"/>
    <w:multiLevelType w:val="multilevel"/>
    <w:tmpl w:val="B88ED1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F2200EE"/>
    <w:multiLevelType w:val="multilevel"/>
    <w:tmpl w:val="B190910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423798602">
    <w:abstractNumId w:val="5"/>
  </w:num>
  <w:num w:numId="2" w16cid:durableId="1383364706">
    <w:abstractNumId w:val="1"/>
  </w:num>
  <w:num w:numId="3" w16cid:durableId="1648438895">
    <w:abstractNumId w:val="7"/>
  </w:num>
  <w:num w:numId="4" w16cid:durableId="1586576758">
    <w:abstractNumId w:val="0"/>
  </w:num>
  <w:num w:numId="5" w16cid:durableId="1129709933">
    <w:abstractNumId w:val="4"/>
  </w:num>
  <w:num w:numId="6" w16cid:durableId="1164972665">
    <w:abstractNumId w:val="2"/>
  </w:num>
  <w:num w:numId="7" w16cid:durableId="1886333475">
    <w:abstractNumId w:val="3"/>
  </w:num>
  <w:num w:numId="8" w16cid:durableId="337659888">
    <w:abstractNumId w:val="9"/>
  </w:num>
  <w:num w:numId="9" w16cid:durableId="100926152">
    <w:abstractNumId w:val="6"/>
  </w:num>
  <w:num w:numId="10" w16cid:durableId="712584578">
    <w:abstractNumId w:val="8"/>
  </w:num>
  <w:num w:numId="11" w16cid:durableId="5869589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75240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A5F"/>
    <w:rsid w:val="000035C4"/>
    <w:rsid w:val="000A61D9"/>
    <w:rsid w:val="00576A5F"/>
    <w:rsid w:val="00C36A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01DC0"/>
  <w15:docId w15:val="{9689D0BA-3D0F-40B9-8BAE-BA3EBABC8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color w:val="000000"/>
    </w:rPr>
  </w:style>
  <w:style w:type="paragraph" w:styleId="Ttulo2">
    <w:name w:val="heading 2"/>
    <w:basedOn w:val="Normal"/>
    <w:next w:val="Normal"/>
    <w:uiPriority w:val="9"/>
    <w:unhideWhenUsed/>
    <w:qFormat/>
    <w:pPr>
      <w:keepNext/>
      <w:keepLines/>
      <w:spacing w:before="120" w:after="120"/>
      <w:outlineLvl w:val="1"/>
    </w:pPr>
    <w:rPr>
      <w:b/>
      <w:bCs/>
      <w:color w:val="000000"/>
    </w:rPr>
  </w:style>
  <w:style w:type="paragraph" w:styleId="Ttulo3">
    <w:name w:val="heading 3"/>
    <w:basedOn w:val="Normal"/>
    <w:next w:val="Normal"/>
    <w:uiPriority w:val="9"/>
    <w:semiHidden/>
    <w:unhideWhenUsed/>
    <w:qFormat/>
    <w:pPr>
      <w:keepNext/>
      <w:keepLines/>
      <w:spacing w:before="60" w:after="60"/>
      <w:outlineLvl w:val="2"/>
    </w:pPr>
    <w:rPr>
      <w:b/>
      <w:bCs/>
      <w:color w:val="000000"/>
    </w:rPr>
  </w:style>
  <w:style w:type="paragraph" w:styleId="Ttulo4">
    <w:name w:val="heading 4"/>
    <w:basedOn w:val="Normal"/>
    <w:next w:val="Normal"/>
    <w:uiPriority w:val="9"/>
    <w:semiHidden/>
    <w:unhideWhenUsed/>
    <w:qFormat/>
    <w:pPr>
      <w:keepNext/>
      <w:keepLines/>
      <w:spacing w:before="20" w:after="20"/>
      <w:outlineLvl w:val="3"/>
    </w:pPr>
    <w:rPr>
      <w:b/>
      <w:bCs/>
      <w:i/>
      <w:iCs/>
    </w:rPr>
  </w:style>
  <w:style w:type="paragraph" w:styleId="Ttulo5">
    <w:name w:val="heading 5"/>
    <w:basedOn w:val="Normal"/>
    <w:next w:val="Normal"/>
    <w:uiPriority w:val="9"/>
    <w:semiHidden/>
    <w:unhideWhenUsed/>
    <w:qFormat/>
    <w:pPr>
      <w:keepNext/>
      <w:keepLines/>
      <w:spacing w:before="80" w:after="40"/>
      <w:ind w:left="1400"/>
      <w:outlineLvl w:val="4"/>
    </w:pPr>
    <w:rPr>
      <w:color w:val="0F4761"/>
    </w:rPr>
  </w:style>
  <w:style w:type="paragraph" w:styleId="Ttulo6">
    <w:name w:val="heading 6"/>
    <w:basedOn w:val="Normal"/>
    <w:next w:val="Normal"/>
    <w:uiPriority w:val="9"/>
    <w:semiHidden/>
    <w:unhideWhenUsed/>
    <w:qFormat/>
    <w:pPr>
      <w:keepNext/>
      <w:keepLines/>
      <w:spacing w:before="40"/>
      <w:ind w:left="2120"/>
      <w:outlineLvl w:val="5"/>
    </w:pPr>
    <w:rPr>
      <w:i/>
      <w:iCs/>
      <w:color w:val="595959"/>
    </w:rPr>
  </w:style>
  <w:style w:type="paragraph" w:styleId="Ttulo7">
    <w:name w:val="heading 7"/>
    <w:basedOn w:val="Normal"/>
    <w:next w:val="Textoindependiente"/>
    <w:link w:val="Ttulo7Car"/>
    <w:uiPriority w:val="9"/>
    <w:semiHidden/>
    <w:unhideWhenUsed/>
    <w:qFormat/>
    <w:rsid w:val="0018003B"/>
    <w:pPr>
      <w:keepNext/>
      <w:keepLines/>
      <w:numPr>
        <w:ilvl w:val="6"/>
        <w:numId w:val="2"/>
      </w:numPr>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18003B"/>
    <w:pPr>
      <w:keepNext/>
      <w:keepLines/>
      <w:numPr>
        <w:ilvl w:val="7"/>
        <w:numId w:val="2"/>
      </w:numPr>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18003B"/>
    <w:pPr>
      <w:keepNext/>
      <w:keepLines/>
      <w:numPr>
        <w:ilvl w:val="8"/>
        <w:numId w:val="2"/>
      </w:numPr>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jc w:val="center"/>
    </w:pPr>
    <w:rPr>
      <w:rFonts w:ascii="Play" w:eastAsia="Play" w:hAnsi="Play" w:cs="Play"/>
      <w:sz w:val="56"/>
      <w:szCs w:val="56"/>
    </w:rPr>
  </w:style>
  <w:style w:type="paragraph" w:styleId="Textoindependiente">
    <w:name w:val="Body Text"/>
    <w:basedOn w:val="Normal"/>
    <w:qFormat/>
    <w:rsid w:val="00442D2A"/>
  </w:style>
  <w:style w:type="paragraph" w:customStyle="1" w:styleId="FirstParagraph">
    <w:name w:val="First Paragraph"/>
    <w:basedOn w:val="Textoindependiente"/>
    <w:next w:val="Textoindependiente"/>
    <w:qFormat/>
    <w:rsid w:val="00C41C68"/>
  </w:style>
  <w:style w:type="paragraph" w:customStyle="1" w:styleId="Compact">
    <w:name w:val="Compact"/>
    <w:basedOn w:val="Textoindependiente"/>
    <w:qFormat/>
    <w:pPr>
      <w:spacing w:before="36" w:after="36"/>
    </w:pPr>
  </w:style>
  <w:style w:type="character" w:customStyle="1" w:styleId="TtuloCar">
    <w:name w:val="Título Car"/>
    <w:basedOn w:val="Fuentedeprrafopredeter"/>
    <w:uiPriority w:val="10"/>
    <w:rsid w:val="00A10FD9"/>
    <w:rPr>
      <w:rFonts w:asciiTheme="majorHAnsi" w:eastAsiaTheme="majorEastAsia" w:hAnsiTheme="majorHAnsi" w:cstheme="majorBidi"/>
      <w:sz w:val="56"/>
      <w:szCs w:val="56"/>
    </w:rPr>
  </w:style>
  <w:style w:type="character" w:customStyle="1" w:styleId="SubttuloCar">
    <w:name w:val="Subtítulo Car"/>
    <w:basedOn w:val="Fuentedeprrafopredeter"/>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pPr>
  </w:style>
  <w:style w:type="paragraph" w:styleId="Fecha">
    <w:name w:val="Date"/>
    <w:next w:val="Textoindependiente"/>
    <w:qFormat/>
    <w:pPr>
      <w:keepNext/>
      <w:keepLines/>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uiPriority w:val="9"/>
    <w:rsid w:val="00C41C6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uiPriority w:val="9"/>
    <w:rsid w:val="00C41C6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uiPriority w:val="9"/>
    <w:rsid w:val="00C41C68"/>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uiPriority w:val="9"/>
    <w:semiHidden/>
    <w:rsid w:val="00C41C68"/>
    <w:rPr>
      <w:rFonts w:ascii="Times New Roman" w:eastAsiaTheme="majorEastAsia" w:hAnsi="Times New Roman" w:cstheme="majorBidi"/>
      <w:b/>
      <w:i/>
      <w:iCs/>
    </w:rPr>
  </w:style>
  <w:style w:type="character" w:customStyle="1" w:styleId="Ttulo5Car">
    <w:name w:val="Título 5 Car"/>
    <w:basedOn w:val="Fuentedeprrafopredeter"/>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rsid w:val="00C41C68"/>
    <w:pPr>
      <w:spacing w:line="240" w:lineRule="auto"/>
      <w:ind w:left="851" w:right="851"/>
    </w:pPr>
    <w:rPr>
      <w:i/>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next w:val="Textoindependiente"/>
    <w:uiPriority w:val="39"/>
    <w:unhideWhenUsed/>
    <w:qFormat/>
    <w:pPr>
      <w:spacing w:line="259" w:lineRule="auto"/>
    </w:pPr>
    <w:rPr>
      <w:rFonts w:asciiTheme="majorHAnsi" w:hAnsiTheme="majorHAnsi"/>
      <w:color w:val="0F4761" w:themeColor="accent1" w:themeShade="BF"/>
    </w:rPr>
  </w:style>
  <w:style w:type="numbering" w:customStyle="1" w:styleId="CurrentList1">
    <w:name w:val="Current List1"/>
    <w:uiPriority w:val="99"/>
    <w:rsid w:val="0018003B"/>
  </w:style>
  <w:style w:type="numbering" w:customStyle="1" w:styleId="CurrentList2">
    <w:name w:val="Current List2"/>
    <w:uiPriority w:val="99"/>
    <w:rsid w:val="0018003B"/>
  </w:style>
  <w:style w:type="numbering" w:customStyle="1" w:styleId="CurrentList3">
    <w:name w:val="Current List3"/>
    <w:uiPriority w:val="99"/>
    <w:rsid w:val="0018003B"/>
  </w:style>
  <w:style w:type="numbering" w:customStyle="1" w:styleId="CurrentList4">
    <w:name w:val="Current List4"/>
    <w:uiPriority w:val="99"/>
    <w:rsid w:val="0018003B"/>
  </w:style>
  <w:style w:type="numbering" w:customStyle="1" w:styleId="CurrentList5">
    <w:name w:val="Current List5"/>
    <w:uiPriority w:val="99"/>
    <w:rsid w:val="0018003B"/>
  </w:style>
  <w:style w:type="numbering" w:customStyle="1" w:styleId="CurrentList6">
    <w:name w:val="Current List6"/>
    <w:uiPriority w:val="99"/>
    <w:rsid w:val="0018003B"/>
  </w:style>
  <w:style w:type="numbering" w:customStyle="1" w:styleId="CurrentList7">
    <w:name w:val="Current List7"/>
    <w:uiPriority w:val="99"/>
    <w:rsid w:val="009A119B"/>
  </w:style>
  <w:style w:type="numbering" w:customStyle="1" w:styleId="CurrentList8">
    <w:name w:val="Current List8"/>
    <w:uiPriority w:val="99"/>
    <w:rsid w:val="009A119B"/>
  </w:style>
  <w:style w:type="numbering" w:customStyle="1" w:styleId="CurrentList9">
    <w:name w:val="Current List9"/>
    <w:uiPriority w:val="99"/>
    <w:rsid w:val="009A119B"/>
  </w:style>
  <w:style w:type="numbering" w:customStyle="1" w:styleId="CurrentList10">
    <w:name w:val="Current List10"/>
    <w:uiPriority w:val="99"/>
    <w:rsid w:val="009A119B"/>
  </w:style>
  <w:style w:type="paragraph" w:styleId="Piedepgina">
    <w:name w:val="footer"/>
    <w:basedOn w:val="Normal"/>
    <w:link w:val="PiedepginaCar"/>
    <w:rsid w:val="005F2E82"/>
    <w:pPr>
      <w:tabs>
        <w:tab w:val="center" w:pos="4680"/>
        <w:tab w:val="right" w:pos="9360"/>
      </w:tabs>
      <w:spacing w:before="0" w:after="0" w:line="240" w:lineRule="auto"/>
    </w:pPr>
  </w:style>
  <w:style w:type="character" w:customStyle="1" w:styleId="PiedepginaCar">
    <w:name w:val="Pie de página Car"/>
    <w:basedOn w:val="Fuentedeprrafopredeter"/>
    <w:link w:val="Piedepgina"/>
    <w:rsid w:val="005F2E82"/>
    <w:rPr>
      <w:rFonts w:ascii="Times New Roman" w:hAnsi="Times New Roman"/>
    </w:rPr>
  </w:style>
  <w:style w:type="character" w:styleId="Nmerodepgina">
    <w:name w:val="page number"/>
    <w:basedOn w:val="Fuentedeprrafopredeter"/>
    <w:rsid w:val="005F2E82"/>
  </w:style>
  <w:style w:type="paragraph" w:styleId="Encabezado">
    <w:name w:val="header"/>
    <w:basedOn w:val="Normal"/>
    <w:link w:val="EncabezadoCar"/>
    <w:rsid w:val="005F2E82"/>
    <w:pPr>
      <w:tabs>
        <w:tab w:val="center" w:pos="4680"/>
        <w:tab w:val="right" w:pos="9360"/>
      </w:tabs>
      <w:spacing w:before="0" w:after="0" w:line="240" w:lineRule="auto"/>
    </w:pPr>
  </w:style>
  <w:style w:type="character" w:customStyle="1" w:styleId="EncabezadoCar">
    <w:name w:val="Encabezado Car"/>
    <w:basedOn w:val="Fuentedeprrafopredeter"/>
    <w:link w:val="Encabezado"/>
    <w:rsid w:val="005F2E82"/>
    <w:rPr>
      <w:rFonts w:ascii="Times New Roman" w:hAnsi="Times New Roman"/>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inespaciado">
    <w:name w:val="No Spacing"/>
    <w:uiPriority w:val="1"/>
    <w:qFormat/>
    <w:rsid w:val="000E305B"/>
    <w:pPr>
      <w:spacing w:after="0"/>
    </w:pPr>
    <w:rPr>
      <w:sz w:val="22"/>
      <w:szCs w:val="22"/>
    </w:rPr>
  </w:style>
  <w:style w:type="paragraph" w:styleId="Subttulo">
    <w:name w:val="Subtitle"/>
    <w:basedOn w:val="Normal"/>
    <w:next w:val="Normal"/>
    <w:uiPriority w:val="11"/>
    <w:qFormat/>
    <w:pPr>
      <w:spacing w:after="80" w:line="240" w:lineRule="auto"/>
      <w:jc w:val="center"/>
    </w:pPr>
    <w:rPr>
      <w:rFonts w:ascii="Play" w:eastAsia="Play" w:hAnsi="Play" w:cs="Play"/>
      <w:sz w:val="28"/>
      <w:szCs w:val="2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M/5lHvVaTjOQ4t7s3dZoqAtXg==">CgMxLjAyD2lkLmJsbW5rMHE4djRjeTIPaWQuNnd2a2p3bm04ZWVpMg9pZC5vZXMxbHhpbTd0d20yD2lkLndmdnNtMGFqN2JoODIPaWQuOHUzYXRra2gxeWdxMg9pZC5qOXVwNW1oN3RkODMyD2lkLjZsaW03MmMxOG9tbjIPaWQuc3I2czl4ZHBhY2VyMg9pZC5kYTVpcDJpenYxOTYyD2lkLjRqOTNuZnk4N2ptZDgAciExTG45WGNKRy1uOFdwZVA1N084SGVPeHFpVjF3Z2lqZ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13203</Words>
  <Characters>72619</Characters>
  <Application>Microsoft Office Word</Application>
  <DocSecurity>0</DocSecurity>
  <Lines>605</Lines>
  <Paragraphs>171</Paragraphs>
  <ScaleCrop>false</ScaleCrop>
  <Company/>
  <LinksUpToDate>false</LinksUpToDate>
  <CharactersWithSpaces>85651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Antonia Gaviria</dc:creator>
  <cp:lastModifiedBy>Maria Antonia Gaviria</cp:lastModifiedBy>
  <cp:revision>2</cp:revision>
  <dcterms:created xsi:type="dcterms:W3CDTF">2026-09-10T21:06:00Z</dcterms:created>
  <dcterms:modified xsi:type="dcterms:W3CDTF">2026-09-25T16:55:00Z</dcterms:modified>
</cp:coreProperties>
</file>