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6.png" ContentType="image/png"/>
  <Override PartName="/word/media/rId25.png" ContentType="image/png"/>
  <Override PartName="/word/media/image1.png" ContentType="image/png"/>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Covid</w:t>
      </w:r>
      <w:r>
        <w:t xml:space="preserve"> </w:t>
      </w:r>
      <w:r>
        <w:t xml:space="preserve">Alone:</w:t>
      </w:r>
      <w:r>
        <w:t xml:space="preserve"> </w:t>
      </w:r>
      <w:r>
        <w:t xml:space="preserve">The</w:t>
      </w:r>
      <w:r>
        <w:t xml:space="preserve"> </w:t>
      </w:r>
      <w:r>
        <w:t xml:space="preserve">Complementarity</w:t>
      </w:r>
      <w:r>
        <w:t xml:space="preserve"> </w:t>
      </w:r>
      <w:r>
        <w:t xml:space="preserve">between</w:t>
      </w:r>
      <w:r>
        <w:t xml:space="preserve"> </w:t>
      </w:r>
      <w:r>
        <w:t xml:space="preserve">Social</w:t>
      </w:r>
      <w:r>
        <w:t xml:space="preserve"> </w:t>
      </w:r>
      <w:r>
        <w:t xml:space="preserve">Capital</w:t>
      </w:r>
      <w:r>
        <w:t xml:space="preserve"> </w:t>
      </w:r>
      <w:r>
        <w:t xml:space="preserve">and</w:t>
      </w:r>
      <w:r>
        <w:t xml:space="preserve"> </w:t>
      </w:r>
      <w:r>
        <w:t xml:space="preserve">Formal</w:t>
      </w:r>
      <w:r>
        <w:t xml:space="preserve"> </w:t>
      </w:r>
      <w:r>
        <w:t xml:space="preserve">Public</w:t>
      </w:r>
      <w:r>
        <w:t xml:space="preserve"> </w:t>
      </w:r>
      <w:r>
        <w:t xml:space="preserve">Health</w:t>
      </w:r>
      <w:r>
        <w:t xml:space="preserve"> </w:t>
      </w:r>
      <w:r>
        <w:t xml:space="preserve">Rules</w:t>
      </w:r>
      <w:r>
        <w:t xml:space="preserve"> </w:t>
      </w:r>
      <w:r>
        <w:t xml:space="preserve">in</w:t>
      </w:r>
      <w:r>
        <w:t xml:space="preserve"> </w:t>
      </w:r>
      <w:r>
        <w:t xml:space="preserve">the</w:t>
      </w:r>
      <w:r>
        <w:t xml:space="preserve"> </w:t>
      </w:r>
      <w:r>
        <w:t xml:space="preserve">United</w:t>
      </w:r>
      <w:r>
        <w:t xml:space="preserve"> </w:t>
      </w:r>
      <w:r>
        <w:t xml:space="preserve">States</w:t>
      </w:r>
    </w:p>
    <w:p>
      <w:pPr>
        <w:pStyle w:val="Abstract"/>
      </w:pPr>
      <w:r>
        <w:t xml:space="preserve">ABSTRACT</w:t>
      </w:r>
      <w:r>
        <w:t xml:space="preserve"> </w:t>
      </w:r>
      <w:r>
        <w:t xml:space="preserve">The</w:t>
      </w:r>
      <w:r>
        <w:t xml:space="preserve"> </w:t>
      </w:r>
      <w:r>
        <w:t xml:space="preserve">spread</w:t>
      </w:r>
      <w:r>
        <w:t xml:space="preserve"> </w:t>
      </w:r>
      <w:r>
        <w:t xml:space="preserve">of</w:t>
      </w:r>
      <w:r>
        <w:t xml:space="preserve"> </w:t>
      </w:r>
      <w:r>
        <w:t xml:space="preserve">COVID-19</w:t>
      </w:r>
      <w:r>
        <w:t xml:space="preserve"> </w:t>
      </w:r>
      <w:r>
        <w:t xml:space="preserve">provides</w:t>
      </w:r>
      <w:r>
        <w:t xml:space="preserve"> </w:t>
      </w:r>
      <w:r>
        <w:t xml:space="preserve">a</w:t>
      </w:r>
      <w:r>
        <w:t xml:space="preserve"> </w:t>
      </w:r>
      <w:r>
        <w:t xml:space="preserve">unique</w:t>
      </w:r>
      <w:r>
        <w:t xml:space="preserve"> </w:t>
      </w:r>
      <w:r>
        <w:t xml:space="preserve">opportunity</w:t>
      </w:r>
      <w:r>
        <w:t xml:space="preserve"> </w:t>
      </w:r>
      <w:r>
        <w:t xml:space="preserve">to</w:t>
      </w:r>
      <w:r>
        <w:t xml:space="preserve"> </w:t>
      </w:r>
      <w:r>
        <w:t xml:space="preserve">explore</w:t>
      </w:r>
      <w:r>
        <w:t xml:space="preserve"> </w:t>
      </w:r>
      <w:r>
        <w:t xml:space="preserve">the</w:t>
      </w:r>
      <w:r>
        <w:t xml:space="preserve"> </w:t>
      </w:r>
      <w:r>
        <w:t xml:space="preserve">interactive</w:t>
      </w:r>
      <w:r>
        <w:t xml:space="preserve"> </w:t>
      </w:r>
      <w:r>
        <w:t xml:space="preserve">effect</w:t>
      </w:r>
      <w:r>
        <w:t xml:space="preserve"> </w:t>
      </w:r>
      <w:r>
        <w:t xml:space="preserve">between</w:t>
      </w:r>
      <w:r>
        <w:t xml:space="preserve"> </w:t>
      </w:r>
      <w:r>
        <w:t xml:space="preserve">formal</w:t>
      </w:r>
      <w:r>
        <w:t xml:space="preserve"> </w:t>
      </w:r>
      <w:r>
        <w:t xml:space="preserve">and</w:t>
      </w:r>
      <w:r>
        <w:t xml:space="preserve"> </w:t>
      </w:r>
      <w:r>
        <w:t xml:space="preserve">informal</w:t>
      </w:r>
      <w:r>
        <w:t xml:space="preserve"> </w:t>
      </w:r>
      <w:r>
        <w:t xml:space="preserve">rules.</w:t>
      </w:r>
      <w:r>
        <w:t xml:space="preserve"> </w:t>
      </w:r>
      <w:r>
        <w:t xml:space="preserve">While</w:t>
      </w:r>
      <w:r>
        <w:t xml:space="preserve"> </w:t>
      </w:r>
      <w:r>
        <w:t xml:space="preserve">economists</w:t>
      </w:r>
      <w:r>
        <w:t xml:space="preserve"> </w:t>
      </w:r>
      <w:r>
        <w:t xml:space="preserve">and</w:t>
      </w:r>
      <w:r>
        <w:t xml:space="preserve"> </w:t>
      </w:r>
      <w:r>
        <w:t xml:space="preserve">public</w:t>
      </w:r>
      <w:r>
        <w:t xml:space="preserve"> </w:t>
      </w:r>
      <w:r>
        <w:t xml:space="preserve">health</w:t>
      </w:r>
      <w:r>
        <w:t xml:space="preserve"> </w:t>
      </w:r>
      <w:r>
        <w:t xml:space="preserve">scholars</w:t>
      </w:r>
      <w:r>
        <w:t xml:space="preserve"> </w:t>
      </w:r>
      <w:r>
        <w:t xml:space="preserve">realize</w:t>
      </w:r>
      <w:r>
        <w:t xml:space="preserve"> </w:t>
      </w:r>
      <w:r>
        <w:t xml:space="preserve">the</w:t>
      </w:r>
      <w:r>
        <w:t xml:space="preserve"> </w:t>
      </w:r>
      <w:r>
        <w:t xml:space="preserve">independent</w:t>
      </w:r>
      <w:r>
        <w:t xml:space="preserve"> </w:t>
      </w:r>
      <w:r>
        <w:t xml:space="preserve">effects</w:t>
      </w:r>
      <w:r>
        <w:t xml:space="preserve"> </w:t>
      </w:r>
      <w:r>
        <w:t xml:space="preserve">social</w:t>
      </w:r>
      <w:r>
        <w:t xml:space="preserve"> </w:t>
      </w:r>
      <w:r>
        <w:t xml:space="preserve">capital</w:t>
      </w:r>
      <w:r>
        <w:t xml:space="preserve"> </w:t>
      </w:r>
      <w:r>
        <w:t xml:space="preserve">and</w:t>
      </w:r>
      <w:r>
        <w:t xml:space="preserve"> </w:t>
      </w:r>
      <w:r>
        <w:t xml:space="preserve">stringent</w:t>
      </w:r>
      <w:r>
        <w:t xml:space="preserve"> </w:t>
      </w:r>
      <w:r>
        <w:t xml:space="preserve">public</w:t>
      </w:r>
      <w:r>
        <w:t xml:space="preserve"> </w:t>
      </w:r>
      <w:r>
        <w:t xml:space="preserve">health</w:t>
      </w:r>
      <w:r>
        <w:t xml:space="preserve"> </w:t>
      </w:r>
      <w:r>
        <w:t xml:space="preserve">rules</w:t>
      </w:r>
      <w:r>
        <w:t xml:space="preserve"> </w:t>
      </w:r>
      <w:r>
        <w:t xml:space="preserve">have</w:t>
      </w:r>
      <w:r>
        <w:t xml:space="preserve"> </w:t>
      </w:r>
      <w:r>
        <w:t xml:space="preserve">on</w:t>
      </w:r>
      <w:r>
        <w:t xml:space="preserve"> </w:t>
      </w:r>
      <w:r>
        <w:t xml:space="preserve">prevalence</w:t>
      </w:r>
      <w:r>
        <w:t xml:space="preserve"> </w:t>
      </w:r>
      <w:r>
        <w:t xml:space="preserve">and</w:t>
      </w:r>
      <w:r>
        <w:t xml:space="preserve"> </w:t>
      </w:r>
      <w:r>
        <w:t xml:space="preserve">mortality</w:t>
      </w:r>
      <w:r>
        <w:t xml:space="preserve"> </w:t>
      </w:r>
      <w:r>
        <w:t xml:space="preserve">rates,</w:t>
      </w:r>
      <w:r>
        <w:t xml:space="preserve"> </w:t>
      </w:r>
      <w:r>
        <w:t xml:space="preserve">we</w:t>
      </w:r>
      <w:r>
        <w:t xml:space="preserve"> </w:t>
      </w:r>
      <w:r>
        <w:t xml:space="preserve">advance</w:t>
      </w:r>
      <w:r>
        <w:t xml:space="preserve"> </w:t>
      </w:r>
      <w:r>
        <w:t xml:space="preserve">this</w:t>
      </w:r>
      <w:r>
        <w:t xml:space="preserve"> </w:t>
      </w:r>
      <w:r>
        <w:t xml:space="preserve">literature</w:t>
      </w:r>
      <w:r>
        <w:t xml:space="preserve"> </w:t>
      </w:r>
      <w:r>
        <w:t xml:space="preserve">with</w:t>
      </w:r>
      <w:r>
        <w:t xml:space="preserve"> </w:t>
      </w:r>
      <w:r>
        <w:t xml:space="preserve">a</w:t>
      </w:r>
      <w:r>
        <w:t xml:space="preserve"> </w:t>
      </w:r>
      <w:r>
        <w:t xml:space="preserve">novel</w:t>
      </w:r>
      <w:r>
        <w:t xml:space="preserve"> </w:t>
      </w:r>
      <w:r>
        <w:t xml:space="preserve">framework</w:t>
      </w:r>
      <w:r>
        <w:t xml:space="preserve"> </w:t>
      </w:r>
      <w:r>
        <w:t xml:space="preserve">to</w:t>
      </w:r>
      <w:r>
        <w:t xml:space="preserve"> </w:t>
      </w:r>
      <w:r>
        <w:t xml:space="preserve">analyze</w:t>
      </w:r>
      <w:r>
        <w:t xml:space="preserve"> </w:t>
      </w:r>
      <w:r>
        <w:t xml:space="preserve">the</w:t>
      </w:r>
      <w:r>
        <w:t xml:space="preserve"> </w:t>
      </w:r>
      <w:r>
        <w:t xml:space="preserve">interaction</w:t>
      </w:r>
      <w:r>
        <w:t xml:space="preserve"> </w:t>
      </w:r>
      <w:r>
        <w:t xml:space="preserve">between</w:t>
      </w:r>
      <w:r>
        <w:t xml:space="preserve"> </w:t>
      </w:r>
      <w:r>
        <w:t xml:space="preserve">the</w:t>
      </w:r>
      <w:r>
        <w:t xml:space="preserve"> </w:t>
      </w:r>
      <w:r>
        <w:t xml:space="preserve">two.</w:t>
      </w:r>
      <w:r>
        <w:t xml:space="preserve"> </w:t>
      </w:r>
      <w:r>
        <w:t xml:space="preserve">With</w:t>
      </w:r>
      <w:r>
        <w:t xml:space="preserve"> </w:t>
      </w:r>
      <w:r>
        <w:t xml:space="preserve">state-level</w:t>
      </w:r>
      <w:r>
        <w:t xml:space="preserve"> </w:t>
      </w:r>
      <w:r>
        <w:t xml:space="preserve">data</w:t>
      </w:r>
      <w:r>
        <w:t xml:space="preserve"> </w:t>
      </w:r>
      <w:r>
        <w:t xml:space="preserve">on</w:t>
      </w:r>
      <w:r>
        <w:t xml:space="preserve"> </w:t>
      </w:r>
      <w:r>
        <w:t xml:space="preserve">daily</w:t>
      </w:r>
      <w:r>
        <w:t xml:space="preserve"> </w:t>
      </w:r>
      <w:r>
        <w:t xml:space="preserve">COVID-19</w:t>
      </w:r>
      <w:r>
        <w:t xml:space="preserve"> </w:t>
      </w:r>
      <w:r>
        <w:t xml:space="preserve">cases,</w:t>
      </w:r>
      <w:r>
        <w:t xml:space="preserve"> </w:t>
      </w:r>
      <w:r>
        <w:t xml:space="preserve">a</w:t>
      </w:r>
      <w:r>
        <w:t xml:space="preserve"> </w:t>
      </w:r>
      <w:r>
        <w:t xml:space="preserve">measure</w:t>
      </w:r>
      <w:r>
        <w:t xml:space="preserve"> </w:t>
      </w:r>
      <w:r>
        <w:t xml:space="preserve">of</w:t>
      </w:r>
      <w:r>
        <w:t xml:space="preserve"> </w:t>
      </w:r>
      <w:r>
        <w:t xml:space="preserve">policy</w:t>
      </w:r>
      <w:r>
        <w:t xml:space="preserve"> </w:t>
      </w:r>
      <w:r>
        <w:t xml:space="preserve">stringency,</w:t>
      </w:r>
      <w:r>
        <w:t xml:space="preserve"> </w:t>
      </w:r>
      <w:r>
        <w:t xml:space="preserve">and</w:t>
      </w:r>
      <w:r>
        <w:t xml:space="preserve"> </w:t>
      </w:r>
      <w:r>
        <w:t xml:space="preserve">various</w:t>
      </w:r>
      <w:r>
        <w:t xml:space="preserve"> </w:t>
      </w:r>
      <w:r>
        <w:t xml:space="preserve">measures</w:t>
      </w:r>
      <w:r>
        <w:t xml:space="preserve"> </w:t>
      </w:r>
      <w:r>
        <w:t xml:space="preserve">of</w:t>
      </w:r>
      <w:r>
        <w:t xml:space="preserve"> </w:t>
      </w:r>
      <w:r>
        <w:t xml:space="preserve">social</w:t>
      </w:r>
      <w:r>
        <w:t xml:space="preserve"> </w:t>
      </w:r>
      <w:r>
        <w:t xml:space="preserve">capital,</w:t>
      </w:r>
      <w:r>
        <w:t xml:space="preserve"> </w:t>
      </w:r>
      <w:r>
        <w:t xml:space="preserve">we</w:t>
      </w:r>
      <w:r>
        <w:t xml:space="preserve"> </w:t>
      </w:r>
      <w:r>
        <w:t xml:space="preserve">find</w:t>
      </w:r>
      <w:r>
        <w:t xml:space="preserve"> </w:t>
      </w:r>
      <w:r>
        <w:t xml:space="preserve">that</w:t>
      </w:r>
      <w:r>
        <w:t xml:space="preserve"> </w:t>
      </w:r>
      <w:r>
        <w:t xml:space="preserve">prevalence</w:t>
      </w:r>
      <w:r>
        <w:t xml:space="preserve"> </w:t>
      </w:r>
      <w:r>
        <w:t xml:space="preserve">rates</w:t>
      </w:r>
      <w:r>
        <w:t xml:space="preserve"> </w:t>
      </w:r>
      <w:r>
        <w:t xml:space="preserve">fall</w:t>
      </w:r>
      <w:r>
        <w:t xml:space="preserve"> </w:t>
      </w:r>
      <w:r>
        <w:t xml:space="preserve">by</w:t>
      </w:r>
      <w:r>
        <w:t xml:space="preserve"> </w:t>
      </w:r>
      <w:r>
        <w:t xml:space="preserve">a</w:t>
      </w:r>
      <w:r>
        <w:t xml:space="preserve"> </w:t>
      </w:r>
      <w:r>
        <w:t xml:space="preserve">larger</w:t>
      </w:r>
      <w:r>
        <w:t xml:space="preserve"> </w:t>
      </w:r>
      <w:r>
        <w:t xml:space="preserve">amount</w:t>
      </w:r>
      <w:r>
        <w:t xml:space="preserve"> </w:t>
      </w:r>
      <w:r>
        <w:t xml:space="preserve">in</w:t>
      </w:r>
      <w:r>
        <w:t xml:space="preserve"> </w:t>
      </w:r>
      <w:r>
        <w:t xml:space="preserve">states</w:t>
      </w:r>
      <w:r>
        <w:t xml:space="preserve"> </w:t>
      </w:r>
      <w:r>
        <w:t xml:space="preserve">where</w:t>
      </w:r>
      <w:r>
        <w:t xml:space="preserve"> </w:t>
      </w:r>
      <w:r>
        <w:t xml:space="preserve">people</w:t>
      </w:r>
      <w:r>
        <w:t xml:space="preserve"> </w:t>
      </w:r>
      <w:r>
        <w:t xml:space="preserve">place</w:t>
      </w:r>
      <w:r>
        <w:t xml:space="preserve"> </w:t>
      </w:r>
      <w:r>
        <w:t xml:space="preserve">a</w:t>
      </w:r>
      <w:r>
        <w:t xml:space="preserve"> </w:t>
      </w:r>
      <w:r>
        <w:t xml:space="preserve">higher</w:t>
      </w:r>
      <w:r>
        <w:t xml:space="preserve"> </w:t>
      </w:r>
      <w:r>
        <w:t xml:space="preserve">value</w:t>
      </w:r>
      <w:r>
        <w:t xml:space="preserve"> </w:t>
      </w:r>
      <w:r>
        <w:t xml:space="preserve">on</w:t>
      </w:r>
      <w:r>
        <w:t xml:space="preserve"> </w:t>
      </w:r>
      <w:r>
        <w:t xml:space="preserve">COVID-19</w:t>
      </w:r>
      <w:r>
        <w:t xml:space="preserve"> </w:t>
      </w:r>
      <w:r>
        <w:t xml:space="preserve">prevention,</w:t>
      </w:r>
      <w:r>
        <w:t xml:space="preserve"> </w:t>
      </w:r>
      <w:r>
        <w:t xml:space="preserve">where</w:t>
      </w:r>
      <w:r>
        <w:t xml:space="preserve"> </w:t>
      </w:r>
      <w:r>
        <w:t xml:space="preserve">public</w:t>
      </w:r>
      <w:r>
        <w:t xml:space="preserve"> </w:t>
      </w:r>
      <w:r>
        <w:t xml:space="preserve">health</w:t>
      </w:r>
      <w:r>
        <w:t xml:space="preserve"> </w:t>
      </w:r>
      <w:r>
        <w:t xml:space="preserve">measures</w:t>
      </w:r>
      <w:r>
        <w:t xml:space="preserve"> </w:t>
      </w:r>
      <w:r>
        <w:t xml:space="preserve">are</w:t>
      </w:r>
      <w:r>
        <w:t xml:space="preserve"> </w:t>
      </w:r>
      <w:r>
        <w:t xml:space="preserve">more</w:t>
      </w:r>
      <w:r>
        <w:t xml:space="preserve"> </w:t>
      </w:r>
      <w:r>
        <w:t xml:space="preserve">stringent,</w:t>
      </w:r>
      <w:r>
        <w:t xml:space="preserve"> </w:t>
      </w:r>
      <w:r>
        <w:t xml:space="preserve">and</w:t>
      </w:r>
      <w:r>
        <w:t xml:space="preserve"> </w:t>
      </w:r>
      <w:r>
        <w:t xml:space="preserve">where</w:t>
      </w:r>
      <w:r>
        <w:t xml:space="preserve"> </w:t>
      </w:r>
      <w:r>
        <w:t xml:space="preserve">there</w:t>
      </w:r>
      <w:r>
        <w:t xml:space="preserve"> </w:t>
      </w:r>
      <w:r>
        <w:t xml:space="preserve">are</w:t>
      </w:r>
      <w:r>
        <w:t xml:space="preserve"> </w:t>
      </w:r>
      <w:r>
        <w:t xml:space="preserve">higher</w:t>
      </w:r>
      <w:r>
        <w:t xml:space="preserve"> </w:t>
      </w:r>
      <w:r>
        <w:t xml:space="preserve">levels</w:t>
      </w:r>
      <w:r>
        <w:t xml:space="preserve"> </w:t>
      </w:r>
      <w:r>
        <w:t xml:space="preserve">of</w:t>
      </w:r>
      <w:r>
        <w:t xml:space="preserve"> </w:t>
      </w:r>
      <w:r>
        <w:t xml:space="preserve">social</w:t>
      </w:r>
      <w:r>
        <w:t xml:space="preserve"> </w:t>
      </w:r>
      <w:r>
        <w:t xml:space="preserve">capital.</w:t>
      </w:r>
      <w:r>
        <w:t xml:space="preserve"> </w:t>
      </w:r>
      <w:r>
        <w:t xml:space="preserve">We</w:t>
      </w:r>
      <w:r>
        <w:t xml:space="preserve"> </w:t>
      </w:r>
      <w:r>
        <w:t xml:space="preserve">estimate</w:t>
      </w:r>
      <w:r>
        <w:t xml:space="preserve"> </w:t>
      </w:r>
      <w:r>
        <w:t xml:space="preserve">that</w:t>
      </w:r>
      <w:r>
        <w:t xml:space="preserve"> </w:t>
      </w:r>
      <w:r>
        <w:t xml:space="preserve">states</w:t>
      </w:r>
      <w:r>
        <w:t xml:space="preserve"> </w:t>
      </w:r>
      <w:r>
        <w:t xml:space="preserve">with</w:t>
      </w:r>
      <w:r>
        <w:t xml:space="preserve"> </w:t>
      </w:r>
      <w:r>
        <w:t xml:space="preserve">higher</w:t>
      </w:r>
      <w:r>
        <w:t xml:space="preserve"> </w:t>
      </w:r>
      <w:r>
        <w:t xml:space="preserve">values</w:t>
      </w:r>
      <w:r>
        <w:t xml:space="preserve"> </w:t>
      </w:r>
      <w:r>
        <w:t xml:space="preserve">for</w:t>
      </w:r>
      <w:r>
        <w:t xml:space="preserve"> </w:t>
      </w:r>
      <w:r>
        <w:t xml:space="preserve">prevention</w:t>
      </w:r>
      <w:r>
        <w:t xml:space="preserve"> </w:t>
      </w:r>
      <w:r>
        <w:t xml:space="preserve">and</w:t>
      </w:r>
      <w:r>
        <w:t xml:space="preserve"> </w:t>
      </w:r>
      <w:r>
        <w:t xml:space="preserve">higher</w:t>
      </w:r>
      <w:r>
        <w:t xml:space="preserve"> </w:t>
      </w:r>
      <w:r>
        <w:t xml:space="preserve">social</w:t>
      </w:r>
      <w:r>
        <w:t xml:space="preserve"> </w:t>
      </w:r>
      <w:r>
        <w:t xml:space="preserve">capital</w:t>
      </w:r>
      <w:r>
        <w:t xml:space="preserve"> </w:t>
      </w:r>
      <w:r>
        <w:t xml:space="preserve">experienced</w:t>
      </w:r>
      <w:r>
        <w:t xml:space="preserve"> </w:t>
      </w:r>
      <w:r>
        <w:t xml:space="preserve">81</w:t>
      </w:r>
      <w:r>
        <w:t xml:space="preserve"> </w:t>
      </w:r>
      <w:r>
        <w:t xml:space="preserve">fewer</w:t>
      </w:r>
      <w:r>
        <w:t xml:space="preserve"> </w:t>
      </w:r>
      <w:r>
        <w:t xml:space="preserve">new</w:t>
      </w:r>
      <w:r>
        <w:t xml:space="preserve"> </w:t>
      </w:r>
      <w:r>
        <w:t xml:space="preserve">daily</w:t>
      </w:r>
      <w:r>
        <w:t xml:space="preserve"> </w:t>
      </w:r>
      <w:r>
        <w:t xml:space="preserve">COVID-19</w:t>
      </w:r>
      <w:r>
        <w:t xml:space="preserve"> </w:t>
      </w:r>
      <w:r>
        <w:t xml:space="preserve">cases</w:t>
      </w:r>
      <w:r>
        <w:t xml:space="preserve"> </w:t>
      </w:r>
      <w:r>
        <w:t xml:space="preserve">per</w:t>
      </w:r>
      <w:r>
        <w:t xml:space="preserve"> </w:t>
      </w:r>
      <w:r>
        <w:t xml:space="preserve">million.</w:t>
      </w:r>
      <w:r>
        <w:t xml:space="preserve"> </w:t>
      </w:r>
      <w:r>
        <w:t xml:space="preserve">The</w:t>
      </w:r>
      <w:r>
        <w:t xml:space="preserve"> </w:t>
      </w:r>
      <w:r>
        <w:t xml:space="preserve">main</w:t>
      </w:r>
      <w:r>
        <w:t xml:space="preserve"> </w:t>
      </w:r>
      <w:r>
        <w:t xml:space="preserve">results</w:t>
      </w:r>
      <w:r>
        <w:t xml:space="preserve"> </w:t>
      </w:r>
      <w:r>
        <w:t xml:space="preserve">are</w:t>
      </w:r>
      <w:r>
        <w:t xml:space="preserve"> </w:t>
      </w:r>
      <w:r>
        <w:t xml:space="preserve">robust</w:t>
      </w:r>
      <w:r>
        <w:t xml:space="preserve"> </w:t>
      </w:r>
      <w:r>
        <w:t xml:space="preserve">to</w:t>
      </w:r>
      <w:r>
        <w:t xml:space="preserve"> </w:t>
      </w:r>
      <w:r>
        <w:t xml:space="preserve">the</w:t>
      </w:r>
      <w:r>
        <w:t xml:space="preserve"> </w:t>
      </w:r>
      <w:r>
        <w:t xml:space="preserve">inclusion</w:t>
      </w:r>
      <w:r>
        <w:t xml:space="preserve"> </w:t>
      </w:r>
      <w:r>
        <w:t xml:space="preserve">of</w:t>
      </w:r>
      <w:r>
        <w:t xml:space="preserve"> </w:t>
      </w:r>
      <w:r>
        <w:t xml:space="preserve">relevant</w:t>
      </w:r>
      <w:r>
        <w:t xml:space="preserve"> </w:t>
      </w:r>
      <w:r>
        <w:t xml:space="preserve">controls,</w:t>
      </w:r>
      <w:r>
        <w:t xml:space="preserve"> </w:t>
      </w:r>
      <w:r>
        <w:t xml:space="preserve">various</w:t>
      </w:r>
      <w:r>
        <w:t xml:space="preserve"> </w:t>
      </w:r>
      <w:r>
        <w:t xml:space="preserve">specifications,</w:t>
      </w:r>
      <w:r>
        <w:t xml:space="preserve"> </w:t>
      </w:r>
      <w:r>
        <w:t xml:space="preserve">and</w:t>
      </w:r>
      <w:r>
        <w:t xml:space="preserve"> </w:t>
      </w:r>
      <w:r>
        <w:t xml:space="preserve">alternative</w:t>
      </w:r>
      <w:r>
        <w:t xml:space="preserve"> </w:t>
      </w:r>
      <w:r>
        <w:t xml:space="preserve">measures</w:t>
      </w:r>
      <w:r>
        <w:t xml:space="preserve"> </w:t>
      </w:r>
      <w:r>
        <w:t xml:space="preserve">of</w:t>
      </w:r>
      <w:r>
        <w:t xml:space="preserve"> </w:t>
      </w:r>
      <w:r>
        <w:t xml:space="preserve">social</w:t>
      </w:r>
      <w:r>
        <w:t xml:space="preserve"> </w:t>
      </w:r>
      <w:r>
        <w:t xml:space="preserve">capital.</w:t>
      </w:r>
      <w:r>
        <w:t xml:space="preserve"> </w:t>
      </w:r>
      <w:r>
        <w:t xml:space="preserve">These</w:t>
      </w:r>
      <w:r>
        <w:t xml:space="preserve"> </w:t>
      </w:r>
      <w:r>
        <w:t xml:space="preserve">results</w:t>
      </w:r>
      <w:r>
        <w:t xml:space="preserve"> </w:t>
      </w:r>
      <w:r>
        <w:t xml:space="preserve">suggest</w:t>
      </w:r>
      <w:r>
        <w:t xml:space="preserve"> </w:t>
      </w:r>
      <w:r>
        <w:t xml:space="preserve">that</w:t>
      </w:r>
      <w:r>
        <w:t xml:space="preserve"> </w:t>
      </w:r>
      <w:r>
        <w:t xml:space="preserve">individuals</w:t>
      </w:r>
      <w:r>
        <w:t xml:space="preserve"> </w:t>
      </w:r>
      <w:r>
        <w:t xml:space="preserve">and</w:t>
      </w:r>
      <w:r>
        <w:t xml:space="preserve"> </w:t>
      </w:r>
      <w:r>
        <w:t xml:space="preserve">the</w:t>
      </w:r>
      <w:r>
        <w:t xml:space="preserve"> </w:t>
      </w:r>
      <w:r>
        <w:t xml:space="preserve">communities</w:t>
      </w:r>
      <w:r>
        <w:t xml:space="preserve"> </w:t>
      </w:r>
      <w:r>
        <w:t xml:space="preserve">they</w:t>
      </w:r>
      <w:r>
        <w:t xml:space="preserve"> </w:t>
      </w:r>
      <w:r>
        <w:t xml:space="preserve">enter</w:t>
      </w:r>
      <w:r>
        <w:t xml:space="preserve"> </w:t>
      </w:r>
      <w:r>
        <w:t xml:space="preserve">into</w:t>
      </w:r>
      <w:r>
        <w:t xml:space="preserve"> </w:t>
      </w:r>
      <w:r>
        <w:t xml:space="preserve">and</w:t>
      </w:r>
      <w:r>
        <w:t xml:space="preserve"> </w:t>
      </w:r>
      <w:r>
        <w:t xml:space="preserve">exit</w:t>
      </w:r>
      <w:r>
        <w:t xml:space="preserve"> </w:t>
      </w:r>
      <w:r>
        <w:t xml:space="preserve">out</w:t>
      </w:r>
      <w:r>
        <w:t xml:space="preserve"> </w:t>
      </w:r>
      <w:r>
        <w:t xml:space="preserve">of</w:t>
      </w:r>
      <w:r>
        <w:t xml:space="preserve"> </w:t>
      </w:r>
      <w:r>
        <w:t xml:space="preserve">play</w:t>
      </w:r>
      <w:r>
        <w:t xml:space="preserve"> </w:t>
      </w:r>
      <w:r>
        <w:t xml:space="preserve">an</w:t>
      </w:r>
      <w:r>
        <w:t xml:space="preserve"> </w:t>
      </w:r>
      <w:r>
        <w:t xml:space="preserve">important</w:t>
      </w:r>
      <w:r>
        <w:t xml:space="preserve"> </w:t>
      </w:r>
      <w:r>
        <w:t xml:space="preserve">role</w:t>
      </w:r>
      <w:r>
        <w:t xml:space="preserve"> </w:t>
      </w:r>
      <w:r>
        <w:t xml:space="preserve">in</w:t>
      </w:r>
      <w:r>
        <w:t xml:space="preserve"> </w:t>
      </w:r>
      <w:r>
        <w:t xml:space="preserve">the</w:t>
      </w:r>
      <w:r>
        <w:t xml:space="preserve"> </w:t>
      </w:r>
      <w:r>
        <w:t xml:space="preserve">spread</w:t>
      </w:r>
      <w:r>
        <w:t xml:space="preserve"> </w:t>
      </w:r>
      <w:r>
        <w:t xml:space="preserve">and</w:t>
      </w:r>
      <w:r>
        <w:t xml:space="preserve"> </w:t>
      </w:r>
      <w:r>
        <w:t xml:space="preserve">prevention</w:t>
      </w:r>
      <w:r>
        <w:t xml:space="preserve"> </w:t>
      </w:r>
      <w:r>
        <w:t xml:space="preserve">of</w:t>
      </w:r>
      <w:r>
        <w:t xml:space="preserve"> </w:t>
      </w:r>
      <w:r>
        <w:t xml:space="preserve">infectious</w:t>
      </w:r>
      <w:r>
        <w:t xml:space="preserve"> </w:t>
      </w:r>
      <w:r>
        <w:t xml:space="preserve">diseases</w:t>
      </w:r>
      <w:r>
        <w:t xml:space="preserve"> </w:t>
      </w:r>
      <w:r>
        <w:t xml:space="preserve">independent</w:t>
      </w:r>
      <w:r>
        <w:t xml:space="preserve"> </w:t>
      </w:r>
      <w:r>
        <w:t xml:space="preserve">of</w:t>
      </w:r>
      <w:r>
        <w:t xml:space="preserve"> </w:t>
      </w:r>
      <w:r>
        <w:t xml:space="preserve">formal,</w:t>
      </w:r>
      <w:r>
        <w:t xml:space="preserve"> </w:t>
      </w:r>
      <w:r>
        <w:t xml:space="preserve">governmental</w:t>
      </w:r>
      <w:r>
        <w:t xml:space="preserve"> </w:t>
      </w:r>
      <w:r>
        <w:t xml:space="preserve">public</w:t>
      </w:r>
      <w:r>
        <w:t xml:space="preserve"> </w:t>
      </w:r>
      <w:r>
        <w:t xml:space="preserve">health</w:t>
      </w:r>
      <w:r>
        <w:t xml:space="preserve"> </w:t>
      </w:r>
      <w:r>
        <w:t xml:space="preserve">responses.</w:t>
      </w:r>
    </w:p>
    <w:bookmarkStart w:id="27" w:name="introduction"/>
    <w:p>
      <w:pPr>
        <w:pStyle w:val="Heading1"/>
      </w:pPr>
      <w:r>
        <w:t xml:space="preserve">Introduction</w:t>
      </w:r>
    </w:p>
    <w:p>
      <w:pPr>
        <w:pStyle w:val="FirstParagraph"/>
      </w:pPr>
      <w:r>
        <w:t xml:space="preserve">The COVID-19 epidemics and the myriad private and public responses provide a unique opportunity to examine the interplay between formal and informal rules. Many scholars understand how these rules influence economic, social, and political behaviors</w:t>
      </w:r>
      <w:r>
        <w:t xml:space="preserve"> </w:t>
      </w:r>
      <w:r>
        <w:t xml:space="preserve">(North 1990; Baumol 1990; Ostrom 2005; Boettke and Coyne 2007; Heller 2009; C. R. Williamson 2009, 2011; C. Williamson and Kerekes 2011; Storr 2015; Vachris and Isaacs 2017)</w:t>
      </w:r>
      <w:r>
        <w:t xml:space="preserve">, but the effects rules have on infectious and preventative behaviors—and prevalence rates—are less clear.</w:t>
      </w:r>
      <w:r>
        <w:rPr>
          <w:rStyle w:val="FootnoteReference"/>
        </w:rPr>
        <w:footnoteReference w:id="20"/>
      </w:r>
    </w:p>
    <w:p>
      <w:pPr>
        <w:pStyle w:val="BodyText"/>
      </w:pPr>
      <w:r>
        <w:t xml:space="preserve">Formal rules can influence the difficulty or ease of developing public health bureaus</w:t>
      </w:r>
      <w:r>
        <w:t xml:space="preserve"> </w:t>
      </w:r>
      <w:r>
        <w:t xml:space="preserve">(Troesken 2015; Olmstead and Rhode 2015)</w:t>
      </w:r>
      <w:r>
        <w:t xml:space="preserve">, and we expect that people are better able to avoid infectious diseases and/or lessen mortality rates when they live in areas with greater economic freedom</w:t>
      </w:r>
      <w:r>
        <w:t xml:space="preserve"> </w:t>
      </w:r>
      <w:r>
        <w:t xml:space="preserve">(Geloso and Bologna Pavlik 2020; Candela and Geloso 2020)</w:t>
      </w:r>
      <w:r>
        <w:t xml:space="preserve">. Relatedly, individuals and firms in the private sector are more likely to provide public goods associated with public health when they face incentives to do so; for example, coal mining companies provided sanitation services on par with municipalities</w:t>
      </w:r>
      <w:r>
        <w:t xml:space="preserve"> </w:t>
      </w:r>
      <w:r>
        <w:t xml:space="preserve">(Fishback 1992)</w:t>
      </w:r>
      <w:r>
        <w:t xml:space="preserve">; groups of workers provided industrial-sickness funds that were effective means of insurance</w:t>
      </w:r>
      <w:r>
        <w:t xml:space="preserve"> </w:t>
      </w:r>
      <w:r>
        <w:t xml:space="preserve">(Murray 2007)</w:t>
      </w:r>
      <w:r>
        <w:t xml:space="preserve">; private water companies lowered mortality rates in Argentina</w:t>
      </w:r>
      <w:r>
        <w:t xml:space="preserve"> </w:t>
      </w:r>
      <w:r>
        <w:t xml:space="preserve">(Galiani, Gertler, and Schargrodsky 2005)</w:t>
      </w:r>
      <w:r>
        <w:t xml:space="preserve">; textile mills and railroad companies provided mosquito control services prior to significant public health measures</w:t>
      </w:r>
      <w:r>
        <w:t xml:space="preserve"> </w:t>
      </w:r>
      <w:r>
        <w:t xml:space="preserve">(Carson 2016)</w:t>
      </w:r>
      <w:r>
        <w:t xml:space="preserve">. Individuals can also alter the incentives and rules they face to provide mosquito-control</w:t>
      </w:r>
      <w:r>
        <w:t xml:space="preserve"> </w:t>
      </w:r>
      <w:r>
        <w:t xml:space="preserve">(Carson 2020a)</w:t>
      </w:r>
      <w:r>
        <w:t xml:space="preserve">, and to encourage COVID-19 prevention</w:t>
      </w:r>
      <w:r>
        <w:t xml:space="preserve"> </w:t>
      </w:r>
      <w:r>
        <w:t xml:space="preserve">(Carson 2020b)</w:t>
      </w:r>
      <w:r>
        <w:t xml:space="preserve">.</w:t>
      </w:r>
    </w:p>
    <w:p>
      <w:pPr>
        <w:pStyle w:val="BodyText"/>
      </w:pPr>
      <w:r>
        <w:t xml:space="preserve">Whether informal rules influence the spread of disease and whether such rules interact with formal rules to influence the spread of disease, however, are underexplored questions.</w:t>
      </w:r>
      <w:r>
        <w:rPr>
          <w:rStyle w:val="FootnoteReference"/>
        </w:rPr>
        <w:footnoteReference w:id="21"/>
      </w:r>
      <w:r>
        <w:t xml:space="preserve"> </w:t>
      </w:r>
      <w:r>
        <w:t xml:space="preserve">In response to COVID-19, scholars recognized that formal public health rules, e.g., lockdown orders, might have a dampening effect on disease spread</w:t>
      </w:r>
      <w:r>
        <w:t xml:space="preserve"> </w:t>
      </w:r>
      <w:r>
        <w:t xml:space="preserve">(Brodeur et al. n.d.)</w:t>
      </w:r>
      <w:r>
        <w:t xml:space="preserve">. Similarly, scholars recognize that social capital—a kind of informal institution—encourages COVID-19 preventative</w:t>
      </w:r>
      <w:r>
        <w:t xml:space="preserve"> </w:t>
      </w:r>
      <w:r>
        <w:t xml:space="preserve">(Imbulana Arachchi and Managi 2021; Makridis and Wu 2021; Brodeur et al. n.d.; Pitas and Ehmer 2020; Wong and Kohler 2020; Borgonovi and Andrieu 2020; Borgonovi, Andrieu, and Subramanian 2020; Wu 2020; Wu et al. 2020; Durante, Guiso, and Gulino 2020)</w:t>
      </w:r>
      <w:r>
        <w:t xml:space="preserve">.</w:t>
      </w:r>
      <w:r>
        <w:rPr>
          <w:rStyle w:val="FootnoteReference"/>
        </w:rPr>
        <w:footnoteReference w:id="22"/>
      </w:r>
      <w:r>
        <w:t xml:space="preserve"> </w:t>
      </w:r>
      <w:r>
        <w:t xml:space="preserve">For example,</w:t>
      </w:r>
      <w:r>
        <w:t xml:space="preserve"> </w:t>
      </w:r>
      <w:r>
        <w:t xml:space="preserve">Makridis and Wu (2021)</w:t>
      </w:r>
      <w:r>
        <w:t xml:space="preserve"> </w:t>
      </w:r>
      <w:r>
        <w:t xml:space="preserve">shows that between March and July of 2020 social capital negatively influences the spread of COVID-19. Using state fixed effects that attenuate omitted variable bias and alternative measures of social capital, they report that the spread of COVID-19 falls by 18 percent (and deaths fall by 5.7 percent) as counties increase their social capital from the 25th percentile to the 75th percentile.</w:t>
      </w:r>
      <w:r>
        <w:rPr>
          <w:rStyle w:val="FootnoteReference"/>
        </w:rPr>
        <w:footnoteReference w:id="23"/>
      </w:r>
    </w:p>
    <w:p>
      <w:pPr>
        <w:pStyle w:val="BodyText"/>
      </w:pPr>
      <w:r>
        <w:t xml:space="preserve">We advance this literature by developing a novel framework to 1) assess the conditions under which social capital influences the spread of COVID-19 and 2) compare the effects social capital has on the growth of COVID-19 relative to more formal public health measures. The condition of particular interest is that social capital negatively influences the spread of COVID-19 when people value COVID-19 prevention and formal public health measures.</w:t>
      </w:r>
      <w:r>
        <w:rPr>
          <w:rStyle w:val="FootnoteReference"/>
        </w:rPr>
        <w:footnoteReference w:id="24"/>
      </w:r>
      <w:r>
        <w:t xml:space="preserve"> </w:t>
      </w:r>
      <w:r>
        <w:t xml:space="preserve">With one year’s worth of state-level, daily data on COVID-19 cases, social capital, and stringency in the United States, we build a panel model to analyze this interaction effect. We find results similar to</w:t>
      </w:r>
      <w:r>
        <w:t xml:space="preserve"> </w:t>
      </w:r>
      <w:r>
        <w:t xml:space="preserve">Makridis and Wu (2021)</w:t>
      </w:r>
      <w:r>
        <w:t xml:space="preserve"> </w:t>
      </w:r>
      <w:r>
        <w:t xml:space="preserve">in that social capital encourages COVID-19 prevention. More importantly, however, states with stronger social capital (relative to the average)</w:t>
      </w:r>
      <w:r>
        <w:t xml:space="preserve"> </w:t>
      </w:r>
      <w:r>
        <w:rPr>
          <w:iCs/>
          <w:i/>
        </w:rPr>
        <w:t xml:space="preserve">and</w:t>
      </w:r>
      <w:r>
        <w:t xml:space="preserve"> </w:t>
      </w:r>
      <w:r>
        <w:t xml:space="preserve">with a higher value of COVID-19 prevention (relative to the average) have about 81 fewer COVID-19 cases whereas states with weaker social capital (relatively to the average)</w:t>
      </w:r>
      <w:r>
        <w:t xml:space="preserve"> </w:t>
      </w:r>
      <w:r>
        <w:rPr>
          <w:iCs/>
          <w:i/>
        </w:rPr>
        <w:t xml:space="preserve">and</w:t>
      </w:r>
      <w:r>
        <w:t xml:space="preserve"> </w:t>
      </w:r>
      <w:r>
        <w:t xml:space="preserve">a lower value for COVID-19 prevention (relative to the average) have about 60 more cases. Our results are consistent when we disaggregate social capital based on measured sub-components, and they are robust to the inclusion of standard controls and alternative measures of social capital. Figures 1 and 2 show how our approach differs from the consensus, e.g.,</w:t>
      </w:r>
      <w:r>
        <w:t xml:space="preserve"> </w:t>
      </w:r>
      <w:r>
        <w:t xml:space="preserve">Makridis and Wu (2021)</w:t>
      </w:r>
      <w:r>
        <w:t xml:space="preserve">. Figure 1 replicates the relationships between stringency, social capital, and COVID-19 cases at the state level. Figure 2, however, shows that both social capital and stringency influence COVID-19 cases.</w:t>
      </w:r>
    </w:p>
    <w:p>
      <w:pPr>
        <w:pStyle w:val="BodyText"/>
      </w:pPr>
      <w:r>
        <w:drawing>
          <wp:inline>
            <wp:extent cx="5544151" cy="3927107"/>
            <wp:effectExtent b="0" l="0" r="0" t="0"/>
            <wp:docPr descr="" title="" id="1" name="Picture"/>
            <a:graphic>
              <a:graphicData uri="http://schemas.openxmlformats.org/drawingml/2006/picture">
                <pic:pic>
                  <pic:nvPicPr>
                    <pic:cNvPr descr="sc_draft-vej-revision_files/figure-docx/unnamed-chunk-9-1.png" id="0" name="Picture"/>
                    <pic:cNvPicPr>
                      <a:picLocks noChangeArrowheads="1" noChangeAspect="1"/>
                    </pic:cNvPicPr>
                  </pic:nvPicPr>
                  <pic:blipFill>
                    <a:blip r:embed="rId25"/>
                    <a:stretch>
                      <a:fillRect/>
                    </a:stretch>
                  </pic:blipFill>
                  <pic:spPr bwMode="auto">
                    <a:xfrm>
                      <a:off x="0" y="0"/>
                      <a:ext cx="5544151" cy="3927107"/>
                    </a:xfrm>
                    <a:prstGeom prst="rect">
                      <a:avLst/>
                    </a:prstGeom>
                    <a:noFill/>
                    <a:ln w="9525">
                      <a:noFill/>
                      <a:headEnd/>
                      <a:tailEnd/>
                    </a:ln>
                  </pic:spPr>
                </pic:pic>
              </a:graphicData>
            </a:graphic>
          </wp:inline>
        </w:drawing>
      </w:r>
    </w:p>
    <w:p>
      <w:pPr>
        <w:pStyle w:val="BodyText"/>
      </w:pPr>
      <w:r>
        <w:drawing>
          <wp:inline>
            <wp:extent cx="5544151" cy="3927107"/>
            <wp:effectExtent b="0" l="0" r="0" t="0"/>
            <wp:docPr descr="" title="" id="1" name="Picture"/>
            <a:graphic>
              <a:graphicData uri="http://schemas.openxmlformats.org/drawingml/2006/picture">
                <pic:pic>
                  <pic:nvPicPr>
                    <pic:cNvPr descr="sc_draft-vej-revision_files/figure-docx/unnamed-chunk-11-1.png" id="0" name="Picture"/>
                    <pic:cNvPicPr>
                      <a:picLocks noChangeArrowheads="1" noChangeAspect="1"/>
                    </pic:cNvPicPr>
                  </pic:nvPicPr>
                  <pic:blipFill>
                    <a:blip r:embed="rId26"/>
                    <a:stretch>
                      <a:fillRect/>
                    </a:stretch>
                  </pic:blipFill>
                  <pic:spPr bwMode="auto">
                    <a:xfrm>
                      <a:off x="0" y="0"/>
                      <a:ext cx="5544151" cy="3927107"/>
                    </a:xfrm>
                    <a:prstGeom prst="rect">
                      <a:avLst/>
                    </a:prstGeom>
                    <a:noFill/>
                    <a:ln w="9525">
                      <a:noFill/>
                      <a:headEnd/>
                      <a:tailEnd/>
                    </a:ln>
                  </pic:spPr>
                </pic:pic>
              </a:graphicData>
            </a:graphic>
          </wp:inline>
        </w:drawing>
      </w:r>
    </w:p>
    <w:p>
      <w:pPr>
        <w:pStyle w:val="BodyText"/>
      </w:pPr>
      <w:r>
        <w:t xml:space="preserve">These results suggest that the values people have for COVID-19 prevention, their formal and informal rules, and their interactions play identifiable roles in how people spread infectious diseases, which should be recognized in subsequent research in both economics and in public health. There are numerous implications of these results. The relationships between social capital, formal public health rules, and the spread of infectious diseases enhances our understanding of how people spread infectious diseases. Just as we recognize individuals can influence the formal and informal rules that influence economic, political, and social behaviors, we should recognize individuals influence how diseases spread by the formal and informal rules they create and adapt. For example, economic freedom should play a larger role in developing public health policy as it bolsters social capital</w:t>
      </w:r>
      <w:r>
        <w:t xml:space="preserve"> </w:t>
      </w:r>
      <w:r>
        <w:t xml:space="preserve">(Berggren and Jordahl 2006)</w:t>
      </w:r>
      <w:r>
        <w:t xml:space="preserve"> </w:t>
      </w:r>
      <w:r>
        <w:t xml:space="preserve">and disease prevention</w:t>
      </w:r>
      <w:r>
        <w:t xml:space="preserve"> </w:t>
      </w:r>
      <w:r>
        <w:t xml:space="preserve">(Geloso and Bologna Pavlik 2020; Candela and Geloso 2020)</w:t>
      </w:r>
      <w:r>
        <w:t xml:space="preserve">. In particular, the formal and informal rules that influence economic freedom are integral components of public health.</w:t>
      </w:r>
    </w:p>
    <w:p>
      <w:pPr>
        <w:pStyle w:val="BodyText"/>
      </w:pPr>
      <w:r>
        <w:t xml:space="preserve">A related theme in the economic literature on institutions suggests that the formal rules that facilitate economic development depend on supporting informal rules, and that mimicking formal rules without the underlying cultural values and informal rules or</w:t>
      </w:r>
      <w:r>
        <w:t xml:space="preserve"> </w:t>
      </w:r>
      <w:r>
        <w:rPr>
          <w:iCs/>
          <w:i/>
        </w:rPr>
        <w:t xml:space="preserve">metis</w:t>
      </w:r>
      <w:r>
        <w:t xml:space="preserve">, following</w:t>
      </w:r>
      <w:r>
        <w:t xml:space="preserve"> </w:t>
      </w:r>
      <w:r>
        <w:t xml:space="preserve">Boettke, Coyne, and Leeson (2008)</w:t>
      </w:r>
      <w:r>
        <w:t xml:space="preserve">, will likely cause worse outcomes. Evidence on the efficacy of matching formal and informal institutions suggests that areas with higher levels of trust, self-reliance, and civic belief foster economic and political institutions that protect property rights, promote openness, and economic development</w:t>
      </w:r>
      <w:r>
        <w:t xml:space="preserve"> </w:t>
      </w:r>
      <w:r>
        <w:t xml:space="preserve">(Vachris and Isaacs 2017)</w:t>
      </w:r>
      <w:r>
        <w:t xml:space="preserve">. Furthermore, government-led attempts to foster social capital or create homogeneity—for example, through language laws or the creation of a civil court—create unintended, harmful effects</w:t>
      </w:r>
      <w:r>
        <w:t xml:space="preserve"> </w:t>
      </w:r>
      <w:r>
        <w:t xml:space="preserve">(Carilli, Coyne, and Leeson 2008)</w:t>
      </w:r>
      <w:r>
        <w:t xml:space="preserve">. Thus, we resist attempts to alter the level and/or kind of social capital via policy so as to influence COVID-19 transmission rates. Social capital is not easily alterable as if it were a lever one person or a large group of people could toggle. Even though social capital supports formal public health rules and can lower the growth rate of COVID-19 cases, this does not necessarily suggest policymakers should target areas with less social capital by increasing stringency measures or by doubling-down along the intensive margin</w:t>
      </w:r>
      <w:r>
        <w:t xml:space="preserve"> </w:t>
      </w:r>
      <w:r>
        <w:t xml:space="preserve">(as suggested by Bartscher et al. 2020)</w:t>
      </w:r>
      <w:r>
        <w:t xml:space="preserve">.</w:t>
      </w:r>
    </w:p>
    <w:bookmarkEnd w:id="27"/>
    <w:bookmarkStart w:id="29" w:name="values-social-capital-and-covid-19"/>
    <w:p>
      <w:pPr>
        <w:pStyle w:val="Heading1"/>
      </w:pPr>
      <w:r>
        <w:t xml:space="preserve">Values, Social Capital, and COVID-19</w:t>
      </w:r>
    </w:p>
    <w:p>
      <w:pPr>
        <w:pStyle w:val="FirstParagraph"/>
      </w:pPr>
      <w:r>
        <w:t xml:space="preserve">Social capital takes various forms between individuals to encourage cooperation, which then influences health outcomes. Two of the main forms of social capital include</w:t>
      </w:r>
      <w:r>
        <w:t xml:space="preserve"> </w:t>
      </w:r>
      <w:r>
        <w:rPr>
          <w:iCs/>
          <w:i/>
        </w:rPr>
        <w:t xml:space="preserve">bridging</w:t>
      </w:r>
      <w:r>
        <w:t xml:space="preserve"> </w:t>
      </w:r>
      <w:r>
        <w:t xml:space="preserve">between people within a social network and</w:t>
      </w:r>
      <w:r>
        <w:t xml:space="preserve"> </w:t>
      </w:r>
      <w:r>
        <w:rPr>
          <w:iCs/>
          <w:i/>
        </w:rPr>
        <w:t xml:space="preserve">bonding</w:t>
      </w:r>
      <w:r>
        <w:t xml:space="preserve"> </w:t>
      </w:r>
      <w:r>
        <w:t xml:space="preserve">between people from different social networks. We do not take a stance as to which form of social capital is more or less relevant in the context of COVID-19. We do, however, provide evidence below regarding the measured components of social capital, e.g., categories like family unity and community health. Furthermore, while social capital can be used for legitimate and nefarious activities, we are solely interested in whether social capital influences behaviors related to the spread of disease.</w:t>
      </w:r>
    </w:p>
    <w:p>
      <w:pPr>
        <w:pStyle w:val="BodyText"/>
      </w:pPr>
      <w:r>
        <w:t xml:space="preserve">Social capital can influence health outcomes in multiple ways</w:t>
      </w:r>
      <w:r>
        <w:t xml:space="preserve"> </w:t>
      </w:r>
      <w:r>
        <w:t xml:space="preserve">(Putnam 2001)</w:t>
      </w:r>
      <w:r>
        <w:t xml:space="preserve">: people with greater access to social capital or in a network with stronger social capital might have more tangible assistance from others, e.g., money or health care; they might have more access to organizations that lower the cost of health care; they might have more opportunities to innovate and provide goods and services related to health; they might be in a social network where social norms enforce healthy behaviors, e.g., don’t take the last bite of food; they might also have more of an ability to advance a political agenda to alter health policy; and there might be a physiological response because of social capital that improves immune systems</w:t>
      </w:r>
      <w:r>
        <w:t xml:space="preserve"> </w:t>
      </w:r>
      <w:r>
        <w:t xml:space="preserve">(Putnam 2001)</w:t>
      </w:r>
      <w:r>
        <w:t xml:space="preserve">. Additional evidence also shows that social capital influences obesity</w:t>
      </w:r>
      <w:r>
        <w:t xml:space="preserve"> </w:t>
      </w:r>
      <w:r>
        <w:t xml:space="preserve">(Kim et al. 2006)</w:t>
      </w:r>
      <w:r>
        <w:t xml:space="preserve">.</w:t>
      </w:r>
    </w:p>
    <w:p>
      <w:pPr>
        <w:pStyle w:val="BodyText"/>
      </w:pPr>
      <w:r>
        <w:t xml:space="preserve">We argue that social capital complements the values people have for prevention and the subsequent formal rules they adopt. That is, people are more likely to limit the spread of COVID-19 when they value preventative behavior and preventative rules and when they live in a community where social capital reinforces such values, behaviors, and rules. Thus, the interaction effect between the value people have for prevention, formal public health rules, and the kind of social capital is our primary interest—rather than each of these factors separately.</w:t>
      </w:r>
    </w:p>
    <w:p>
      <w:pPr>
        <w:pStyle w:val="BodyText"/>
      </w:pPr>
      <w:r>
        <w:t xml:space="preserve">We suggest the interaction between social capital, values for prevention, and formal rules has a negative effect on prevalence rates because social capital ultimately raises the private costs to individuals of breaking the rules that a group perceives as legitimate, namely formal and informal public health rules. People with stronger levels of social capital are more likely to interact with each other—which can increase the spread of diseases like COVID-19 due to being physically close to others—but they are also likely to follow the public health rules they value. The more people value disease prevention over other legitimate values they might have and the more they believe public health rules are also legitimate and valuable, breaking those rules is taken as an affront punishable informally by a personal rebuke, a worsening reputation, a refusal of service, or fewer social contacts. More formal measures of enforcement and punishment are also relevant, e.g., calling a public health department, a security guard, or the police.</w:t>
      </w:r>
      <w:r>
        <w:rPr>
          <w:rStyle w:val="FootnoteReference"/>
        </w:rPr>
        <w:footnoteReference w:id="28"/>
      </w:r>
      <w:r>
        <w:t xml:space="preserve"> </w:t>
      </w:r>
      <w:r>
        <w:t xml:space="preserve">Relatedly, people are better able to monitor the behavior of others in areas with stronger social capital given numerous social ties; this suggests that infractions are more likely to be discovered in areas with stronger social capital. Thus, as strong as values for prevention are and as severe as formal public health rules are, social capital will encourage individuals to engage in preventative behavior. All else equal, this interaction lowers the number of COVID-19 cases.</w:t>
      </w:r>
    </w:p>
    <w:p>
      <w:pPr>
        <w:pStyle w:val="BodyText"/>
      </w:pPr>
      <w:r>
        <w:t xml:space="preserve">A person’s normative beliefs and attitudes can raise (or lower) the value of preventative behavior, which can encourage (or discourage) the use of masks, social distancing, etc. People might value disease prevention to improve their own health and the health of their friends and family; and people might legitimately value other goals over disease prevention, e.g., maintaining cultural practices, following religious observances, pursuing economic activity, etc. Given the values people have, then, the community and kind of social capital within which people pursue their individual and cooperative goals becomes relevant. That is, the quality, kind, or strength of social capital influences how well people achieve their goals, whatever those goals might be. Thus, the kinds (and amount) of bonds people form within and between groups vary across school groups, business environments, and familial and social settings, and gives social capital an entrepreneurial quality</w:t>
      </w:r>
      <w:r>
        <w:t xml:space="preserve"> </w:t>
      </w:r>
      <w:r>
        <w:t xml:space="preserve">(Chamlee-Wright 2008; Carilli, Coyne, and Leeson 2008)</w:t>
      </w:r>
      <w:r>
        <w:t xml:space="preserve">. Recently,</w:t>
      </w:r>
      <w:r>
        <w:t xml:space="preserve"> </w:t>
      </w:r>
      <w:r>
        <w:t xml:space="preserve">Storr and Haeffele (2021)</w:t>
      </w:r>
      <w:r>
        <w:t xml:space="preserve"> </w:t>
      </w:r>
      <w:r>
        <w:t xml:space="preserve">argues that epidemic crises like the COVID-19 crisis influenced people’s social capital by encouraging deeper connections with pre-existing contacts. It remains to be seen, however, how widespread separation might also change, i.e., erode, pre-existing relationships.</w:t>
      </w:r>
    </w:p>
    <w:p>
      <w:pPr>
        <w:pStyle w:val="BodyText"/>
      </w:pPr>
      <w:r>
        <w:t xml:space="preserve">Table I depicts a way to visualize our framework on the interaction between social capital, values, and formal rules. The rows characterize groups by their normative beliefs and attitudes regarding prevention; individuals and groups in the top row place a higher value on prevention relative to the average value while those in the bottom row place a lower value on prevention relative to the average value. The columns characterize groups by the strength of their social capital; individuals and groups on the left have stronger social capital relative to the average amount of social capital while those on the right have weaker social capital relative to the average.</w:t>
      </w:r>
    </w:p>
    <w:p>
      <w:pPr>
        <w:pStyle w:val="TableCaption"/>
      </w:pPr>
      <w:r>
        <w:t xml:space="preserve">The Interaction between Social Capital and Values for Disease Prevention</w:t>
      </w:r>
    </w:p>
    <w:tbl>
      <w:tblPr>
        <w:tblStyle w:val="Table"/>
        <w:tblW w:type="pct" w:w="5000.0"/>
        <w:tblLook w:firstRow="1" w:lastRow="0" w:firstColumn="0" w:lastColumn="0" w:noHBand="0" w:noVBand="0" w:val="0020"/>
        <w:tblCaption w:val="The Interaction between Social Capital and Values for Disease Prevention"/>
      </w:tblPr>
      <w:tblGrid>
        <w:gridCol w:w="2668"/>
        <w:gridCol w:w="2582"/>
        <w:gridCol w:w="2668"/>
      </w:tblGrid>
      <w:tr>
        <w:tc>
          <w:p/>
        </w:tc>
        <w:tc>
          <w:p>
            <w:pPr>
              <w:pStyle w:val="Compact"/>
              <w:jc w:val="left"/>
            </w:pPr>
            <w:r>
              <w:t xml:space="preserve">Strong Social Capital</w:t>
            </w:r>
          </w:p>
        </w:tc>
        <w:tc>
          <w:p>
            <w:pPr>
              <w:pStyle w:val="Compact"/>
              <w:jc w:val="left"/>
            </w:pPr>
            <w:r>
              <w:t xml:space="preserve">Weak Social Capital</w:t>
            </w:r>
          </w:p>
        </w:tc>
      </w:tr>
      <w:tr>
        <w:tc>
          <w:p>
            <w:pPr>
              <w:pStyle w:val="Compact"/>
              <w:jc w:val="left"/>
            </w:pPr>
            <w:r>
              <w:rPr>
                <w:bCs/>
                <w:b/>
              </w:rPr>
              <w:t xml:space="preserve">High Value on Prevention</w:t>
            </w:r>
          </w:p>
        </w:tc>
        <w:tc>
          <w:p>
            <w:pPr>
              <w:pStyle w:val="Compact"/>
              <w:jc w:val="left"/>
            </w:pPr>
            <w:r>
              <w:t xml:space="preserve">I - Lowest Prevalence Rate</w:t>
            </w:r>
          </w:p>
        </w:tc>
        <w:tc>
          <w:p>
            <w:pPr>
              <w:pStyle w:val="Compact"/>
              <w:jc w:val="left"/>
            </w:pPr>
            <w:r>
              <w:t xml:space="preserve">II - Higher Prevalence Rate</w:t>
            </w:r>
          </w:p>
        </w:tc>
      </w:tr>
      <w:tr>
        <w:tc>
          <w:p>
            <w:pPr>
              <w:pStyle w:val="Compact"/>
              <w:jc w:val="left"/>
            </w:pPr>
            <w:r>
              <w:rPr>
                <w:bCs/>
                <w:b/>
              </w:rPr>
              <w:t xml:space="preserve">Low Value on Prevention</w:t>
            </w:r>
          </w:p>
        </w:tc>
        <w:tc>
          <w:p>
            <w:pPr>
              <w:pStyle w:val="Compact"/>
              <w:jc w:val="left"/>
            </w:pPr>
            <w:r>
              <w:t xml:space="preserve">III - Lower Prevalence Rate</w:t>
            </w:r>
          </w:p>
        </w:tc>
        <w:tc>
          <w:p>
            <w:pPr>
              <w:pStyle w:val="Compact"/>
              <w:jc w:val="left"/>
            </w:pPr>
            <w:r>
              <w:t xml:space="preserve">IV - Highest Prevalence Rate</w:t>
            </w:r>
          </w:p>
        </w:tc>
      </w:tr>
    </w:tbl>
    <w:p>
      <w:pPr>
        <w:pStyle w:val="BodyText"/>
      </w:pPr>
      <w:r>
        <w:t xml:space="preserve">Thus, the interaction effect between values for prevention and social capital have on prevalence rates varies by quadrant. We expect the interaction effect between values for prevention and social capital to have the strongest effect on prevalence rates when people place a higher value on prevention, when they adopt more stringent public health rules, and when they have stronger social capital (Quadrant 1). We expect the magnitude of social capital to have the weakest effect on new cases when 1) people place a lower value on preventative behavior and 2) people have weaker social capital (Quadrant IV).</w:t>
      </w:r>
    </w:p>
    <w:p>
      <w:pPr>
        <w:pStyle w:val="BodyText"/>
      </w:pPr>
      <w:r>
        <w:t xml:space="preserve">The following testable propositions guide our analysis below:</w:t>
      </w:r>
    </w:p>
    <w:p>
      <w:pPr>
        <w:numPr>
          <w:ilvl w:val="0"/>
          <w:numId w:val="1001"/>
        </w:numPr>
      </w:pPr>
      <w:r>
        <w:t xml:space="preserve">People that place a higher value on COVID-19 prevention will have larger, negative effects on the growth of COVID-19 cases than people that do not value COVID-19 prevention, all else equal.</w:t>
      </w:r>
    </w:p>
    <w:p>
      <w:pPr>
        <w:numPr>
          <w:ilvl w:val="0"/>
          <w:numId w:val="1001"/>
        </w:numPr>
      </w:pPr>
      <w:r>
        <w:t xml:space="preserve">People with stronger social capital will have larger, positive effects on the growth of COVID-19 cases than people with weaker social capital, all else equal.</w:t>
      </w:r>
    </w:p>
    <w:p>
      <w:pPr>
        <w:numPr>
          <w:ilvl w:val="0"/>
          <w:numId w:val="1001"/>
        </w:numPr>
      </w:pPr>
      <w:r>
        <w:t xml:space="preserve">People that place a higher value on COVID-19 prevention</w:t>
      </w:r>
      <w:r>
        <w:t xml:space="preserve"> </w:t>
      </w:r>
      <w:r>
        <w:rPr>
          <w:iCs/>
          <w:i/>
        </w:rPr>
        <w:t xml:space="preserve">and</w:t>
      </w:r>
      <w:r>
        <w:t xml:space="preserve"> </w:t>
      </w:r>
      <w:r>
        <w:t xml:space="preserve">have stronger social capital will have the largest, negative effect on the growth of COVID-19 cases, all else equal.</w:t>
      </w:r>
    </w:p>
    <w:bookmarkEnd w:id="29"/>
    <w:bookmarkStart w:id="31" w:name="data-model-and-results"/>
    <w:p>
      <w:pPr>
        <w:pStyle w:val="Heading1"/>
      </w:pPr>
      <w:r>
        <w:t xml:space="preserve">Data, Model, and Results</w:t>
      </w:r>
    </w:p>
    <w:p>
      <w:pPr>
        <w:pStyle w:val="FirstParagraph"/>
      </w:pPr>
      <w:r>
        <w:t xml:space="preserve">This framework is somewhat easy to operationalize in the context of COVID-19, in addition to other epidemiological cases where formal and informal rules are relevant. We measure the columns ofTable I with various indices of social capital, e.g., the Joint Economic Committee’s (JEC) social capital project reports a measure of social capital across all states. We measure the rows ofTable I with a measure of policy stringency, which we suggest is indicative—but not a perfect representation—of the values people hold regarding COVID-19 prevention.</w:t>
      </w:r>
    </w:p>
    <w:p>
      <w:pPr>
        <w:pStyle w:val="BodyText"/>
      </w:pPr>
      <w:r>
        <w:t xml:space="preserve">Moreover, we specify three models: The first is a one-way fixed effects model with no controls given by</w:t>
      </w:r>
    </w:p>
    <w:p>
      <w:pPr>
        <w:numPr>
          <w:ilvl w:val="0"/>
          <w:numId w:val="1002"/>
        </w:numPr>
        <w:pStyle w:val="Compact"/>
      </w:pPr>
      <m:oMath>
        <m:r>
          <m:rPr>
            <m:sty m:val="i"/>
          </m:rPr>
          <m:t>N</m:t>
        </m:r>
        <m:r>
          <m:rPr>
            <m:sty m:val="i"/>
          </m:rPr>
          <m:t>e</m:t>
        </m:r>
        <m:r>
          <m:rPr>
            <m:sty m:val="i"/>
          </m:rPr>
          <m:t>w</m:t>
        </m:r>
        <m:r>
          <m:rPr>
            <m:sty m:val="i"/>
          </m:rPr>
          <m:t>C</m:t>
        </m:r>
        <m:r>
          <m:rPr>
            <m:sty m:val="i"/>
          </m:rPr>
          <m:t>a</m:t>
        </m:r>
        <m:r>
          <m:rPr>
            <m:sty m:val="i"/>
          </m:rPr>
          <m:t>s</m:t>
        </m:r>
        <m:r>
          <m:rPr>
            <m:sty m:val="i"/>
          </m:rPr>
          <m:t>e</m:t>
        </m:r>
        <m:sSub>
          <m:e>
            <m:r>
              <m:rPr>
                <m:sty m:val="i"/>
              </m:rPr>
              <m:t>s</m:t>
            </m:r>
          </m:e>
          <m:sub>
            <m:r>
              <m:rPr>
                <m:sty m:val="i"/>
              </m:rPr>
              <m:t>i</m:t>
            </m:r>
            <m:r>
              <m:rPr>
                <m:sty m:val="i"/>
              </m:rPr>
              <m:t>t</m:t>
            </m:r>
          </m:sub>
        </m:sSub>
        <m:r>
          <m:rPr>
            <m:sty m:val="p"/>
          </m:rPr>
          <m:t>=</m:t>
        </m:r>
        <m:sSub>
          <m:e>
            <m:r>
              <m:t>γ</m:t>
            </m:r>
          </m:e>
          <m:sub>
            <m:r>
              <m:t>0</m:t>
            </m:r>
          </m:sub>
        </m:sSub>
        <m:r>
          <m:rPr>
            <m:sty m:val="p"/>
          </m:rPr>
          <m:t>+</m:t>
        </m:r>
        <m:sSub>
          <m:e>
            <m:r>
              <m:t>γ</m:t>
            </m:r>
          </m:e>
          <m:sub>
            <m:r>
              <m:t>1</m:t>
            </m:r>
          </m:sub>
        </m:sSub>
        <m:sSub>
          <m:e>
            <m:r>
              <m:rPr>
                <m:sty m:val="i"/>
              </m:rPr>
              <m:t>S</m:t>
            </m:r>
            <m:r>
              <m:rPr>
                <m:sty m:val="i"/>
              </m:rPr>
              <m:t>t</m:t>
            </m:r>
            <m:r>
              <m:rPr>
                <m:sty m:val="i"/>
              </m:rPr>
              <m:t>r</m:t>
            </m:r>
            <m:r>
              <m:rPr>
                <m:sty m:val="i"/>
              </m:rPr>
              <m:t>i</m:t>
            </m:r>
            <m:r>
              <m:rPr>
                <m:sty m:val="i"/>
              </m:rPr>
              <m:t>n</m:t>
            </m:r>
            <m:r>
              <m:rPr>
                <m:sty m:val="i"/>
              </m:rPr>
              <m:t>g</m:t>
            </m:r>
            <m:r>
              <m:rPr>
                <m:sty m:val="i"/>
              </m:rPr>
              <m:t>e</m:t>
            </m:r>
            <m:r>
              <m:rPr>
                <m:sty m:val="i"/>
              </m:rPr>
              <m:t>n</m:t>
            </m:r>
            <m:r>
              <m:rPr>
                <m:sty m:val="i"/>
              </m:rPr>
              <m:t>c</m:t>
            </m:r>
            <m:r>
              <m:rPr>
                <m:sty m:val="i"/>
              </m:rPr>
              <m:t>y</m:t>
            </m:r>
          </m:e>
          <m:sub>
            <m:r>
              <m:t>i</m:t>
            </m:r>
            <m:r>
              <m:rPr>
                <m:sty m:val="p"/>
              </m:rPr>
              <m:t>,</m:t>
            </m:r>
            <m:r>
              <m:t>t</m:t>
            </m:r>
            <m:r>
              <m:rPr>
                <m:sty m:val="p"/>
              </m:rPr>
              <m:t>−</m:t>
            </m:r>
            <m:r>
              <m:t>7</m:t>
            </m:r>
          </m:sub>
        </m:sSub>
        <m:r>
          <m:rPr>
            <m:sty m:val="p"/>
          </m:rPr>
          <m:t>+</m:t>
        </m:r>
        <m:sSub>
          <m:e>
            <m:r>
              <m:t>γ</m:t>
            </m:r>
          </m:e>
          <m:sub>
            <m:r>
              <m:t>2</m:t>
            </m:r>
          </m:sub>
        </m:sSub>
        <m:sSubSup>
          <m:e>
            <m:r>
              <m:rPr>
                <m:sty m:val="i"/>
              </m:rPr>
              <m:t>S</m:t>
            </m:r>
            <m:r>
              <m:rPr>
                <m:sty m:val="i"/>
              </m:rPr>
              <m:t>t</m:t>
            </m:r>
            <m:r>
              <m:rPr>
                <m:sty m:val="i"/>
              </m:rPr>
              <m:t>r</m:t>
            </m:r>
            <m:r>
              <m:rPr>
                <m:sty m:val="i"/>
              </m:rPr>
              <m:t>i</m:t>
            </m:r>
            <m:r>
              <m:rPr>
                <m:sty m:val="i"/>
              </m:rPr>
              <m:t>n</m:t>
            </m:r>
            <m:r>
              <m:rPr>
                <m:sty m:val="i"/>
              </m:rPr>
              <m:t>g</m:t>
            </m:r>
            <m:r>
              <m:rPr>
                <m:sty m:val="i"/>
              </m:rPr>
              <m:t>e</m:t>
            </m:r>
            <m:r>
              <m:rPr>
                <m:sty m:val="i"/>
              </m:rPr>
              <m:t>n</m:t>
            </m:r>
            <m:r>
              <m:rPr>
                <m:sty m:val="i"/>
              </m:rPr>
              <m:t>c</m:t>
            </m:r>
            <m:r>
              <m:rPr>
                <m:sty m:val="i"/>
              </m:rPr>
              <m:t>y</m:t>
            </m:r>
          </m:e>
          <m:sub>
            <m:r>
              <m:t>i</m:t>
            </m:r>
            <m:r>
              <m:rPr>
                <m:sty m:val="p"/>
              </m:rPr>
              <m:t>,</m:t>
            </m:r>
            <m:r>
              <m:t>t</m:t>
            </m:r>
            <m:r>
              <m:rPr>
                <m:sty m:val="p"/>
              </m:rPr>
              <m:t>−</m:t>
            </m:r>
            <m:r>
              <m:t>7</m:t>
            </m:r>
          </m:sub>
          <m:sup>
            <m:r>
              <m:t>2</m:t>
            </m:r>
          </m:sup>
        </m:sSubSup>
        <m:r>
          <m:rPr>
            <m:sty m:val="p"/>
          </m:rPr>
          <m:t>+</m:t>
        </m:r>
        <m:sSub>
          <m:e>
            <m:r>
              <m:t>γ</m:t>
            </m:r>
          </m:e>
          <m:sub>
            <m:r>
              <m:t>3</m:t>
            </m:r>
          </m:sub>
        </m:sSub>
        <m:r>
          <m:rPr>
            <m:sty m:val="i"/>
          </m:rPr>
          <m:t>S</m:t>
        </m:r>
        <m:r>
          <m:rPr>
            <m:sty m:val="i"/>
          </m:rPr>
          <m:t>o</m:t>
        </m:r>
        <m:r>
          <m:rPr>
            <m:sty m:val="i"/>
          </m:rPr>
          <m:t>c</m:t>
        </m:r>
        <m:r>
          <m:rPr>
            <m:sty m:val="i"/>
          </m:rPr>
          <m:t>i</m:t>
        </m:r>
        <m:r>
          <m:rPr>
            <m:sty m:val="i"/>
          </m:rPr>
          <m:t>a</m:t>
        </m:r>
        <m:r>
          <m:rPr>
            <m:sty m:val="i"/>
          </m:rPr>
          <m:t>l</m:t>
        </m:r>
        <m:r>
          <m:rPr>
            <m:sty m:val="i"/>
          </m:rPr>
          <m:t>C</m:t>
        </m:r>
        <m:r>
          <m:rPr>
            <m:sty m:val="i"/>
          </m:rPr>
          <m:t>a</m:t>
        </m:r>
        <m:r>
          <m:rPr>
            <m:sty m:val="i"/>
          </m:rPr>
          <m:t>p</m:t>
        </m:r>
        <m:r>
          <m:rPr>
            <m:sty m:val="i"/>
          </m:rPr>
          <m:t>t</m:t>
        </m:r>
        <m:r>
          <m:rPr>
            <m:sty m:val="i"/>
          </m:rPr>
          <m:t>i</m:t>
        </m:r>
        <m:r>
          <m:rPr>
            <m:sty m:val="i"/>
          </m:rPr>
          <m:t>a</m:t>
        </m:r>
        <m:sSub>
          <m:e>
            <m:r>
              <m:rPr>
                <m:sty m:val="i"/>
              </m:rPr>
              <m:t>l</m:t>
            </m:r>
          </m:e>
          <m:sub>
            <m:r>
              <m:rPr>
                <m:sty m:val="i"/>
              </m:rPr>
              <m:t>i</m:t>
            </m:r>
            <m:r>
              <m:rPr>
                <m:sty m:val="i"/>
              </m:rPr>
              <m:t>t</m:t>
            </m:r>
          </m:sub>
        </m:sSub>
        <m:r>
          <m:rPr>
            <m:sty m:val="p"/>
          </m:rPr>
          <m:t>+</m:t>
        </m:r>
        <m:sSub>
          <m:e>
            <m:r>
              <m:t>γ</m:t>
            </m:r>
          </m:e>
          <m:sub>
            <m:r>
              <m:t>4</m:t>
            </m:r>
          </m:sub>
        </m:sSub>
        <m:d>
          <m:dPr>
            <m:begChr m:val="("/>
            <m:endChr m:val=")"/>
            <m:grow/>
          </m:dPr>
          <m:e>
            <m:r>
              <m:rPr>
                <m:sty m:val="i"/>
              </m:rPr>
              <m:t>S</m:t>
            </m:r>
            <m:r>
              <m:rPr>
                <m:sty m:val="i"/>
              </m:rPr>
              <m:t>t</m:t>
            </m:r>
            <m:r>
              <m:rPr>
                <m:sty m:val="i"/>
              </m:rPr>
              <m:t>r</m:t>
            </m:r>
            <m:r>
              <m:rPr>
                <m:sty m:val="i"/>
              </m:rPr>
              <m:t>i</m:t>
            </m:r>
            <m:r>
              <m:rPr>
                <m:sty m:val="i"/>
              </m:rPr>
              <m:t>n</m:t>
            </m:r>
            <m:r>
              <m:rPr>
                <m:sty m:val="i"/>
              </m:rPr>
              <m:t>g</m:t>
            </m:r>
            <m:r>
              <m:rPr>
                <m:sty m:val="i"/>
              </m:rPr>
              <m:t>e</m:t>
            </m:r>
            <m:r>
              <m:rPr>
                <m:sty m:val="i"/>
              </m:rPr>
              <m:t>n</m:t>
            </m:r>
            <m:r>
              <m:rPr>
                <m:sty m:val="i"/>
              </m:rPr>
              <m:t>c</m:t>
            </m:r>
            <m:sSub>
              <m:e>
                <m:r>
                  <m:rPr>
                    <m:sty m:val="i"/>
                  </m:rPr>
                  <m:t>y</m:t>
                </m:r>
              </m:e>
              <m:sub>
                <m:r>
                  <m:rPr>
                    <m:sty m:val="i"/>
                  </m:rPr>
                  <m:t>i</m:t>
                </m:r>
                <m:r>
                  <m:rPr>
                    <m:sty m:val="i"/>
                  </m:rPr>
                  <m:t>,</m:t>
                </m:r>
                <m:r>
                  <m:rPr>
                    <m:sty m:val="i"/>
                  </m:rPr>
                  <m:t>t</m:t>
                </m:r>
                <m:r>
                  <m:rPr>
                    <m:sty m:val="i"/>
                  </m:rPr>
                  <m:t>−</m:t>
                </m:r>
                <m:r>
                  <m:rPr>
                    <m:sty m:val="i"/>
                  </m:rPr>
                  <m:t>7</m:t>
                </m:r>
              </m:sub>
            </m:sSub>
            <m:r>
              <m:rPr>
                <m:sty m:val="p"/>
              </m:rPr>
              <m:t>×</m:t>
            </m:r>
            <m:r>
              <m:rPr>
                <m:sty m:val="i"/>
              </m:rPr>
              <m:t>S</m:t>
            </m:r>
            <m:r>
              <m:rPr>
                <m:sty m:val="i"/>
              </m:rPr>
              <m:t>o</m:t>
            </m:r>
            <m:r>
              <m:rPr>
                <m:sty m:val="i"/>
              </m:rPr>
              <m:t>c</m:t>
            </m:r>
            <m:r>
              <m:rPr>
                <m:sty m:val="i"/>
              </m:rPr>
              <m:t>i</m:t>
            </m:r>
            <m:r>
              <m:rPr>
                <m:sty m:val="i"/>
              </m:rPr>
              <m:t>a</m:t>
            </m:r>
            <m:r>
              <m:rPr>
                <m:sty m:val="i"/>
              </m:rPr>
              <m:t>l</m:t>
            </m:r>
            <m:r>
              <m:rPr>
                <m:sty m:val="i"/>
              </m:rPr>
              <m:t>C</m:t>
            </m:r>
            <m:r>
              <m:rPr>
                <m:sty m:val="i"/>
              </m:rPr>
              <m:t>a</m:t>
            </m:r>
            <m:r>
              <m:rPr>
                <m:sty m:val="i"/>
              </m:rPr>
              <m:t>p</m:t>
            </m:r>
            <m:r>
              <m:rPr>
                <m:sty m:val="i"/>
              </m:rPr>
              <m:t>i</m:t>
            </m:r>
            <m:r>
              <m:rPr>
                <m:sty m:val="i"/>
              </m:rPr>
              <m:t>t</m:t>
            </m:r>
            <m:r>
              <m:rPr>
                <m:sty m:val="i"/>
              </m:rPr>
              <m:t>a</m:t>
            </m:r>
            <m:sSub>
              <m:e>
                <m:r>
                  <m:rPr>
                    <m:sty m:val="i"/>
                  </m:rPr>
                  <m:t>l</m:t>
                </m:r>
              </m:e>
              <m:sub>
                <m:r>
                  <m:rPr>
                    <m:sty m:val="i"/>
                  </m:rPr>
                  <m:t>i</m:t>
                </m:r>
                <m:r>
                  <m:rPr>
                    <m:sty m:val="i"/>
                  </m:rPr>
                  <m:t>t</m:t>
                </m:r>
              </m:sub>
            </m:sSub>
          </m:e>
        </m:d>
        <m:r>
          <m:rPr>
            <m:sty m:val="p"/>
          </m:rPr>
          <m:t>+</m:t>
        </m:r>
        <m:sSub>
          <m:e>
            <m:r>
              <m:t>ν</m:t>
            </m:r>
          </m:e>
          <m:sub>
            <m:r>
              <m:t>i</m:t>
            </m:r>
            <m:r>
              <m:t>t</m:t>
            </m:r>
          </m:sub>
        </m:sSub>
      </m:oMath>
    </w:p>
    <w:p>
      <w:pPr>
        <w:pStyle w:val="FirstParagraph"/>
      </w:pPr>
      <w:r>
        <w:t xml:space="preserve">The second adds a vector of controls to the first equation and is given by</w:t>
      </w:r>
    </w:p>
    <w:p>
      <w:pPr>
        <w:numPr>
          <w:ilvl w:val="0"/>
          <w:numId w:val="1003"/>
        </w:numPr>
        <w:pStyle w:val="Compact"/>
      </w:pPr>
      <m:oMath>
        <m:r>
          <m:rPr>
            <m:sty m:val="i"/>
          </m:rPr>
          <m:t>N</m:t>
        </m:r>
        <m:r>
          <m:rPr>
            <m:sty m:val="i"/>
          </m:rPr>
          <m:t>e</m:t>
        </m:r>
        <m:r>
          <m:rPr>
            <m:sty m:val="i"/>
          </m:rPr>
          <m:t>w</m:t>
        </m:r>
        <m:r>
          <m:rPr>
            <m:sty m:val="i"/>
          </m:rPr>
          <m:t>C</m:t>
        </m:r>
        <m:r>
          <m:rPr>
            <m:sty m:val="i"/>
          </m:rPr>
          <m:t>a</m:t>
        </m:r>
        <m:r>
          <m:rPr>
            <m:sty m:val="i"/>
          </m:rPr>
          <m:t>s</m:t>
        </m:r>
        <m:r>
          <m:rPr>
            <m:sty m:val="i"/>
          </m:rPr>
          <m:t>e</m:t>
        </m:r>
        <m:sSub>
          <m:e>
            <m:r>
              <m:rPr>
                <m:sty m:val="i"/>
              </m:rPr>
              <m:t>s</m:t>
            </m:r>
          </m:e>
          <m:sub>
            <m:r>
              <m:rPr>
                <m:sty m:val="i"/>
              </m:rPr>
              <m:t>i</m:t>
            </m:r>
            <m:r>
              <m:rPr>
                <m:sty m:val="i"/>
              </m:rPr>
              <m:t>t</m:t>
            </m:r>
          </m:sub>
        </m:sSub>
        <m:r>
          <m:rPr>
            <m:sty m:val="p"/>
          </m:rPr>
          <m:t>=</m:t>
        </m:r>
        <m:sSub>
          <m:e>
            <m:r>
              <m:t>δ</m:t>
            </m:r>
          </m:e>
          <m:sub>
            <m:r>
              <m:t>0</m:t>
            </m:r>
          </m:sub>
        </m:sSub>
        <m:r>
          <m:rPr>
            <m:sty m:val="p"/>
          </m:rPr>
          <m:t>+</m:t>
        </m:r>
        <m:sSub>
          <m:e>
            <m:r>
              <m:t>δ</m:t>
            </m:r>
          </m:e>
          <m:sub>
            <m:r>
              <m:t>1</m:t>
            </m:r>
          </m:sub>
        </m:sSub>
        <m:sSub>
          <m:e>
            <m:r>
              <m:rPr>
                <m:sty m:val="i"/>
              </m:rPr>
              <m:t>S</m:t>
            </m:r>
            <m:r>
              <m:rPr>
                <m:sty m:val="i"/>
              </m:rPr>
              <m:t>t</m:t>
            </m:r>
            <m:r>
              <m:rPr>
                <m:sty m:val="i"/>
              </m:rPr>
              <m:t>r</m:t>
            </m:r>
            <m:r>
              <m:rPr>
                <m:sty m:val="i"/>
              </m:rPr>
              <m:t>i</m:t>
            </m:r>
            <m:r>
              <m:rPr>
                <m:sty m:val="i"/>
              </m:rPr>
              <m:t>n</m:t>
            </m:r>
            <m:r>
              <m:rPr>
                <m:sty m:val="i"/>
              </m:rPr>
              <m:t>g</m:t>
            </m:r>
            <m:r>
              <m:rPr>
                <m:sty m:val="i"/>
              </m:rPr>
              <m:t>e</m:t>
            </m:r>
            <m:r>
              <m:rPr>
                <m:sty m:val="i"/>
              </m:rPr>
              <m:t>n</m:t>
            </m:r>
            <m:r>
              <m:rPr>
                <m:sty m:val="i"/>
              </m:rPr>
              <m:t>c</m:t>
            </m:r>
            <m:r>
              <m:rPr>
                <m:sty m:val="i"/>
              </m:rPr>
              <m:t>y</m:t>
            </m:r>
          </m:e>
          <m:sub>
            <m:r>
              <m:t>i</m:t>
            </m:r>
            <m:r>
              <m:rPr>
                <m:sty m:val="p"/>
              </m:rPr>
              <m:t>,</m:t>
            </m:r>
            <m:r>
              <m:t>t</m:t>
            </m:r>
            <m:r>
              <m:rPr>
                <m:sty m:val="p"/>
              </m:rPr>
              <m:t>−</m:t>
            </m:r>
            <m:r>
              <m:t>7</m:t>
            </m:r>
          </m:sub>
        </m:sSub>
        <m:r>
          <m:rPr>
            <m:sty m:val="p"/>
          </m:rPr>
          <m:t>+</m:t>
        </m:r>
        <m:sSub>
          <m:e>
            <m:r>
              <m:t>δ</m:t>
            </m:r>
          </m:e>
          <m:sub>
            <m:r>
              <m:t>2</m:t>
            </m:r>
          </m:sub>
        </m:sSub>
        <m:sSubSup>
          <m:e>
            <m:r>
              <m:rPr>
                <m:sty m:val="i"/>
              </m:rPr>
              <m:t>S</m:t>
            </m:r>
            <m:r>
              <m:rPr>
                <m:sty m:val="i"/>
              </m:rPr>
              <m:t>t</m:t>
            </m:r>
            <m:r>
              <m:rPr>
                <m:sty m:val="i"/>
              </m:rPr>
              <m:t>r</m:t>
            </m:r>
            <m:r>
              <m:rPr>
                <m:sty m:val="i"/>
              </m:rPr>
              <m:t>i</m:t>
            </m:r>
            <m:r>
              <m:rPr>
                <m:sty m:val="i"/>
              </m:rPr>
              <m:t>n</m:t>
            </m:r>
            <m:r>
              <m:rPr>
                <m:sty m:val="i"/>
              </m:rPr>
              <m:t>g</m:t>
            </m:r>
            <m:r>
              <m:rPr>
                <m:sty m:val="i"/>
              </m:rPr>
              <m:t>e</m:t>
            </m:r>
            <m:r>
              <m:rPr>
                <m:sty m:val="i"/>
              </m:rPr>
              <m:t>n</m:t>
            </m:r>
            <m:r>
              <m:rPr>
                <m:sty m:val="i"/>
              </m:rPr>
              <m:t>c</m:t>
            </m:r>
            <m:r>
              <m:rPr>
                <m:sty m:val="i"/>
              </m:rPr>
              <m:t>y</m:t>
            </m:r>
          </m:e>
          <m:sub>
            <m:r>
              <m:t>i</m:t>
            </m:r>
            <m:r>
              <m:rPr>
                <m:sty m:val="p"/>
              </m:rPr>
              <m:t>,</m:t>
            </m:r>
            <m:r>
              <m:t>t</m:t>
            </m:r>
            <m:r>
              <m:rPr>
                <m:sty m:val="p"/>
              </m:rPr>
              <m:t>−</m:t>
            </m:r>
            <m:r>
              <m:t>7</m:t>
            </m:r>
          </m:sub>
          <m:sup>
            <m:r>
              <m:t>2</m:t>
            </m:r>
          </m:sup>
        </m:sSubSup>
        <m:r>
          <m:rPr>
            <m:sty m:val="p"/>
          </m:rPr>
          <m:t>+</m:t>
        </m:r>
        <m:sSub>
          <m:e>
            <m:r>
              <m:t>δ</m:t>
            </m:r>
          </m:e>
          <m:sub>
            <m:r>
              <m:t>3</m:t>
            </m:r>
          </m:sub>
        </m:sSub>
        <m:r>
          <m:rPr>
            <m:sty m:val="i"/>
          </m:rPr>
          <m:t>S</m:t>
        </m:r>
        <m:r>
          <m:rPr>
            <m:sty m:val="i"/>
          </m:rPr>
          <m:t>o</m:t>
        </m:r>
        <m:r>
          <m:rPr>
            <m:sty m:val="i"/>
          </m:rPr>
          <m:t>c</m:t>
        </m:r>
        <m:r>
          <m:rPr>
            <m:sty m:val="i"/>
          </m:rPr>
          <m:t>i</m:t>
        </m:r>
        <m:r>
          <m:rPr>
            <m:sty m:val="i"/>
          </m:rPr>
          <m:t>a</m:t>
        </m:r>
        <m:r>
          <m:rPr>
            <m:sty m:val="i"/>
          </m:rPr>
          <m:t>l</m:t>
        </m:r>
        <m:r>
          <m:rPr>
            <m:sty m:val="i"/>
          </m:rPr>
          <m:t>C</m:t>
        </m:r>
        <m:r>
          <m:rPr>
            <m:sty m:val="i"/>
          </m:rPr>
          <m:t>a</m:t>
        </m:r>
        <m:r>
          <m:rPr>
            <m:sty m:val="i"/>
          </m:rPr>
          <m:t>p</m:t>
        </m:r>
        <m:r>
          <m:rPr>
            <m:sty m:val="i"/>
          </m:rPr>
          <m:t>t</m:t>
        </m:r>
        <m:r>
          <m:rPr>
            <m:sty m:val="i"/>
          </m:rPr>
          <m:t>i</m:t>
        </m:r>
        <m:r>
          <m:rPr>
            <m:sty m:val="i"/>
          </m:rPr>
          <m:t>a</m:t>
        </m:r>
        <m:sSub>
          <m:e>
            <m:r>
              <m:rPr>
                <m:sty m:val="i"/>
              </m:rPr>
              <m:t>l</m:t>
            </m:r>
          </m:e>
          <m:sub>
            <m:r>
              <m:rPr>
                <m:sty m:val="i"/>
              </m:rPr>
              <m:t>i</m:t>
            </m:r>
            <m:r>
              <m:rPr>
                <m:sty m:val="i"/>
              </m:rPr>
              <m:t>t</m:t>
            </m:r>
          </m:sub>
        </m:sSub>
        <m:r>
          <m:rPr>
            <m:sty m:val="p"/>
          </m:rPr>
          <m:t>+</m:t>
        </m:r>
        <m:sSub>
          <m:e>
            <m:r>
              <m:t>δ</m:t>
            </m:r>
          </m:e>
          <m:sub>
            <m:r>
              <m:t>4</m:t>
            </m:r>
          </m:sub>
        </m:sSub>
        <m:d>
          <m:dPr>
            <m:begChr m:val="("/>
            <m:endChr m:val=")"/>
            <m:grow/>
          </m:dPr>
          <m:e>
            <m:r>
              <m:rPr>
                <m:sty m:val="i"/>
              </m:rPr>
              <m:t>S</m:t>
            </m:r>
            <m:r>
              <m:rPr>
                <m:sty m:val="i"/>
              </m:rPr>
              <m:t>t</m:t>
            </m:r>
            <m:r>
              <m:rPr>
                <m:sty m:val="i"/>
              </m:rPr>
              <m:t>r</m:t>
            </m:r>
            <m:r>
              <m:rPr>
                <m:sty m:val="i"/>
              </m:rPr>
              <m:t>i</m:t>
            </m:r>
            <m:r>
              <m:rPr>
                <m:sty m:val="i"/>
              </m:rPr>
              <m:t>n</m:t>
            </m:r>
            <m:r>
              <m:rPr>
                <m:sty m:val="i"/>
              </m:rPr>
              <m:t>g</m:t>
            </m:r>
            <m:r>
              <m:rPr>
                <m:sty m:val="i"/>
              </m:rPr>
              <m:t>e</m:t>
            </m:r>
            <m:r>
              <m:rPr>
                <m:sty m:val="i"/>
              </m:rPr>
              <m:t>n</m:t>
            </m:r>
            <m:r>
              <m:rPr>
                <m:sty m:val="i"/>
              </m:rPr>
              <m:t>c</m:t>
            </m:r>
            <m:sSub>
              <m:e>
                <m:r>
                  <m:rPr>
                    <m:sty m:val="i"/>
                  </m:rPr>
                  <m:t>y</m:t>
                </m:r>
              </m:e>
              <m:sub>
                <m:r>
                  <m:rPr>
                    <m:sty m:val="i"/>
                  </m:rPr>
                  <m:t>i</m:t>
                </m:r>
                <m:r>
                  <m:rPr>
                    <m:sty m:val="i"/>
                  </m:rPr>
                  <m:t>,</m:t>
                </m:r>
                <m:r>
                  <m:rPr>
                    <m:sty m:val="i"/>
                  </m:rPr>
                  <m:t>t</m:t>
                </m:r>
                <m:r>
                  <m:rPr>
                    <m:sty m:val="i"/>
                  </m:rPr>
                  <m:t>−</m:t>
                </m:r>
                <m:r>
                  <m:rPr>
                    <m:sty m:val="i"/>
                  </m:rPr>
                  <m:t>7</m:t>
                </m:r>
              </m:sub>
            </m:sSub>
            <m:r>
              <m:rPr>
                <m:sty m:val="p"/>
              </m:rPr>
              <m:t>×</m:t>
            </m:r>
            <m:r>
              <m:rPr>
                <m:sty m:val="i"/>
              </m:rPr>
              <m:t>S</m:t>
            </m:r>
            <m:r>
              <m:rPr>
                <m:sty m:val="i"/>
              </m:rPr>
              <m:t>o</m:t>
            </m:r>
            <m:r>
              <m:rPr>
                <m:sty m:val="i"/>
              </m:rPr>
              <m:t>c</m:t>
            </m:r>
            <m:r>
              <m:rPr>
                <m:sty m:val="i"/>
              </m:rPr>
              <m:t>i</m:t>
            </m:r>
            <m:r>
              <m:rPr>
                <m:sty m:val="i"/>
              </m:rPr>
              <m:t>a</m:t>
            </m:r>
            <m:r>
              <m:rPr>
                <m:sty m:val="i"/>
              </m:rPr>
              <m:t>l</m:t>
            </m:r>
            <m:r>
              <m:rPr>
                <m:sty m:val="i"/>
              </m:rPr>
              <m:t>C</m:t>
            </m:r>
            <m:r>
              <m:rPr>
                <m:sty m:val="i"/>
              </m:rPr>
              <m:t>a</m:t>
            </m:r>
            <m:r>
              <m:rPr>
                <m:sty m:val="i"/>
              </m:rPr>
              <m:t>p</m:t>
            </m:r>
            <m:r>
              <m:rPr>
                <m:sty m:val="i"/>
              </m:rPr>
              <m:t>i</m:t>
            </m:r>
            <m:r>
              <m:rPr>
                <m:sty m:val="i"/>
              </m:rPr>
              <m:t>t</m:t>
            </m:r>
            <m:r>
              <m:rPr>
                <m:sty m:val="i"/>
              </m:rPr>
              <m:t>a</m:t>
            </m:r>
            <m:sSub>
              <m:e>
                <m:r>
                  <m:rPr>
                    <m:sty m:val="i"/>
                  </m:rPr>
                  <m:t>l</m:t>
                </m:r>
              </m:e>
              <m:sub>
                <m:r>
                  <m:rPr>
                    <m:sty m:val="i"/>
                  </m:rPr>
                  <m:t>i</m:t>
                </m:r>
                <m:r>
                  <m:rPr>
                    <m:sty m:val="i"/>
                  </m:rPr>
                  <m:t>t</m:t>
                </m:r>
              </m:sub>
            </m:sSub>
          </m:e>
        </m:d>
        <m:r>
          <m:rPr>
            <m:sty m:val="p"/>
          </m:rPr>
          <m:t>+</m:t>
        </m:r>
        <m:r>
          <m:rPr>
            <m:sty m:val="p"/>
          </m:rPr>
          <m:t>∑</m:t>
        </m:r>
        <m:sSub>
          <m:e>
            <m:r>
              <m:t>η</m:t>
            </m:r>
          </m:e>
          <m:sub>
            <m:r>
              <m:t>j</m:t>
            </m:r>
          </m:sub>
        </m:sSub>
        <m:sSub>
          <m:e>
            <m:r>
              <m:t>Z</m:t>
            </m:r>
          </m:e>
          <m:sub>
            <m:r>
              <m:t>i</m:t>
            </m:r>
            <m:r>
              <m:t>t</m:t>
            </m:r>
          </m:sub>
        </m:sSub>
        <m:r>
          <m:rPr>
            <m:sty m:val="p"/>
          </m:rPr>
          <m:t>+</m:t>
        </m:r>
        <m:sSub>
          <m:e>
            <m:r>
              <m:t>ω</m:t>
            </m:r>
          </m:e>
          <m:sub>
            <m:r>
              <m:t>i</m:t>
            </m:r>
            <m:r>
              <m:t>t</m:t>
            </m:r>
          </m:sub>
        </m:sSub>
      </m:oMath>
    </w:p>
    <w:p>
      <w:pPr>
        <w:pStyle w:val="FirstParagraph"/>
      </w:pPr>
      <w:r>
        <w:t xml:space="preserve">The third is a two-way fixed effects model given by</w:t>
      </w:r>
    </w:p>
    <w:p>
      <w:pPr>
        <w:numPr>
          <w:ilvl w:val="0"/>
          <w:numId w:val="1004"/>
        </w:numPr>
        <w:pStyle w:val="Compact"/>
      </w:pPr>
      <m:oMath>
        <m:r>
          <m:rPr>
            <m:sty m:val="i"/>
          </m:rPr>
          <m:t>N</m:t>
        </m:r>
        <m:r>
          <m:rPr>
            <m:sty m:val="i"/>
          </m:rPr>
          <m:t>e</m:t>
        </m:r>
        <m:r>
          <m:rPr>
            <m:sty m:val="i"/>
          </m:rPr>
          <m:t>w</m:t>
        </m:r>
        <m:r>
          <m:rPr>
            <m:sty m:val="i"/>
          </m:rPr>
          <m:t>C</m:t>
        </m:r>
        <m:r>
          <m:rPr>
            <m:sty m:val="i"/>
          </m:rPr>
          <m:t>a</m:t>
        </m:r>
        <m:r>
          <m:rPr>
            <m:sty m:val="i"/>
          </m:rPr>
          <m:t>s</m:t>
        </m:r>
        <m:r>
          <m:rPr>
            <m:sty m:val="i"/>
          </m:rPr>
          <m:t>e</m:t>
        </m:r>
        <m:sSub>
          <m:e>
            <m:r>
              <m:rPr>
                <m:sty m:val="i"/>
              </m:rPr>
              <m:t>s</m:t>
            </m:r>
          </m:e>
          <m:sub>
            <m:r>
              <m:rPr>
                <m:sty m:val="i"/>
              </m:rPr>
              <m:t>i</m:t>
            </m:r>
            <m:r>
              <m:rPr>
                <m:sty m:val="i"/>
              </m:rPr>
              <m:t>t</m:t>
            </m:r>
          </m:sub>
        </m:sSub>
        <m:r>
          <m:rPr>
            <m:sty m:val="p"/>
          </m:rPr>
          <m:t>=</m:t>
        </m:r>
        <m:sSub>
          <m:e>
            <m:r>
              <m:t>β</m:t>
            </m:r>
          </m:e>
          <m:sub>
            <m:r>
              <m:t>0</m:t>
            </m:r>
          </m:sub>
        </m:sSub>
        <m:r>
          <m:rPr>
            <m:sty m:val="p"/>
          </m:rPr>
          <m:t>+</m:t>
        </m:r>
        <m:sSub>
          <m:e>
            <m:r>
              <m:t>β</m:t>
            </m:r>
          </m:e>
          <m:sub>
            <m:r>
              <m:t>1</m:t>
            </m:r>
          </m:sub>
        </m:sSub>
        <m:sSub>
          <m:e>
            <m:r>
              <m:rPr>
                <m:sty m:val="i"/>
              </m:rPr>
              <m:t>S</m:t>
            </m:r>
            <m:r>
              <m:rPr>
                <m:sty m:val="i"/>
              </m:rPr>
              <m:t>t</m:t>
            </m:r>
            <m:r>
              <m:rPr>
                <m:sty m:val="i"/>
              </m:rPr>
              <m:t>r</m:t>
            </m:r>
            <m:r>
              <m:rPr>
                <m:sty m:val="i"/>
              </m:rPr>
              <m:t>i</m:t>
            </m:r>
            <m:r>
              <m:rPr>
                <m:sty m:val="i"/>
              </m:rPr>
              <m:t>n</m:t>
            </m:r>
            <m:r>
              <m:rPr>
                <m:sty m:val="i"/>
              </m:rPr>
              <m:t>g</m:t>
            </m:r>
            <m:r>
              <m:rPr>
                <m:sty m:val="i"/>
              </m:rPr>
              <m:t>e</m:t>
            </m:r>
            <m:r>
              <m:rPr>
                <m:sty m:val="i"/>
              </m:rPr>
              <m:t>n</m:t>
            </m:r>
            <m:r>
              <m:rPr>
                <m:sty m:val="i"/>
              </m:rPr>
              <m:t>c</m:t>
            </m:r>
            <m:r>
              <m:rPr>
                <m:sty m:val="i"/>
              </m:rPr>
              <m:t>y</m:t>
            </m:r>
          </m:e>
          <m:sub>
            <m:r>
              <m:t>i</m:t>
            </m:r>
            <m:r>
              <m:t>t</m:t>
            </m:r>
            <m:r>
              <m:rPr>
                <m:sty m:val="p"/>
              </m:rPr>
              <m:t>−</m:t>
            </m:r>
            <m:r>
              <m:t>7</m:t>
            </m:r>
          </m:sub>
        </m:sSub>
        <m:r>
          <m:rPr>
            <m:sty m:val="p"/>
          </m:rPr>
          <m:t>+</m:t>
        </m:r>
        <m:sSub>
          <m:e>
            <m:r>
              <m:t>β</m:t>
            </m:r>
          </m:e>
          <m:sub>
            <m:r>
              <m:t>2</m:t>
            </m:r>
          </m:sub>
        </m:sSub>
        <m:sSubSup>
          <m:e>
            <m:r>
              <m:rPr>
                <m:sty m:val="i"/>
              </m:rPr>
              <m:t>S</m:t>
            </m:r>
            <m:r>
              <m:rPr>
                <m:sty m:val="i"/>
              </m:rPr>
              <m:t>t</m:t>
            </m:r>
            <m:r>
              <m:rPr>
                <m:sty m:val="i"/>
              </m:rPr>
              <m:t>r</m:t>
            </m:r>
            <m:r>
              <m:rPr>
                <m:sty m:val="i"/>
              </m:rPr>
              <m:t>i</m:t>
            </m:r>
            <m:r>
              <m:rPr>
                <m:sty m:val="i"/>
              </m:rPr>
              <m:t>n</m:t>
            </m:r>
            <m:r>
              <m:rPr>
                <m:sty m:val="i"/>
              </m:rPr>
              <m:t>g</m:t>
            </m:r>
            <m:r>
              <m:rPr>
                <m:sty m:val="i"/>
              </m:rPr>
              <m:t>e</m:t>
            </m:r>
            <m:r>
              <m:rPr>
                <m:sty m:val="i"/>
              </m:rPr>
              <m:t>n</m:t>
            </m:r>
            <m:r>
              <m:rPr>
                <m:sty m:val="i"/>
              </m:rPr>
              <m:t>c</m:t>
            </m:r>
            <m:r>
              <m:rPr>
                <m:sty m:val="i"/>
              </m:rPr>
              <m:t>y</m:t>
            </m:r>
          </m:e>
          <m:sub>
            <m:r>
              <m:t>i</m:t>
            </m:r>
            <m:r>
              <m:t>t</m:t>
            </m:r>
            <m:r>
              <m:rPr>
                <m:sty m:val="p"/>
              </m:rPr>
              <m:t>−</m:t>
            </m:r>
            <m:r>
              <m:t>7</m:t>
            </m:r>
          </m:sub>
          <m:sup>
            <m:r>
              <m:t>2</m:t>
            </m:r>
          </m:sup>
        </m:sSubSup>
        <m:r>
          <m:rPr>
            <m:sty m:val="p"/>
          </m:rPr>
          <m:t>+</m:t>
        </m:r>
        <m:sSub>
          <m:e>
            <m:r>
              <m:t>β</m:t>
            </m:r>
          </m:e>
          <m:sub>
            <m:r>
              <m:t>3</m:t>
            </m:r>
          </m:sub>
        </m:sSub>
        <m:d>
          <m:dPr>
            <m:begChr m:val="("/>
            <m:endChr m:val=")"/>
            <m:grow/>
          </m:dPr>
          <m:e>
            <m:r>
              <m:rPr>
                <m:sty m:val="i"/>
              </m:rPr>
              <m:t>S</m:t>
            </m:r>
            <m:r>
              <m:rPr>
                <m:sty m:val="i"/>
              </m:rPr>
              <m:t>r</m:t>
            </m:r>
            <m:r>
              <m:rPr>
                <m:sty m:val="i"/>
              </m:rPr>
              <m:t>i</m:t>
            </m:r>
            <m:r>
              <m:rPr>
                <m:sty m:val="i"/>
              </m:rPr>
              <m:t>n</m:t>
            </m:r>
            <m:r>
              <m:rPr>
                <m:sty m:val="i"/>
              </m:rPr>
              <m:t>g</m:t>
            </m:r>
            <m:r>
              <m:rPr>
                <m:sty m:val="i"/>
              </m:rPr>
              <m:t>e</m:t>
            </m:r>
            <m:r>
              <m:rPr>
                <m:sty m:val="i"/>
              </m:rPr>
              <m:t>n</m:t>
            </m:r>
            <m:r>
              <m:rPr>
                <m:sty m:val="i"/>
              </m:rPr>
              <m:t>c</m:t>
            </m:r>
            <m:sSub>
              <m:e>
                <m:r>
                  <m:rPr>
                    <m:sty m:val="i"/>
                  </m:rPr>
                  <m:t>y</m:t>
                </m:r>
              </m:e>
              <m:sub>
                <m:r>
                  <m:rPr>
                    <m:sty m:val="i"/>
                  </m:rPr>
                  <m:t>i</m:t>
                </m:r>
                <m:r>
                  <m:rPr>
                    <m:sty m:val="i"/>
                  </m:rPr>
                  <m:t>t</m:t>
                </m:r>
                <m:r>
                  <m:rPr>
                    <m:sty m:val="i"/>
                  </m:rPr>
                  <m:t>−</m:t>
                </m:r>
                <m:r>
                  <m:rPr>
                    <m:sty m:val="i"/>
                  </m:rPr>
                  <m:t>7</m:t>
                </m:r>
              </m:sub>
            </m:sSub>
            <m:r>
              <m:rPr>
                <m:sty m:val="p"/>
              </m:rPr>
              <m:t>×</m:t>
            </m:r>
            <m:r>
              <m:rPr>
                <m:sty m:val="i"/>
              </m:rPr>
              <m:t>S</m:t>
            </m:r>
            <m:r>
              <m:rPr>
                <m:sty m:val="i"/>
              </m:rPr>
              <m:t>o</m:t>
            </m:r>
            <m:r>
              <m:rPr>
                <m:sty m:val="i"/>
              </m:rPr>
              <m:t>c</m:t>
            </m:r>
            <m:r>
              <m:rPr>
                <m:sty m:val="i"/>
              </m:rPr>
              <m:t>i</m:t>
            </m:r>
            <m:r>
              <m:rPr>
                <m:sty m:val="i"/>
              </m:rPr>
              <m:t>a</m:t>
            </m:r>
            <m:r>
              <m:rPr>
                <m:sty m:val="i"/>
              </m:rPr>
              <m:t>l</m:t>
            </m:r>
            <m:r>
              <m:rPr>
                <m:sty m:val="i"/>
              </m:rPr>
              <m:t>C</m:t>
            </m:r>
            <m:r>
              <m:rPr>
                <m:sty m:val="i"/>
              </m:rPr>
              <m:t>a</m:t>
            </m:r>
            <m:r>
              <m:rPr>
                <m:sty m:val="i"/>
              </m:rPr>
              <m:t>p</m:t>
            </m:r>
            <m:r>
              <m:rPr>
                <m:sty m:val="i"/>
              </m:rPr>
              <m:t>i</m:t>
            </m:r>
            <m:r>
              <m:rPr>
                <m:sty m:val="i"/>
              </m:rPr>
              <m:t>t</m:t>
            </m:r>
            <m:r>
              <m:rPr>
                <m:sty m:val="i"/>
              </m:rPr>
              <m:t>a</m:t>
            </m:r>
            <m:sSub>
              <m:e>
                <m:r>
                  <m:rPr>
                    <m:sty m:val="i"/>
                  </m:rPr>
                  <m:t>l</m:t>
                </m:r>
              </m:e>
              <m:sub>
                <m:r>
                  <m:rPr>
                    <m:sty m:val="i"/>
                  </m:rPr>
                  <m:t>i</m:t>
                </m:r>
                <m:r>
                  <m:rPr>
                    <m:sty m:val="i"/>
                  </m:rPr>
                  <m:t>t</m:t>
                </m:r>
              </m:sub>
            </m:sSub>
          </m:e>
        </m:d>
        <m:r>
          <m:rPr>
            <m:sty m:val="p"/>
          </m:rPr>
          <m:t>+</m:t>
        </m:r>
        <m:sSub>
          <m:e>
            <m:r>
              <m:t>α</m:t>
            </m:r>
          </m:e>
          <m:sub>
            <m:r>
              <m:t>i</m:t>
            </m:r>
          </m:sub>
        </m:sSub>
        <m:r>
          <m:rPr>
            <m:sty m:val="p"/>
          </m:rPr>
          <m:t>+</m:t>
        </m:r>
        <m:sSub>
          <m:e>
            <m:r>
              <m:t>ϵ</m:t>
            </m:r>
          </m:e>
          <m:sub>
            <m:r>
              <m:t>i</m:t>
            </m:r>
            <m:r>
              <m:t>t</m:t>
            </m:r>
          </m:sub>
        </m:sSub>
      </m:oMath>
    </w:p>
    <w:p>
      <w:pPr>
        <w:pStyle w:val="FirstParagraph"/>
      </w:pPr>
      <w:r>
        <w:t xml:space="preserve">where the number of daily COVID-19 cases is a function of the 7-day lag of the stringency index from Oxford University’s COVID-19 Government Response Tracker (OxCGRT)</w:t>
      </w:r>
      <w:r>
        <w:t xml:space="preserve"> </w:t>
      </w:r>
      <w:r>
        <w:t xml:space="preserve">(Hale et al. 2020)</w:t>
      </w:r>
      <w:r>
        <w:t xml:space="preserve"> </w:t>
      </w:r>
      <w:r>
        <w:t xml:space="preserve">for the United States, the square of the 7-day lag of the stringency index, and an interaction term between the 7-day lagged stringency index and the social capital index. We include the square of the 7-day lag of the stringency index to demonstrate the diminishing impact of stringency on case prevalence. This simple regression equation allows us to investigate our theoretical framework. That is, we can test our three propositions: do states that have a higher desire for prevention have better prevalence outcomes, do states that have stronger measured social capital scores have more physical interactions and worse prevalence outcomes, and, finally, do states with higher social capital scores</w:t>
      </w:r>
      <w:r>
        <w:t xml:space="preserve"> </w:t>
      </w:r>
      <w:r>
        <w:rPr>
          <w:iCs/>
          <w:i/>
        </w:rPr>
        <w:t xml:space="preserve">and</w:t>
      </w:r>
      <w:r>
        <w:t xml:space="preserve"> </w:t>
      </w:r>
      <w:r>
        <w:t xml:space="preserve">with a higher desire for preventative measures lead to even better prevalence outcomes?</w:t>
      </w:r>
    </w:p>
    <w:p>
      <w:pPr>
        <w:pStyle w:val="BodyText"/>
      </w:pPr>
      <w:r>
        <w:t xml:space="preserve">The data for our empirical analysis comes from a number of sources. Our dependent variable, the daily number of new cases per million and our stringency measures come from OxCGRT for the United States. This state level data provides a systematic way to measure and compare state governments’ responses to the pandemic. The social capital measures and other demographic measures were taken from the US Congress Joint Economic Committee’s Social Capital Project</w:t>
      </w:r>
      <w:r>
        <w:t xml:space="preserve"> </w:t>
      </w:r>
      <w:r>
        <w:t xml:space="preserve">(</w:t>
      </w:r>
      <w:r>
        <w:rPr>
          <w:iCs/>
          <w:i/>
        </w:rPr>
        <w:t xml:space="preserve">Social</w:t>
      </w:r>
      <w:r>
        <w:rPr>
          <w:iCs/>
          <w:i/>
        </w:rPr>
        <w:t xml:space="preserve"> </w:t>
      </w:r>
      <w:r>
        <w:rPr>
          <w:iCs/>
          <w:i/>
        </w:rPr>
        <w:t xml:space="preserve">Capital</w:t>
      </w:r>
      <w:r>
        <w:rPr>
          <w:iCs/>
          <w:i/>
        </w:rPr>
        <w:t xml:space="preserve"> </w:t>
      </w:r>
      <w:r>
        <w:rPr>
          <w:iCs/>
          <w:i/>
        </w:rPr>
        <w:t xml:space="preserve">Project</w:t>
      </w:r>
      <w:r>
        <w:rPr>
          <w:iCs/>
          <w:i/>
        </w:rPr>
        <w:t xml:space="preserve"> </w:t>
      </w:r>
      <w:r>
        <w:rPr>
          <w:iCs/>
          <w:i/>
        </w:rPr>
        <w:t xml:space="preserve">-</w:t>
      </w:r>
      <w:r>
        <w:rPr>
          <w:iCs/>
          <w:i/>
        </w:rPr>
        <w:t xml:space="preserve"> </w:t>
      </w:r>
      <w:r>
        <w:rPr>
          <w:iCs/>
          <w:i/>
        </w:rPr>
        <w:t xml:space="preserve">United</w:t>
      </w:r>
      <w:r>
        <w:rPr>
          <w:iCs/>
          <w:i/>
        </w:rPr>
        <w:t xml:space="preserve"> </w:t>
      </w:r>
      <w:r>
        <w:rPr>
          <w:iCs/>
          <w:i/>
        </w:rPr>
        <w:t xml:space="preserve">States</w:t>
      </w:r>
      <w:r>
        <w:rPr>
          <w:iCs/>
          <w:i/>
        </w:rPr>
        <w:t xml:space="preserve"> </w:t>
      </w:r>
      <w:r>
        <w:rPr>
          <w:iCs/>
          <w:i/>
        </w:rPr>
        <w:t xml:space="preserve">Joint</w:t>
      </w:r>
      <w:r>
        <w:rPr>
          <w:iCs/>
          <w:i/>
        </w:rPr>
        <w:t xml:space="preserve"> </w:t>
      </w:r>
      <w:r>
        <w:rPr>
          <w:iCs/>
          <w:i/>
        </w:rPr>
        <w:t xml:space="preserve">Economic</w:t>
      </w:r>
      <w:r>
        <w:rPr>
          <w:iCs/>
          <w:i/>
        </w:rPr>
        <w:t xml:space="preserve"> </w:t>
      </w:r>
      <w:r>
        <w:rPr>
          <w:iCs/>
          <w:i/>
        </w:rPr>
        <w:t xml:space="preserve">Committee</w:t>
      </w:r>
      <w:r>
        <w:t xml:space="preserve"> </w:t>
      </w:r>
      <w:r>
        <w:t xml:space="preserve">n.d.)</w:t>
      </w:r>
      <w:r>
        <w:t xml:space="preserve">. This project provides us with a state-level social capital index, which uses a set of specific measures in categories such as family unity, family interaction, social support, community health, institutional health, collective efficacy, and philanthropic health. The aggregate measure is then calculated as a deviation from a mean score, normalized to 0.</w:t>
      </w:r>
    </w:p>
    <w:p>
      <w:pPr>
        <w:pStyle w:val="BodyText"/>
      </w:pPr>
      <w:r>
        <w:t xml:space="preserve">Our sample of state-level data supports the following characterization. The mean household income was $56,031; the median percent of people with a B.A. degree was 29%; the median percent of people who reported they were in poor or fair health was about 16%; the median percent of Black or African American people was about 7%; a mean population density of about 407 people per square mile; and a mean rural population of about 26%.Table II presents standard descriptive statistics for our sample of state-level data.</w:t>
      </w:r>
    </w:p>
    <w:p>
      <w:pPr>
        <w:pStyle w:val="BodyText"/>
      </w:pPr>
      <w:r>
        <w:t xml:space="preserve">Table 3 presents results for the basic model and subsequent specifications for our balanced panel of daily data from March 1, 2020 to April 4, 2021 across fifty states and the District of Columbia. Column 1 estimates equation 1 using a within model that includes period fixed effects; column 2 includes relevant control variables; and column 3 includes both cross-sectional and period fixed effects to account for cross-sectional differences between states. For all models we report clustered standard errors.</w:t>
      </w:r>
    </w:p>
    <w:p>
      <w:pPr>
        <w:pStyle w:val="BodyText"/>
      </w:pPr>
      <w:r>
        <w:t xml:space="preserve">Column 1 in Table III provides the empirical results of equation 1 and supports our initial propositions. A one unit increase in daily stringency, which we suggest is indicative of the values people have for disease prevention, reduces new cases by 4.48 per million. A one unit increase in social capital adds about 26 new cases per million.</w:t>
      </w:r>
    </w:p>
    <w:p>
      <w:pPr>
        <w:pStyle w:val="BodyText"/>
      </w:pPr>
      <w:r>
        <w:t xml:space="preserve">More importantly, states with a higher level of social capital and a higher level of daily stringency reduce new cases by about .87 per million. This multiplicative impact suggests that states with higher levels of social capital</w:t>
      </w:r>
      <w:r>
        <w:t xml:space="preserve"> </w:t>
      </w:r>
      <w:r>
        <w:rPr>
          <w:iCs/>
          <w:i/>
        </w:rPr>
        <w:t xml:space="preserve">and</w:t>
      </w:r>
      <w:r>
        <w:t xml:space="preserve"> </w:t>
      </w:r>
      <w:r>
        <w:t xml:space="preserve">higher stringency responded more collectively and slowed daily disease spread at a higher rate than those states with lower levels of social capital but with similar levels of stringency.</w:t>
      </w:r>
    </w:p>
    <w:p>
      <w:pPr>
        <w:pStyle w:val="BodyText"/>
      </w:pPr>
      <w:r>
        <w:t xml:space="preserve">These results support our earlier propositions. That is, stringency is statistically significant and negative, supporting Proposition 1, e.g., people who value prevention will see lower prevalence on average. The positive and significant coefficient on social capital supports Proposition 2 that stronger social capital leads to higher prevalence, which supports the notion that social capital encourages physical interactions and social gatherings. Finally, the negative and significant value on the interaction term supports Proposition 3, that states with higher levels of stringency and higher rates of social capital will have an even larger reduction in new cases.</w:t>
      </w:r>
    </w:p>
    <w:p>
      <w:pPr>
        <w:pStyle w:val="BodyText"/>
      </w:pPr>
      <w:r>
        <w:t xml:space="preserve">Column 2 replicates the specification found in column 1, but with a number of time-invariant variables as proxies for cross-sectional variation. These variables control for factors that could possibly influence prevalence, as well as a state’s desire for prevention. These control variables are household income, population density, average temperature, political affiliation of a state’s governor, and the percentage of a state’s population with a bachelor’s degree, in fair or poor health, who are African American, who are older than 65, and who live in rural areas. Column 2 also includes a measure for the political affiliation of the governor. Following</w:t>
      </w:r>
      <w:r>
        <w:t xml:space="preserve"> </w:t>
      </w:r>
      <w:r>
        <w:t xml:space="preserve">Adolph et al. (2020)</w:t>
      </w:r>
      <w:r>
        <w:t xml:space="preserve"> </w:t>
      </w:r>
      <w:r>
        <w:t xml:space="preserve">and</w:t>
      </w:r>
      <w:r>
        <w:t xml:space="preserve"> </w:t>
      </w:r>
      <w:r>
        <w:t xml:space="preserve">Baccini and Brodeur (2020)</w:t>
      </w:r>
      <w:r>
        <w:t xml:space="preserve"> </w:t>
      </w:r>
      <w:r>
        <w:t xml:space="preserve">who find political affiliation of a governor influences the kind and timing of stringency measures, we include this measure as an additional proxy for the desire of citizens of a state for prevention measures. We expect that Republican Governors would be less likely to implement highly stringent measures in light of other values. Our choice of a variable for the Governor’s political party references the fact that most preventative measures have been enacted by executive order and not by legislative action. These measures were taken from the US Census American Community Survey (2019), the Bureau of Economic Analysis, and the Bureau of Labor Statistics. Data on the political party of the Governor was taken from ballotpedia.org (accessed Nov. 12, 2020). Other controls, like race, poverty and education level also have impacts that support previous research</w:t>
      </w:r>
      <w:r>
        <w:t xml:space="preserve"> </w:t>
      </w:r>
      <w:r>
        <w:t xml:space="preserve">(Townsend, Kyle, and Stanford 2020; Yancy 2020)</w:t>
      </w:r>
      <w:r>
        <w:t xml:space="preserve">.</w:t>
      </w:r>
    </w:p>
    <w:p>
      <w:pPr>
        <w:pStyle w:val="BodyText"/>
      </w:pPr>
      <w:r>
        <w:t xml:space="preserve">Column 2 of Table III shows similar results to our first specification. Stringency lowers new cases by 5.38 per million, social capital adds to new cases by about 31 per million, and the social capital and stringency interaction term lowers new cases by .641 per million.</w:t>
      </w:r>
    </w:p>
    <w:p>
      <w:pPr>
        <w:pStyle w:val="BodyText"/>
      </w:pPr>
      <w:r>
        <w:t xml:space="preserve">Column 3 of Table III—the two-way fixed effects specification—shows similar results. A higher level of stringency decreases new cases by 3.94 per million. The social capital and stringency interaction term lowers new cases by an additional .568 per million. Unfortunately, column 3 requires us to drop our time-invariant social capital dummy variables to account for the cross-sectional variation.</w:t>
      </w:r>
    </w:p>
    <w:p>
      <w:pPr>
        <w:pStyle w:val="BodyText"/>
      </w:pPr>
      <w:r>
        <w:t xml:space="preserve">The sign, magnitude, and statistical significance of our main variables of interest remain remarkably similar across all three specifications. This suggests stringency, social capital, and the interaction of stringency and social capital are important factors that influence the spread of COVID-19. Our results do not qualitatively differ as we control for two-way fixed effects (in specification 3) and relevant, observable proxies (in specification 2).</w:t>
      </w:r>
    </w:p>
    <w:p>
      <w:pPr>
        <w:pStyle w:val="BodyText"/>
      </w:pPr>
      <w:r>
        <w:t xml:space="preserve">To interpret the meaning of our results—consistent withTable I—Table IV shows the change in daily, new cases using specification 3 of Table III across different levels of social capital and the desire for prevention relative to the typical values of each. We measure high and low prevention at the first, second, and third quartiles, and we measure strong and weak social capital at two standard deviations above and below the mean. The whole numbers in Table IV represent deviations away from the typical desire for prevention and the typical level of social capital; and the typical state shows no change in daily, new cases.</w:t>
      </w:r>
    </w:p>
    <w:p>
      <w:pPr>
        <w:pStyle w:val="BodyText"/>
      </w:pPr>
      <w:r>
        <w:t xml:space="preserve">Table IV suggests that states with a higher value for prevention (relative to the average value of prevention) experienced a larger reduction in new cases; states with a lower value for prevention (relative to the average value of prevention) mostly experienced additional new cases. States with a higher value of prevention</w:t>
      </w:r>
      <w:r>
        <w:t xml:space="preserve"> </w:t>
      </w:r>
      <w:r>
        <w:rPr>
          <w:iCs/>
          <w:i/>
        </w:rPr>
        <w:t xml:space="preserve">and</w:t>
      </w:r>
      <w:r>
        <w:t xml:space="preserve"> </w:t>
      </w:r>
      <w:r>
        <w:t xml:space="preserve">a stronger level of social capital experienced the largest reduction in new daily cases per million. That is, these states experienced approximately 81 fewer new cases relative to states with an average desire for prevention and the average level of social capital. States with a lower value of prevention and a lower level of social capital experienced 60 additional cases per million.</w:t>
      </w:r>
    </w:p>
    <w:p>
      <w:pPr>
        <w:pStyle w:val="BodyText"/>
      </w:pPr>
      <w:r>
        <w:t xml:space="preserve">We use specification 3 (over specification 2) to directly show the interdependent effects desire for prevention and social capital plays.</w:t>
      </w:r>
      <w:r>
        <w:rPr>
          <w:rStyle w:val="FootnoteReference"/>
        </w:rPr>
        <w:footnoteReference w:id="30"/>
      </w:r>
      <w:r>
        <w:t xml:space="preserve"> </w:t>
      </w:r>
      <w:r>
        <w:t xml:space="preserve">Specification 2 is a relevant model as it accounts for the additional, marginal factors that might influence daily new cases, but there is no way to account for the variation in covariates by state in a single, easily interpretable graph. For example, the percentage of a state that reports fair or poor health and greater than 65 years old are covariates that could influence both the value for prevention and the level of social capital. While we find that these are relevant explanatory variables, as shown in specification 2, they cannot be included in a two-by-two matrix followingTable I. In any event, Table III shows that stringency, social capital, and the interaction between those two factors are still relevant.</w:t>
      </w:r>
    </w:p>
    <w:p>
      <w:pPr>
        <w:pStyle w:val="BodyText"/>
      </w:pPr>
      <w:r>
        <w:t xml:space="preserve">To see whether particular components of social capital are more or less relevant, Table V presents the same specification found in column 3 of Table III but accounting for the measured components of social capital. These components include family unity, family interaction, social support, community health, institutional health, collective efficacy, and philanthropic health. Stringency remains negative and statistically significant. All subcomponents except philanthropic health are statistically significant; all of these are significant at 1%, but collective efficacy is significant at 5%. The interaction between stringency and family unity, social support, community health, and collective efficacy are negative, which suggests the interaction decreases the spread of COVID-19. The interaction between stringency and family interaction and institutional health are positive, which suggests the interaction increases the spread of COVID-19.</w:t>
      </w:r>
    </w:p>
    <w:p>
      <w:pPr>
        <w:pStyle w:val="BodyText"/>
      </w:pPr>
      <w:r>
        <w:t xml:space="preserve">Table VI re-estimates specification 3 of Table III with alternative measures of social capital from the existing literature. These measures include: the SCP version of Penn State Index (2014), the Putnam Index (2000), the Alesina &amp; La Ferrara social capital group (2000), and the Family Prosperity index reported in columns 2, 3, 4, respectively. All of these measures were taken from the JEC Social Capital Project. Our main results are consistent in sign and statistical significance across these measures of social capital.</w:t>
      </w:r>
    </w:p>
    <w:bookmarkEnd w:id="31"/>
    <w:bookmarkStart w:id="32" w:name="discussion-and-conclusion"/>
    <w:p>
      <w:pPr>
        <w:pStyle w:val="Heading1"/>
      </w:pPr>
      <w:r>
        <w:t xml:space="preserve">Discussion and Conclusion</w:t>
      </w:r>
    </w:p>
    <w:p>
      <w:pPr>
        <w:pStyle w:val="FirstParagraph"/>
      </w:pPr>
      <w:r>
        <w:t xml:space="preserve">Our framework advances literature in economics and in public health by formally analyzing the interaction between formal and informal rules related to infectious diseases in the context of COVID-19 in the United States. We show that people stifle the spread of COVID-19 when they value prevention and when they have stronger social capital.</w:t>
      </w:r>
    </w:p>
    <w:p>
      <w:pPr>
        <w:pStyle w:val="BodyText"/>
      </w:pPr>
      <w:r>
        <w:t xml:space="preserve">Moreover, disease prevention policies focusing primarily on formal, stringent measures are misguided because of diminishing effectiveness and especially when individuals increase their values for prevention and the strength of their social capital.[^Given the lagged-stringency-squared term is consistently positive and statistically significant, lagged-stringency tends to lower daily new cases per million, it does so at a</w:t>
      </w:r>
      <w:r>
        <w:t xml:space="preserve"> </w:t>
      </w:r>
      <w:r>
        <w:rPr>
          <w:iCs/>
          <w:i/>
        </w:rPr>
        <w:t xml:space="preserve">positive</w:t>
      </w:r>
      <w:r>
        <w:t xml:space="preserve"> </w:t>
      </w:r>
      <w:r>
        <w:t xml:space="preserve">rate. This indicates that increasing the stringency of public health rules declines in effectiveness beyond a certain point.] Studies examining the role social capital plays in prevention should also account for the values people have regarding public health. There are likely to be relevant interaction effects between the values people have and their formal and informal rules.</w:t>
      </w:r>
    </w:p>
    <w:p>
      <w:pPr>
        <w:pStyle w:val="BodyText"/>
      </w:pPr>
      <w:r>
        <w:t xml:space="preserve">While we show the interaction between social capital and the value for prevention lowers the spread of COVID-19, there are no clear policy levers. No one person or group has the ability to alter social capital or maintain the effectiveness of stringent policies given individual values. Social capital emerges when individuals value participating in social interactions; it is not clear how governmental officials, let alone public health officials, can know of or can influence such values and interactions. If officials could alter social capital, our results suggest such policies would be effective only when people already value prevention. However, there is one policy-related silver lining related to the tradeoff between health and income, following</w:t>
      </w:r>
      <w:r>
        <w:t xml:space="preserve"> </w:t>
      </w:r>
      <w:r>
        <w:t xml:space="preserve">(Besley and Stern 2020)</w:t>
      </w:r>
      <w:r>
        <w:t xml:space="preserve">. Our results suggest that states with stronger values for prevention and stronger social capital face a flatter—and potentially rising—policy mix curve. That is, states could experience additional reductions in new cases and less of a burden to economic and social activities when people value prevention and they have stronger social capital. Alternatively, public health policy can focus on the provision of quality information about COVID-19 transmission, as well as encouraging individuals to seek out relevant tests. Such measures encourage individuals to make decisions and</w:t>
      </w:r>
      <w:r>
        <w:t xml:space="preserve"> </w:t>
      </w:r>
      <w:r>
        <w:rPr>
          <w:iCs/>
          <w:i/>
        </w:rPr>
        <w:t xml:space="preserve">invest</w:t>
      </w:r>
      <w:r>
        <w:t xml:space="preserve"> </w:t>
      </w:r>
      <w:r>
        <w:t xml:space="preserve">in existing social ties according to their values.</w:t>
      </w:r>
    </w:p>
    <w:p>
      <w:pPr>
        <w:pStyle w:val="BodyText"/>
      </w:pPr>
      <w:r>
        <w:t xml:space="preserve">Future research should study the extent to which social capital erodes over time particularly because of formal rules that prevent interactions. That is, while we find social capital supports the values people have for disease prevention, the related formal rules people also use might begin to extinguish the meaningful parts of social capital given a longer duration or additional severity. This is especially once we recognize the cultural context within which social capital emerges, i.e., human interactions and the norms of proper behavior that develop. Formal rules that make such interactions more costly are likely to alter the costs and benefits people face such that existing social capital erodes</w:t>
      </w:r>
      <w:r>
        <w:t xml:space="preserve"> </w:t>
      </w:r>
      <w:r>
        <w:t xml:space="preserve">(Carilli, Coyne, and Leeson 2008)</w:t>
      </w:r>
      <w:r>
        <w:t xml:space="preserve"> </w:t>
      </w:r>
      <w:r>
        <w:t xml:space="preserve">and alternative kinds of social capital will arise. Indeed, if formal rules prevent interactions that would have otherwise taken place, individuals realize less of a benefit from maintaining existing social ties.</w:t>
      </w:r>
    </w:p>
    <w:bookmarkEnd w:id="32"/>
    <w:bookmarkStart w:id="139" w:name="references"/>
    <w:p>
      <w:pPr>
        <w:pStyle w:val="Heading1"/>
      </w:pPr>
      <w:r>
        <w:t xml:space="preserve">References</w:t>
      </w:r>
    </w:p>
    <w:bookmarkStart w:id="138" w:name="refs"/>
    <w:bookmarkStart w:id="34" w:name="ref-acemoglu_disease_2007"/>
    <w:p>
      <w:pPr>
        <w:pStyle w:val="Bibliography"/>
      </w:pPr>
      <w:r>
        <w:t xml:space="preserve">Acemoglu, Daron, and Simon Johnson. 2007.</w:t>
      </w:r>
      <w:r>
        <w:t xml:space="preserve"> </w:t>
      </w:r>
      <w:r>
        <w:t xml:space="preserve">“Disease and</w:t>
      </w:r>
      <w:r>
        <w:t xml:space="preserve"> </w:t>
      </w:r>
      <w:r>
        <w:t xml:space="preserve">Development</w:t>
      </w:r>
      <w:r>
        <w:t xml:space="preserve">:</w:t>
      </w:r>
      <w:r>
        <w:t xml:space="preserve"> </w:t>
      </w:r>
      <w:r>
        <w:t xml:space="preserve">The</w:t>
      </w:r>
      <w:r>
        <w:t xml:space="preserve"> </w:t>
      </w:r>
      <w:r>
        <w:t xml:space="preserve">Effect</w:t>
      </w:r>
      <w:r>
        <w:t xml:space="preserve"> </w:t>
      </w:r>
      <w:r>
        <w:t xml:space="preserve">of</w:t>
      </w:r>
      <w:r>
        <w:t xml:space="preserve"> </w:t>
      </w:r>
      <w:r>
        <w:t xml:space="preserve">Life</w:t>
      </w:r>
      <w:r>
        <w:t xml:space="preserve"> </w:t>
      </w:r>
      <w:r>
        <w:t xml:space="preserve">Expectancy</w:t>
      </w:r>
      <w:r>
        <w:t xml:space="preserve"> </w:t>
      </w:r>
      <w:r>
        <w:t xml:space="preserve">on</w:t>
      </w:r>
      <w:r>
        <w:t xml:space="preserve"> </w:t>
      </w:r>
      <w:r>
        <w:t xml:space="preserve">Economic</w:t>
      </w:r>
      <w:r>
        <w:t xml:space="preserve"> </w:t>
      </w:r>
      <w:r>
        <w:t xml:space="preserve">Growth</w:t>
      </w:r>
      <w:r>
        <w:t xml:space="preserve">.”</w:t>
      </w:r>
      <w:r>
        <w:t xml:space="preserve"> </w:t>
      </w:r>
      <w:r>
        <w:rPr>
          <w:iCs/>
          <w:i/>
        </w:rPr>
        <w:t xml:space="preserve">Journal of Political Economy</w:t>
      </w:r>
      <w:r>
        <w:t xml:space="preserve"> </w:t>
      </w:r>
      <w:r>
        <w:t xml:space="preserve">115 (6): 925–85.</w:t>
      </w:r>
      <w:r>
        <w:t xml:space="preserve"> </w:t>
      </w:r>
      <w:hyperlink r:id="rId33">
        <w:r>
          <w:rPr>
            <w:rStyle w:val="Hyperlink"/>
          </w:rPr>
          <w:t xml:space="preserve">https://doi.org/10.1086/529000</w:t>
        </w:r>
      </w:hyperlink>
      <w:r>
        <w:t xml:space="preserve">.</w:t>
      </w:r>
    </w:p>
    <w:bookmarkEnd w:id="34"/>
    <w:bookmarkStart w:id="36" w:name="ref-acemoglu_disease_2014"/>
    <w:p>
      <w:pPr>
        <w:pStyle w:val="Bibliography"/>
      </w:pPr>
      <w:r>
        <w:t xml:space="preserve">———. 2014.</w:t>
      </w:r>
      <w:r>
        <w:t xml:space="preserve"> </w:t>
      </w:r>
      <w:r>
        <w:t xml:space="preserve">“Disease and</w:t>
      </w:r>
      <w:r>
        <w:t xml:space="preserve"> </w:t>
      </w:r>
      <w:r>
        <w:t xml:space="preserve">Development</w:t>
      </w:r>
      <w:r>
        <w:t xml:space="preserve">:</w:t>
      </w:r>
      <w:r>
        <w:t xml:space="preserve"> </w:t>
      </w:r>
      <w:r>
        <w:t xml:space="preserve">A</w:t>
      </w:r>
      <w:r>
        <w:t xml:space="preserve"> </w:t>
      </w:r>
      <w:r>
        <w:t xml:space="preserve">Reply</w:t>
      </w:r>
      <w:r>
        <w:t xml:space="preserve"> </w:t>
      </w:r>
      <w:r>
        <w:t xml:space="preserve">to</w:t>
      </w:r>
      <w:r>
        <w:t xml:space="preserve"> </w:t>
      </w:r>
      <w:r>
        <w:t xml:space="preserve">Bloom</w:t>
      </w:r>
      <w:r>
        <w:t xml:space="preserve">,</w:t>
      </w:r>
      <w:r>
        <w:t xml:space="preserve"> </w:t>
      </w:r>
      <w:r>
        <w:t xml:space="preserve">Canning</w:t>
      </w:r>
      <w:r>
        <w:t xml:space="preserve">, and</w:t>
      </w:r>
      <w:r>
        <w:t xml:space="preserve"> </w:t>
      </w:r>
      <w:r>
        <w:t xml:space="preserve">Fink</w:t>
      </w:r>
      <w:r>
        <w:t xml:space="preserve">.”</w:t>
      </w:r>
      <w:r>
        <w:t xml:space="preserve"> </w:t>
      </w:r>
      <w:r>
        <w:rPr>
          <w:iCs/>
          <w:i/>
        </w:rPr>
        <w:t xml:space="preserve">Journal of Political Economy</w:t>
      </w:r>
      <w:r>
        <w:t xml:space="preserve"> </w:t>
      </w:r>
      <w:r>
        <w:t xml:space="preserve">122 (6): 1367–75.</w:t>
      </w:r>
      <w:r>
        <w:t xml:space="preserve"> </w:t>
      </w:r>
      <w:hyperlink r:id="rId35">
        <w:r>
          <w:rPr>
            <w:rStyle w:val="Hyperlink"/>
          </w:rPr>
          <w:t xml:space="preserve">https://doi.org/10.1086/677190</w:t>
        </w:r>
      </w:hyperlink>
      <w:r>
        <w:t xml:space="preserve">.</w:t>
      </w:r>
    </w:p>
    <w:bookmarkEnd w:id="36"/>
    <w:bookmarkStart w:id="38" w:name="ref-adolph_pandemic_2020"/>
    <w:p>
      <w:pPr>
        <w:pStyle w:val="Bibliography"/>
      </w:pPr>
      <w:r>
        <w:t xml:space="preserve">Adolph, Christopher, Kenya Amano, Bree Bang-Jensen, Nancy Fullman, and John Wilkerson. 2020.</w:t>
      </w:r>
      <w:r>
        <w:t xml:space="preserve"> </w:t>
      </w:r>
      <w:r>
        <w:t xml:space="preserve">“Pandemic</w:t>
      </w:r>
      <w:r>
        <w:t xml:space="preserve"> </w:t>
      </w:r>
      <w:r>
        <w:t xml:space="preserve">Politics</w:t>
      </w:r>
      <w:r>
        <w:t xml:space="preserve">:</w:t>
      </w:r>
      <w:r>
        <w:t xml:space="preserve"> </w:t>
      </w:r>
      <w:r>
        <w:t xml:space="preserve">Timing</w:t>
      </w:r>
      <w:r>
        <w:t xml:space="preserve"> </w:t>
      </w:r>
      <w:r>
        <w:t xml:space="preserve">State</w:t>
      </w:r>
      <w:r>
        <w:t xml:space="preserve">-</w:t>
      </w:r>
      <w:r>
        <w:t xml:space="preserve">Level</w:t>
      </w:r>
      <w:r>
        <w:t xml:space="preserve"> </w:t>
      </w:r>
      <w:r>
        <w:t xml:space="preserve">Social</w:t>
      </w:r>
      <w:r>
        <w:t xml:space="preserve"> </w:t>
      </w:r>
      <w:r>
        <w:t xml:space="preserve">Distancing</w:t>
      </w:r>
      <w:r>
        <w:t xml:space="preserve"> </w:t>
      </w:r>
      <w:r>
        <w:t xml:space="preserve">Responses</w:t>
      </w:r>
      <w:r>
        <w:t xml:space="preserve"> </w:t>
      </w:r>
      <w:r>
        <w:t xml:space="preserve">to</w:t>
      </w:r>
      <w:r>
        <w:t xml:space="preserve"> </w:t>
      </w:r>
      <w:r>
        <w:t xml:space="preserve">COVID</w:t>
      </w:r>
      <w:r>
        <w:t xml:space="preserve">-19.”</w:t>
      </w:r>
      <w:r>
        <w:t xml:space="preserve"> </w:t>
      </w:r>
      <w:r>
        <w:rPr>
          <w:iCs/>
          <w:i/>
        </w:rPr>
        <w:t xml:space="preserve">Journal of Health Politics, Policy and Law</w:t>
      </w:r>
      <w:r>
        <w:t xml:space="preserve">, September, 8802162.</w:t>
      </w:r>
      <w:r>
        <w:t xml:space="preserve"> </w:t>
      </w:r>
      <w:hyperlink r:id="rId37">
        <w:r>
          <w:rPr>
            <w:rStyle w:val="Hyperlink"/>
          </w:rPr>
          <w:t xml:space="preserve">https://doi.org/10.1215/03616878-8802162</w:t>
        </w:r>
      </w:hyperlink>
      <w:r>
        <w:t xml:space="preserve">.</w:t>
      </w:r>
    </w:p>
    <w:bookmarkEnd w:id="38"/>
    <w:bookmarkStart w:id="40" w:name="ref-baccini_explaining_2020"/>
    <w:p>
      <w:pPr>
        <w:pStyle w:val="Bibliography"/>
      </w:pPr>
      <w:r>
        <w:t xml:space="preserve">Baccini, Leonardo, and Abel Brodeur. 2020.</w:t>
      </w:r>
      <w:r>
        <w:t xml:space="preserve"> </w:t>
      </w:r>
      <w:r>
        <w:t xml:space="preserve">“Explaining</w:t>
      </w:r>
      <w:r>
        <w:t xml:space="preserve"> </w:t>
      </w:r>
      <w:r>
        <w:t xml:space="preserve">Governors</w:t>
      </w:r>
      <w:r>
        <w:t xml:space="preserve">’</w:t>
      </w:r>
      <w:r>
        <w:t xml:space="preserve"> </w:t>
      </w:r>
      <w:r>
        <w:t xml:space="preserve">Response</w:t>
      </w:r>
      <w:r>
        <w:t xml:space="preserve"> </w:t>
      </w:r>
      <w:r>
        <w:t xml:space="preserve">to the</w:t>
      </w:r>
      <w:r>
        <w:t xml:space="preserve"> </w:t>
      </w:r>
      <w:r>
        <w:t xml:space="preserve">COVID</w:t>
      </w:r>
      <w:r>
        <w:t xml:space="preserve">-19</w:t>
      </w:r>
      <w:r>
        <w:t xml:space="preserve"> </w:t>
      </w:r>
      <w:r>
        <w:t xml:space="preserve">Pandemic</w:t>
      </w:r>
      <w:r>
        <w:t xml:space="preserve"> </w:t>
      </w:r>
      <w:r>
        <w:t xml:space="preserve">in the</w:t>
      </w:r>
      <w:r>
        <w:t xml:space="preserve"> </w:t>
      </w:r>
      <w:r>
        <w:t xml:space="preserve">United</w:t>
      </w:r>
      <w:r>
        <w:t xml:space="preserve"> </w:t>
      </w:r>
      <w:r>
        <w:t xml:space="preserve">States</w:t>
      </w:r>
      <w:r>
        <w:t xml:space="preserve">.”</w:t>
      </w:r>
      <w:r>
        <w:t xml:space="preserve"> </w:t>
      </w:r>
      <w:r>
        <w:rPr>
          <w:iCs/>
          <w:i/>
        </w:rPr>
        <w:t xml:space="preserve">American Politics Research</w:t>
      </w:r>
      <w:r>
        <w:t xml:space="preserve">, December, 1532673X2097345.</w:t>
      </w:r>
      <w:r>
        <w:t xml:space="preserve"> </w:t>
      </w:r>
      <w:hyperlink r:id="rId39">
        <w:r>
          <w:rPr>
            <w:rStyle w:val="Hyperlink"/>
          </w:rPr>
          <w:t xml:space="preserve">https://doi.org/10.1177/1532673X20973453</w:t>
        </w:r>
      </w:hyperlink>
      <w:r>
        <w:t xml:space="preserve">.</w:t>
      </w:r>
    </w:p>
    <w:bookmarkEnd w:id="40"/>
    <w:bookmarkStart w:id="42" w:name="ref-bartscher_social_2020"/>
    <w:p>
      <w:pPr>
        <w:pStyle w:val="Bibliography"/>
      </w:pPr>
      <w:r>
        <w:t xml:space="preserve">Bartscher, Alina Kristin, Sebastian Seitz, Sebastian Siegloch, Michaela Slotwinski, and Nils Wehrhofer. 2020.</w:t>
      </w:r>
      <w:r>
        <w:t xml:space="preserve"> </w:t>
      </w:r>
      <w:r>
        <w:t xml:space="preserve">“Social</w:t>
      </w:r>
      <w:r>
        <w:t xml:space="preserve"> </w:t>
      </w:r>
      <w:r>
        <w:t xml:space="preserve">Capital</w:t>
      </w:r>
      <w:r>
        <w:t xml:space="preserve"> </w:t>
      </w:r>
      <w:r>
        <w:t xml:space="preserve">and the</w:t>
      </w:r>
      <w:r>
        <w:t xml:space="preserve"> </w:t>
      </w:r>
      <w:r>
        <w:t xml:space="preserve">Spread</w:t>
      </w:r>
      <w:r>
        <w:t xml:space="preserve"> </w:t>
      </w:r>
      <w:r>
        <w:t xml:space="preserve">of</w:t>
      </w:r>
      <w:r>
        <w:t xml:space="preserve"> </w:t>
      </w:r>
      <w:r>
        <w:t xml:space="preserve">Covid</w:t>
      </w:r>
      <w:r>
        <w:t xml:space="preserve">-19:</w:t>
      </w:r>
      <w:r>
        <w:t xml:space="preserve"> </w:t>
      </w:r>
      <w:r>
        <w:t xml:space="preserve">Insights</w:t>
      </w:r>
      <w:r>
        <w:t xml:space="preserve"> </w:t>
      </w:r>
      <w:r>
        <w:t xml:space="preserve">from</w:t>
      </w:r>
      <w:r>
        <w:t xml:space="preserve"> </w:t>
      </w:r>
      <w:r>
        <w:t xml:space="preserve">European</w:t>
      </w:r>
      <w:r>
        <w:t xml:space="preserve"> </w:t>
      </w:r>
      <w:r>
        <w:t xml:space="preserve">Countries</w:t>
      </w:r>
      <w:r>
        <w:t xml:space="preserve">.”</w:t>
      </w:r>
      <w:r>
        <w:t xml:space="preserve"> </w:t>
      </w:r>
      <w:r>
        <w:t xml:space="preserve">IZA Working Pape.</w:t>
      </w:r>
      <w:r>
        <w:t xml:space="preserve"> </w:t>
      </w:r>
      <w:hyperlink r:id="rId41">
        <w:r>
          <w:rPr>
            <w:rStyle w:val="Hyperlink"/>
          </w:rPr>
          <w:t xml:space="preserve">https://www.iza.org/publications/dp/13310/social-capital-and-the-spread-of-covid-19-insights-from-european-countries</w:t>
        </w:r>
      </w:hyperlink>
      <w:r>
        <w:t xml:space="preserve">.</w:t>
      </w:r>
    </w:p>
    <w:bookmarkEnd w:id="42"/>
    <w:bookmarkStart w:id="44" w:name="ref-baumol_entrepreneurship_1990"/>
    <w:p>
      <w:pPr>
        <w:pStyle w:val="Bibliography"/>
      </w:pPr>
      <w:r>
        <w:t xml:space="preserve">Baumol, William J. 1990.</w:t>
      </w:r>
      <w:r>
        <w:t xml:space="preserve"> </w:t>
      </w:r>
      <w:r>
        <w:t xml:space="preserve">“Entrepreneurship:</w:t>
      </w:r>
      <w:r>
        <w:t xml:space="preserve"> </w:t>
      </w:r>
      <w:r>
        <w:t xml:space="preserve">Productive</w:t>
      </w:r>
      <w:r>
        <w:t xml:space="preserve">,</w:t>
      </w:r>
      <w:r>
        <w:t xml:space="preserve"> </w:t>
      </w:r>
      <w:r>
        <w:t xml:space="preserve">Unproductive</w:t>
      </w:r>
      <w:r>
        <w:t xml:space="preserve">, and</w:t>
      </w:r>
      <w:r>
        <w:t xml:space="preserve"> </w:t>
      </w:r>
      <w:r>
        <w:t xml:space="preserve">Destructive</w:t>
      </w:r>
      <w:r>
        <w:t xml:space="preserve">.”</w:t>
      </w:r>
      <w:r>
        <w:t xml:space="preserve"> </w:t>
      </w:r>
      <w:r>
        <w:rPr>
          <w:iCs/>
          <w:i/>
        </w:rPr>
        <w:t xml:space="preserve">Journal of Political Economy</w:t>
      </w:r>
      <w:r>
        <w:t xml:space="preserve"> </w:t>
      </w:r>
      <w:r>
        <w:t xml:space="preserve">98 (5, Part 1): 893–921.</w:t>
      </w:r>
      <w:r>
        <w:t xml:space="preserve"> </w:t>
      </w:r>
      <w:hyperlink r:id="rId43">
        <w:r>
          <w:rPr>
            <w:rStyle w:val="Hyperlink"/>
          </w:rPr>
          <w:t xml:space="preserve">https://doi.org/10.1086/261712</w:t>
        </w:r>
      </w:hyperlink>
      <w:r>
        <w:t xml:space="preserve">.</w:t>
      </w:r>
    </w:p>
    <w:bookmarkEnd w:id="44"/>
    <w:bookmarkStart w:id="46" w:name="ref-berggren_free_2006"/>
    <w:p>
      <w:pPr>
        <w:pStyle w:val="Bibliography"/>
      </w:pPr>
      <w:r>
        <w:t xml:space="preserve">Berggren, Niclas, and Henrik Jordahl. 2006.</w:t>
      </w:r>
      <w:r>
        <w:t xml:space="preserve"> </w:t>
      </w:r>
      <w:r>
        <w:t xml:space="preserve">“Free to</w:t>
      </w:r>
      <w:r>
        <w:t xml:space="preserve"> </w:t>
      </w:r>
      <w:r>
        <w:t xml:space="preserve">Trust</w:t>
      </w:r>
      <w:r>
        <w:t xml:space="preserve">:</w:t>
      </w:r>
      <w:r>
        <w:t xml:space="preserve"> </w:t>
      </w:r>
      <w:r>
        <w:t xml:space="preserve">Economic</w:t>
      </w:r>
      <w:r>
        <w:t xml:space="preserve"> </w:t>
      </w:r>
      <w:r>
        <w:t xml:space="preserve">Freedom</w:t>
      </w:r>
      <w:r>
        <w:t xml:space="preserve"> </w:t>
      </w:r>
      <w:r>
        <w:t xml:space="preserve">and</w:t>
      </w:r>
      <w:r>
        <w:t xml:space="preserve"> </w:t>
      </w:r>
      <w:r>
        <w:t xml:space="preserve">Social</w:t>
      </w:r>
      <w:r>
        <w:t xml:space="preserve"> </w:t>
      </w:r>
      <w:r>
        <w:t xml:space="preserve">Capital</w:t>
      </w:r>
      <w:r>
        <w:t xml:space="preserve">.”</w:t>
      </w:r>
      <w:r>
        <w:t xml:space="preserve"> </w:t>
      </w:r>
      <w:r>
        <w:rPr>
          <w:iCs/>
          <w:i/>
        </w:rPr>
        <w:t xml:space="preserve">Kyklos</w:t>
      </w:r>
      <w:r>
        <w:t xml:space="preserve"> </w:t>
      </w:r>
      <w:r>
        <w:t xml:space="preserve">59 (2): 141–69.</w:t>
      </w:r>
      <w:r>
        <w:t xml:space="preserve"> </w:t>
      </w:r>
      <w:hyperlink r:id="rId45">
        <w:r>
          <w:rPr>
            <w:rStyle w:val="Hyperlink"/>
          </w:rPr>
          <w:t xml:space="preserve">https://doi.org/10.1111/j.1467-6435.2006.00324.x</w:t>
        </w:r>
      </w:hyperlink>
      <w:r>
        <w:t xml:space="preserve">.</w:t>
      </w:r>
    </w:p>
    <w:bookmarkEnd w:id="46"/>
    <w:bookmarkStart w:id="48" w:name="ref-besley_economics_2020"/>
    <w:p>
      <w:pPr>
        <w:pStyle w:val="Bibliography"/>
      </w:pPr>
      <w:r>
        <w:t xml:space="preserve">Besley, Timothy, and Nicholas Stern. 2020.</w:t>
      </w:r>
      <w:r>
        <w:t xml:space="preserve"> </w:t>
      </w:r>
      <w:r>
        <w:t xml:space="preserve">“The</w:t>
      </w:r>
      <w:r>
        <w:t xml:space="preserve"> </w:t>
      </w:r>
      <w:r>
        <w:t xml:space="preserve">Economics</w:t>
      </w:r>
      <w:r>
        <w:t xml:space="preserve"> </w:t>
      </w:r>
      <w:r>
        <w:t xml:space="preserve">of</w:t>
      </w:r>
      <w:r>
        <w:t xml:space="preserve"> </w:t>
      </w:r>
      <w:r>
        <w:t xml:space="preserve">Lockdown</w:t>
      </w:r>
      <w:r>
        <w:t xml:space="preserve">.”</w:t>
      </w:r>
      <w:r>
        <w:t xml:space="preserve"> </w:t>
      </w:r>
      <w:r>
        <w:rPr>
          <w:iCs/>
          <w:i/>
        </w:rPr>
        <w:t xml:space="preserve">Fiscal Studies</w:t>
      </w:r>
      <w:r>
        <w:t xml:space="preserve"> </w:t>
      </w:r>
      <w:r>
        <w:t xml:space="preserve">41 (3): 493–513. https://doi.org/</w:t>
      </w:r>
      <w:hyperlink r:id="rId47">
        <w:r>
          <w:rPr>
            <w:rStyle w:val="Hyperlink"/>
          </w:rPr>
          <w:t xml:space="preserve">https://doi.org/10.1111/1475-5890.12246</w:t>
        </w:r>
      </w:hyperlink>
      <w:r>
        <w:t xml:space="preserve">.</w:t>
      </w:r>
    </w:p>
    <w:bookmarkEnd w:id="48"/>
    <w:bookmarkStart w:id="50" w:name="ref-bhattacharyya_institutions_2009"/>
    <w:p>
      <w:pPr>
        <w:pStyle w:val="Bibliography"/>
      </w:pPr>
      <w:r>
        <w:t xml:space="preserve">Bhattacharyya, Sambit. 2009.</w:t>
      </w:r>
      <w:r>
        <w:t xml:space="preserve"> </w:t>
      </w:r>
      <w:r>
        <w:t xml:space="preserve">“Institutions, Diseases, and Economic Progress: A Unified Framework.”</w:t>
      </w:r>
      <w:r>
        <w:t xml:space="preserve"> </w:t>
      </w:r>
      <w:r>
        <w:rPr>
          <w:iCs/>
          <w:i/>
        </w:rPr>
        <w:t xml:space="preserve">Journal of Institutional Economics</w:t>
      </w:r>
      <w:r>
        <w:t xml:space="preserve"> </w:t>
      </w:r>
      <w:r>
        <w:t xml:space="preserve">5 (01): 65.</w:t>
      </w:r>
      <w:r>
        <w:t xml:space="preserve"> </w:t>
      </w:r>
      <w:hyperlink r:id="rId49">
        <w:r>
          <w:rPr>
            <w:rStyle w:val="Hyperlink"/>
          </w:rPr>
          <w:t xml:space="preserve">https://doi.org/10.1017/S1744137408001227</w:t>
        </w:r>
      </w:hyperlink>
      <w:r>
        <w:t xml:space="preserve">.</w:t>
      </w:r>
    </w:p>
    <w:bookmarkEnd w:id="50"/>
    <w:bookmarkStart w:id="51" w:name="ref-bicchieri_norms_2017"/>
    <w:p>
      <w:pPr>
        <w:pStyle w:val="Bibliography"/>
      </w:pPr>
      <w:r>
        <w:t xml:space="preserve">Bicchieri, Cristina. 2017.</w:t>
      </w:r>
      <w:r>
        <w:t xml:space="preserve"> </w:t>
      </w:r>
      <w:r>
        <w:rPr>
          <w:iCs/>
          <w:i/>
        </w:rPr>
        <w:t xml:space="preserve">Norms in the Wild: How to Diagnose, Measure, and Change Social Norms</w:t>
      </w:r>
      <w:r>
        <w:t xml:space="preserve">. New York, NY: Oxford University Press.</w:t>
      </w:r>
    </w:p>
    <w:bookmarkEnd w:id="51"/>
    <w:bookmarkStart w:id="53" w:name="ref-bloom_disease_2014"/>
    <w:p>
      <w:pPr>
        <w:pStyle w:val="Bibliography"/>
      </w:pPr>
      <w:r>
        <w:t xml:space="preserve">Bloom, David E., David Canning, and Günther Fink. 2014.</w:t>
      </w:r>
      <w:r>
        <w:t xml:space="preserve"> </w:t>
      </w:r>
      <w:r>
        <w:t xml:space="preserve">“Disease and</w:t>
      </w:r>
      <w:r>
        <w:t xml:space="preserve"> </w:t>
      </w:r>
      <w:r>
        <w:t xml:space="preserve">Development</w:t>
      </w:r>
      <w:r>
        <w:t xml:space="preserve"> </w:t>
      </w:r>
      <w:r>
        <w:t xml:space="preserve">Revisited</w:t>
      </w:r>
      <w:r>
        <w:t xml:space="preserve">.”</w:t>
      </w:r>
      <w:r>
        <w:t xml:space="preserve"> </w:t>
      </w:r>
      <w:r>
        <w:rPr>
          <w:iCs/>
          <w:i/>
        </w:rPr>
        <w:t xml:space="preserve">Journal of Political Economy</w:t>
      </w:r>
      <w:r>
        <w:t xml:space="preserve"> </w:t>
      </w:r>
      <w:r>
        <w:t xml:space="preserve">122 (6): 1355–66.</w:t>
      </w:r>
      <w:r>
        <w:t xml:space="preserve"> </w:t>
      </w:r>
      <w:hyperlink r:id="rId52">
        <w:r>
          <w:rPr>
            <w:rStyle w:val="Hyperlink"/>
          </w:rPr>
          <w:t xml:space="preserve">https://doi.org/10.1086/677189</w:t>
        </w:r>
      </w:hyperlink>
      <w:r>
        <w:t xml:space="preserve">.</w:t>
      </w:r>
    </w:p>
    <w:bookmarkEnd w:id="53"/>
    <w:bookmarkStart w:id="55" w:name="ref-bloom_geography_1998"/>
    <w:p>
      <w:pPr>
        <w:pStyle w:val="Bibliography"/>
      </w:pPr>
      <w:r>
        <w:t xml:space="preserve">Bloom, David E., Jeffrey D. Sachs, Paul Collier, and Christopher Udry. 1998.</w:t>
      </w:r>
      <w:r>
        <w:t xml:space="preserve"> </w:t>
      </w:r>
      <w:r>
        <w:t xml:space="preserve">“Geography,</w:t>
      </w:r>
      <w:r>
        <w:t xml:space="preserve"> </w:t>
      </w:r>
      <w:r>
        <w:t xml:space="preserve">Demography</w:t>
      </w:r>
      <w:r>
        <w:t xml:space="preserve">, and</w:t>
      </w:r>
      <w:r>
        <w:t xml:space="preserve"> </w:t>
      </w:r>
      <w:r>
        <w:t xml:space="preserve">Economic</w:t>
      </w:r>
      <w:r>
        <w:t xml:space="preserve"> </w:t>
      </w:r>
      <w:r>
        <w:t xml:space="preserve">Growth</w:t>
      </w:r>
      <w:r>
        <w:t xml:space="preserve"> </w:t>
      </w:r>
      <w:r>
        <w:t xml:space="preserve">in</w:t>
      </w:r>
      <w:r>
        <w:t xml:space="preserve"> </w:t>
      </w:r>
      <w:r>
        <w:t xml:space="preserve">Africa</w:t>
      </w:r>
      <w:r>
        <w:t xml:space="preserve">.”</w:t>
      </w:r>
      <w:r>
        <w:t xml:space="preserve"> </w:t>
      </w:r>
      <w:r>
        <w:rPr>
          <w:iCs/>
          <w:i/>
        </w:rPr>
        <w:t xml:space="preserve">Brookings Papers on Economic Activity</w:t>
      </w:r>
      <w:r>
        <w:t xml:space="preserve"> </w:t>
      </w:r>
      <w:r>
        <w:t xml:space="preserve">1998 (2): 207.</w:t>
      </w:r>
      <w:r>
        <w:t xml:space="preserve"> </w:t>
      </w:r>
      <w:hyperlink r:id="rId54">
        <w:r>
          <w:rPr>
            <w:rStyle w:val="Hyperlink"/>
          </w:rPr>
          <w:t xml:space="preserve">https://doi.org/10.2307/2534695</w:t>
        </w:r>
      </w:hyperlink>
      <w:r>
        <w:t xml:space="preserve">.</w:t>
      </w:r>
    </w:p>
    <w:bookmarkEnd w:id="55"/>
    <w:bookmarkStart w:id="57" w:name="ref-boettke_context_2007"/>
    <w:p>
      <w:pPr>
        <w:pStyle w:val="Bibliography"/>
      </w:pPr>
      <w:r>
        <w:t xml:space="preserve">Boettke, Peter J., and Christopher J. Coyne. 2007.</w:t>
      </w:r>
      <w:r>
        <w:t xml:space="preserve"> </w:t>
      </w:r>
      <w:r>
        <w:t xml:space="preserve">“Context</w:t>
      </w:r>
      <w:r>
        <w:t xml:space="preserve"> </w:t>
      </w:r>
      <w:r>
        <w:t xml:space="preserve">Matters</w:t>
      </w:r>
      <w:r>
        <w:t xml:space="preserve">:</w:t>
      </w:r>
      <w:r>
        <w:t xml:space="preserve"> </w:t>
      </w:r>
      <w:r>
        <w:t xml:space="preserve">Institutions</w:t>
      </w:r>
      <w:r>
        <w:t xml:space="preserve"> </w:t>
      </w:r>
      <w:r>
        <w:t xml:space="preserve">and</w:t>
      </w:r>
      <w:r>
        <w:t xml:space="preserve"> </w:t>
      </w:r>
      <w:r>
        <w:t xml:space="preserve">Entrepreneurship</w:t>
      </w:r>
      <w:r>
        <w:t xml:space="preserve">.”</w:t>
      </w:r>
      <w:r>
        <w:t xml:space="preserve"> </w:t>
      </w:r>
      <w:r>
        <w:rPr>
          <w:iCs/>
          <w:i/>
        </w:rPr>
        <w:t xml:space="preserve">Foundations and Trends® in Entrepreneurship</w:t>
      </w:r>
      <w:r>
        <w:t xml:space="preserve"> </w:t>
      </w:r>
      <w:r>
        <w:t xml:space="preserve">5 (3): 135–209.</w:t>
      </w:r>
      <w:r>
        <w:t xml:space="preserve"> </w:t>
      </w:r>
      <w:hyperlink r:id="rId56">
        <w:r>
          <w:rPr>
            <w:rStyle w:val="Hyperlink"/>
          </w:rPr>
          <w:t xml:space="preserve">https://doi.org/10.1561/0300000018</w:t>
        </w:r>
      </w:hyperlink>
      <w:r>
        <w:t xml:space="preserve">.</w:t>
      </w:r>
    </w:p>
    <w:bookmarkEnd w:id="57"/>
    <w:bookmarkStart w:id="59" w:name="ref-boettke_institutional_2008"/>
    <w:p>
      <w:pPr>
        <w:pStyle w:val="Bibliography"/>
      </w:pPr>
      <w:r>
        <w:t xml:space="preserve">Boettke, Peter J., Christopher J. Coyne, and Peter T. Leeson. 2008.</w:t>
      </w:r>
      <w:r>
        <w:t xml:space="preserve"> </w:t>
      </w:r>
      <w:r>
        <w:t xml:space="preserve">“Institutional</w:t>
      </w:r>
      <w:r>
        <w:t xml:space="preserve"> </w:t>
      </w:r>
      <w:r>
        <w:t xml:space="preserve">Stickiness</w:t>
      </w:r>
      <w:r>
        <w:t xml:space="preserve"> </w:t>
      </w:r>
      <w:r>
        <w:t xml:space="preserve">and the</w:t>
      </w:r>
      <w:r>
        <w:t xml:space="preserve"> </w:t>
      </w:r>
      <w:r>
        <w:t xml:space="preserve">New</w:t>
      </w:r>
      <w:r>
        <w:t xml:space="preserve"> </w:t>
      </w:r>
      <w:r>
        <w:t xml:space="preserve">Development</w:t>
      </w:r>
      <w:r>
        <w:t xml:space="preserve"> </w:t>
      </w:r>
      <w:r>
        <w:t xml:space="preserve">Economics</w:t>
      </w:r>
      <w:r>
        <w:t xml:space="preserve">.”</w:t>
      </w:r>
      <w:r>
        <w:t xml:space="preserve"> </w:t>
      </w:r>
      <w:r>
        <w:rPr>
          <w:iCs/>
          <w:i/>
        </w:rPr>
        <w:t xml:space="preserve">American Journal of Economics and Sociology</w:t>
      </w:r>
      <w:r>
        <w:t xml:space="preserve"> </w:t>
      </w:r>
      <w:r>
        <w:t xml:space="preserve">67 (2): 331–58.</w:t>
      </w:r>
      <w:r>
        <w:t xml:space="preserve"> </w:t>
      </w:r>
      <w:hyperlink r:id="rId58">
        <w:r>
          <w:rPr>
            <w:rStyle w:val="Hyperlink"/>
          </w:rPr>
          <w:t xml:space="preserve">https://doi.org/10.1111/j.1536-7150.2008.00573.x</w:t>
        </w:r>
      </w:hyperlink>
      <w:r>
        <w:t xml:space="preserve">.</w:t>
      </w:r>
    </w:p>
    <w:bookmarkEnd w:id="59"/>
    <w:bookmarkStart w:id="61" w:name="ref-borgonovi_bowling_2020"/>
    <w:p>
      <w:pPr>
        <w:pStyle w:val="Bibliography"/>
      </w:pPr>
      <w:r>
        <w:t xml:space="preserve">Borgonovi, Francesca, and Elodie Andrieu. 2020.</w:t>
      </w:r>
      <w:r>
        <w:t xml:space="preserve"> </w:t>
      </w:r>
      <w:r>
        <w:t xml:space="preserve">“Bowling Together by Bowling Alone:</w:t>
      </w:r>
      <w:r>
        <w:t xml:space="preserve"> </w:t>
      </w:r>
      <w:r>
        <w:t xml:space="preserve">Social</w:t>
      </w:r>
      <w:r>
        <w:t xml:space="preserve"> </w:t>
      </w:r>
      <w:r>
        <w:t xml:space="preserve">Capital and</w:t>
      </w:r>
      <w:r>
        <w:t xml:space="preserve"> </w:t>
      </w:r>
      <w:r>
        <w:t xml:space="preserve">COVID</w:t>
      </w:r>
      <w:r>
        <w:t xml:space="preserve">-19.”</w:t>
      </w:r>
      <w:r>
        <w:t xml:space="preserve"> </w:t>
      </w:r>
      <w:r>
        <w:rPr>
          <w:iCs/>
          <w:i/>
        </w:rPr>
        <w:t xml:space="preserve">Social Science &amp; Medicine</w:t>
      </w:r>
      <w:r>
        <w:t xml:space="preserve"> </w:t>
      </w:r>
      <w:r>
        <w:t xml:space="preserve">265 (November): 113501.</w:t>
      </w:r>
      <w:r>
        <w:t xml:space="preserve"> </w:t>
      </w:r>
      <w:hyperlink r:id="rId60">
        <w:r>
          <w:rPr>
            <w:rStyle w:val="Hyperlink"/>
          </w:rPr>
          <w:t xml:space="preserve">https://doi.org/10.1016/j.socscimed.2020.113501</w:t>
        </w:r>
      </w:hyperlink>
      <w:r>
        <w:t xml:space="preserve">.</w:t>
      </w:r>
    </w:p>
    <w:bookmarkEnd w:id="61"/>
    <w:bookmarkStart w:id="62" w:name="ref-borgonovi_community_2020"/>
    <w:p>
      <w:pPr>
        <w:pStyle w:val="Bibliography"/>
      </w:pPr>
      <w:r>
        <w:t xml:space="preserve">Borgonovi, Francesca, Elodie Andrieu, and S. V. Subramanian. 2020.</w:t>
      </w:r>
      <w:r>
        <w:t xml:space="preserve"> </w:t>
      </w:r>
      <w:r>
        <w:t xml:space="preserve">“Community Level Social Capital and</w:t>
      </w:r>
      <w:r>
        <w:t xml:space="preserve"> </w:t>
      </w:r>
      <w:r>
        <w:t xml:space="preserve">COVID</w:t>
      </w:r>
      <w:r>
        <w:t xml:space="preserve">-19 Infections and Fatality in the</w:t>
      </w:r>
      <w:r>
        <w:t xml:space="preserve"> </w:t>
      </w:r>
      <w:r>
        <w:t xml:space="preserve">United</w:t>
      </w:r>
      <w:r>
        <w:t xml:space="preserve"> </w:t>
      </w:r>
      <w:r>
        <w:t xml:space="preserve">States</w:t>
      </w:r>
      <w:r>
        <w:t xml:space="preserve">.”</w:t>
      </w:r>
      <w:r>
        <w:t xml:space="preserve"> </w:t>
      </w:r>
      <w:r>
        <w:rPr>
          <w:iCs/>
          <w:i/>
        </w:rPr>
        <w:t xml:space="preserve">Covid Economics</w:t>
      </w:r>
      <w:r>
        <w:t xml:space="preserve">, no. 32 (June): 110–26.</w:t>
      </w:r>
    </w:p>
    <w:bookmarkEnd w:id="62"/>
    <w:bookmarkStart w:id="63" w:name="ref-brennan_explaining_2013"/>
    <w:p>
      <w:pPr>
        <w:pStyle w:val="Bibliography"/>
      </w:pPr>
      <w:r>
        <w:t xml:space="preserve">Brennan, Geoffrey, Lina Eriksson, Robert E. Goodin, and Nicholas Southwood, eds. 2013.</w:t>
      </w:r>
      <w:r>
        <w:t xml:space="preserve"> </w:t>
      </w:r>
      <w:r>
        <w:rPr>
          <w:iCs/>
          <w:i/>
        </w:rPr>
        <w:t xml:space="preserve">Explaining Norms</w:t>
      </w:r>
      <w:r>
        <w:t xml:space="preserve">. 1st ed. Oxford: Oxford University Press.</w:t>
      </w:r>
    </w:p>
    <w:bookmarkEnd w:id="63"/>
    <w:bookmarkStart w:id="65" w:name="ref-brodeur_literature_nodate"/>
    <w:p>
      <w:pPr>
        <w:pStyle w:val="Bibliography"/>
      </w:pPr>
      <w:r>
        <w:t xml:space="preserve">Brodeur, Abel, David Gray, Anik Islam, and Suraiya Bhuiyan. n.d.</w:t>
      </w:r>
      <w:r>
        <w:t xml:space="preserve"> </w:t>
      </w:r>
      <w:r>
        <w:t xml:space="preserve">“A Literature Review of the Economics of</w:t>
      </w:r>
      <w:r>
        <w:t xml:space="preserve"> </w:t>
      </w:r>
      <w:r>
        <w:t xml:space="preserve">COVID</w:t>
      </w:r>
      <w:r>
        <w:t xml:space="preserve">-19.”</w:t>
      </w:r>
      <w:r>
        <w:t xml:space="preserve"> </w:t>
      </w:r>
      <w:r>
        <w:rPr>
          <w:iCs/>
          <w:i/>
        </w:rPr>
        <w:t xml:space="preserve">Journal of Economic Surveys</w:t>
      </w:r>
      <w:r>
        <w:t xml:space="preserve"> </w:t>
      </w:r>
      <w:r>
        <w:t xml:space="preserve">n/a (n/a). Accessed May 28, 2021. https://doi.org/</w:t>
      </w:r>
      <w:hyperlink r:id="rId64">
        <w:r>
          <w:rPr>
            <w:rStyle w:val="Hyperlink"/>
          </w:rPr>
          <w:t xml:space="preserve">https://doi.org/10.1111/joes.12423</w:t>
        </w:r>
      </w:hyperlink>
      <w:r>
        <w:t xml:space="preserve">.</w:t>
      </w:r>
    </w:p>
    <w:bookmarkEnd w:id="65"/>
    <w:bookmarkStart w:id="67" w:name="ref-candela_economic_2020"/>
    <w:p>
      <w:pPr>
        <w:pStyle w:val="Bibliography"/>
      </w:pPr>
      <w:r>
        <w:t xml:space="preserve">Candela, Rosolino, and Vincent Geloso. 2020.</w:t>
      </w:r>
      <w:r>
        <w:t xml:space="preserve"> </w:t>
      </w:r>
      <w:r>
        <w:t xml:space="preserve">“Economic</w:t>
      </w:r>
      <w:r>
        <w:t xml:space="preserve"> </w:t>
      </w:r>
      <w:r>
        <w:t xml:space="preserve">Freedom</w:t>
      </w:r>
      <w:r>
        <w:t xml:space="preserve">,</w:t>
      </w:r>
      <w:r>
        <w:t xml:space="preserve"> </w:t>
      </w:r>
      <w:r>
        <w:t xml:space="preserve">Pandemics</w:t>
      </w:r>
      <w:r>
        <w:t xml:space="preserve"> </w:t>
      </w:r>
      <w:r>
        <w:t xml:space="preserve">and</w:t>
      </w:r>
      <w:r>
        <w:t xml:space="preserve"> </w:t>
      </w:r>
      <w:r>
        <w:t xml:space="preserve">Robust</w:t>
      </w:r>
      <w:r>
        <w:t xml:space="preserve"> </w:t>
      </w:r>
      <w:r>
        <w:t xml:space="preserve">Political</w:t>
      </w:r>
      <w:r>
        <w:t xml:space="preserve"> </w:t>
      </w:r>
      <w:r>
        <w:t xml:space="preserve">Economy</w:t>
      </w:r>
      <w:r>
        <w:t xml:space="preserve">.”</w:t>
      </w:r>
      <w:r>
        <w:t xml:space="preserve"> </w:t>
      </w:r>
      <w:r>
        <w:rPr>
          <w:iCs/>
          <w:i/>
        </w:rPr>
        <w:t xml:space="preserve">SSRN Electronic Journal</w:t>
      </w:r>
      <w:r>
        <w:t xml:space="preserve">.</w:t>
      </w:r>
      <w:r>
        <w:t xml:space="preserve"> </w:t>
      </w:r>
      <w:hyperlink r:id="rId66">
        <w:r>
          <w:rPr>
            <w:rStyle w:val="Hyperlink"/>
          </w:rPr>
          <w:t xml:space="preserve">https://doi.org/10.2139/ssrn.3747216</w:t>
        </w:r>
      </w:hyperlink>
      <w:r>
        <w:t xml:space="preserve">.</w:t>
      </w:r>
    </w:p>
    <w:bookmarkEnd w:id="67"/>
    <w:bookmarkStart w:id="69" w:name="ref-carilli_government_2008"/>
    <w:p>
      <w:pPr>
        <w:pStyle w:val="Bibliography"/>
      </w:pPr>
      <w:r>
        <w:t xml:space="preserve">Carilli, Anthony M., Christopher J. Coyne, and Peter T. Leeson. 2008.</w:t>
      </w:r>
      <w:r>
        <w:t xml:space="preserve"> </w:t>
      </w:r>
      <w:r>
        <w:t xml:space="preserve">“Government Intervention and the Structure of Social Capital.”</w:t>
      </w:r>
      <w:r>
        <w:t xml:space="preserve"> </w:t>
      </w:r>
      <w:r>
        <w:rPr>
          <w:iCs/>
          <w:i/>
        </w:rPr>
        <w:t xml:space="preserve">The Review of Austrian Economics</w:t>
      </w:r>
      <w:r>
        <w:t xml:space="preserve"> </w:t>
      </w:r>
      <w:r>
        <w:t xml:space="preserve">21 (2-3): 209–18.</w:t>
      </w:r>
      <w:r>
        <w:t xml:space="preserve"> </w:t>
      </w:r>
      <w:hyperlink r:id="rId68">
        <w:r>
          <w:rPr>
            <w:rStyle w:val="Hyperlink"/>
          </w:rPr>
          <w:t xml:space="preserve">https://doi.org/10.1007/s11138-007-0035-z</w:t>
        </w:r>
      </w:hyperlink>
      <w:r>
        <w:t xml:space="preserve">.</w:t>
      </w:r>
    </w:p>
    <w:bookmarkEnd w:id="69"/>
    <w:bookmarkStart w:id="71" w:name="ref-carson_firm-led_2016"/>
    <w:p>
      <w:pPr>
        <w:pStyle w:val="Bibliography"/>
      </w:pPr>
      <w:r>
        <w:t xml:space="preserve">Carson, Byron. 2016.</w:t>
      </w:r>
      <w:r>
        <w:t xml:space="preserve"> </w:t>
      </w:r>
      <w:r>
        <w:t xml:space="preserve">“Firm-</w:t>
      </w:r>
      <w:r>
        <w:t xml:space="preserve">Led</w:t>
      </w:r>
      <w:r>
        <w:t xml:space="preserve"> </w:t>
      </w:r>
      <w:r>
        <w:t xml:space="preserve">Malaria</w:t>
      </w:r>
      <w:r>
        <w:t xml:space="preserve"> </w:t>
      </w:r>
      <w:r>
        <w:t xml:space="preserve">Prevention</w:t>
      </w:r>
      <w:r>
        <w:t xml:space="preserve"> </w:t>
      </w:r>
      <w:r>
        <w:t xml:space="preserve">in the</w:t>
      </w:r>
      <w:r>
        <w:t xml:space="preserve"> </w:t>
      </w:r>
      <w:r>
        <w:t xml:space="preserve">United</w:t>
      </w:r>
      <w:r>
        <w:t xml:space="preserve"> </w:t>
      </w:r>
      <w:r>
        <w:t xml:space="preserve">States</w:t>
      </w:r>
      <w:r>
        <w:t xml:space="preserve">, 1910-1920.”</w:t>
      </w:r>
      <w:r>
        <w:t xml:space="preserve"> </w:t>
      </w:r>
      <w:r>
        <w:rPr>
          <w:iCs/>
          <w:i/>
        </w:rPr>
        <w:t xml:space="preserve">American Journal of Law &amp; Medicine</w:t>
      </w:r>
      <w:r>
        <w:t xml:space="preserve"> </w:t>
      </w:r>
      <w:r>
        <w:t xml:space="preserve">42 (2-3): 310–32.</w:t>
      </w:r>
      <w:r>
        <w:t xml:space="preserve"> </w:t>
      </w:r>
      <w:hyperlink r:id="rId70">
        <w:r>
          <w:rPr>
            <w:rStyle w:val="Hyperlink"/>
          </w:rPr>
          <w:t xml:space="preserve">https://doi.org/10.1177/0098858816658271</w:t>
        </w:r>
      </w:hyperlink>
      <w:r>
        <w:t xml:space="preserve">.</w:t>
      </w:r>
    </w:p>
    <w:bookmarkEnd w:id="71"/>
    <w:bookmarkStart w:id="73" w:name="ref-carson_informal_2017"/>
    <w:p>
      <w:pPr>
        <w:pStyle w:val="Bibliography"/>
      </w:pPr>
      <w:r>
        <w:t xml:space="preserve">———. 2017.</w:t>
      </w:r>
      <w:r>
        <w:t xml:space="preserve"> </w:t>
      </w:r>
      <w:r>
        <w:t xml:space="preserve">“The</w:t>
      </w:r>
      <w:r>
        <w:t xml:space="preserve"> </w:t>
      </w:r>
      <w:r>
        <w:t xml:space="preserve">Informal</w:t>
      </w:r>
      <w:r>
        <w:t xml:space="preserve"> </w:t>
      </w:r>
      <w:r>
        <w:t xml:space="preserve">Norms</w:t>
      </w:r>
      <w:r>
        <w:t xml:space="preserve"> </w:t>
      </w:r>
      <w:r>
        <w:t xml:space="preserve">of</w:t>
      </w:r>
      <w:r>
        <w:t xml:space="preserve"> </w:t>
      </w:r>
      <w:r>
        <w:t xml:space="preserve">HIV</w:t>
      </w:r>
      <w:r>
        <w:t xml:space="preserve"> </w:t>
      </w:r>
      <w:r>
        <w:t xml:space="preserve">Prevention</w:t>
      </w:r>
      <w:r>
        <w:t xml:space="preserve">:</w:t>
      </w:r>
      <w:r>
        <w:t xml:space="preserve"> </w:t>
      </w:r>
      <w:r>
        <w:t xml:space="preserve">The</w:t>
      </w:r>
      <w:r>
        <w:t xml:space="preserve"> </w:t>
      </w:r>
      <w:r>
        <w:t xml:space="preserve">Emergence</w:t>
      </w:r>
      <w:r>
        <w:t xml:space="preserve"> </w:t>
      </w:r>
      <w:r>
        <w:t xml:space="preserve">and</w:t>
      </w:r>
      <w:r>
        <w:t xml:space="preserve"> </w:t>
      </w:r>
      <w:r>
        <w:t xml:space="preserve">Erosion</w:t>
      </w:r>
      <w:r>
        <w:t xml:space="preserve"> </w:t>
      </w:r>
      <w:r>
        <w:t xml:space="preserve">of the</w:t>
      </w:r>
      <w:r>
        <w:t xml:space="preserve"> </w:t>
      </w:r>
      <w:r>
        <w:t xml:space="preserve">Condom</w:t>
      </w:r>
      <w:r>
        <w:t xml:space="preserve"> </w:t>
      </w:r>
      <w:r>
        <w:t xml:space="preserve">Code</w:t>
      </w:r>
      <w:r>
        <w:t xml:space="preserve">.”</w:t>
      </w:r>
      <w:r>
        <w:t xml:space="preserve"> </w:t>
      </w:r>
      <w:r>
        <w:rPr>
          <w:iCs/>
          <w:i/>
        </w:rPr>
        <w:t xml:space="preserve">The Journal of Law, Medicine &amp; Ethics</w:t>
      </w:r>
      <w:r>
        <w:t xml:space="preserve"> </w:t>
      </w:r>
      <w:r>
        <w:t xml:space="preserve">45 (4): 518–30.</w:t>
      </w:r>
      <w:r>
        <w:t xml:space="preserve"> </w:t>
      </w:r>
      <w:hyperlink r:id="rId72">
        <w:r>
          <w:rPr>
            <w:rStyle w:val="Hyperlink"/>
          </w:rPr>
          <w:t xml:space="preserve">https://doi.org/10.1177/1073110517750586</w:t>
        </w:r>
      </w:hyperlink>
      <w:r>
        <w:t xml:space="preserve">.</w:t>
      </w:r>
    </w:p>
    <w:bookmarkEnd w:id="73"/>
    <w:bookmarkStart w:id="75" w:name="ref-carson_privately_2020"/>
    <w:p>
      <w:pPr>
        <w:pStyle w:val="Bibliography"/>
      </w:pPr>
      <w:r>
        <w:t xml:space="preserve">———. 2020a.</w:t>
      </w:r>
      <w:r>
        <w:t xml:space="preserve"> </w:t>
      </w:r>
      <w:r>
        <w:t xml:space="preserve">“Privately</w:t>
      </w:r>
      <w:r>
        <w:t xml:space="preserve"> </w:t>
      </w:r>
      <w:r>
        <w:t xml:space="preserve">Preventing</w:t>
      </w:r>
      <w:r>
        <w:t xml:space="preserve"> </w:t>
      </w:r>
      <w:r>
        <w:t xml:space="preserve">Malaria</w:t>
      </w:r>
      <w:r>
        <w:t xml:space="preserve"> </w:t>
      </w:r>
      <w:r>
        <w:t xml:space="preserve">in the</w:t>
      </w:r>
      <w:r>
        <w:t xml:space="preserve"> </w:t>
      </w:r>
      <w:r>
        <w:t xml:space="preserve">United</w:t>
      </w:r>
      <w:r>
        <w:t xml:space="preserve"> </w:t>
      </w:r>
      <w:r>
        <w:t xml:space="preserve">States</w:t>
      </w:r>
      <w:r>
        <w:t xml:space="preserve">, 1900-1925.”</w:t>
      </w:r>
      <w:r>
        <w:t xml:space="preserve"> </w:t>
      </w:r>
      <w:r>
        <w:rPr>
          <w:iCs/>
          <w:i/>
        </w:rPr>
        <w:t xml:space="preserve">Essays in Economic &amp; Business History</w:t>
      </w:r>
      <w:r>
        <w:t xml:space="preserve"> </w:t>
      </w:r>
      <w:r>
        <w:t xml:space="preserve">38 (1): 142–92.</w:t>
      </w:r>
      <w:r>
        <w:t xml:space="preserve"> </w:t>
      </w:r>
      <w:hyperlink r:id="rId74">
        <w:r>
          <w:rPr>
            <w:rStyle w:val="Hyperlink"/>
          </w:rPr>
          <w:t xml:space="preserve">https://www.ebhsoc.org/journal/index.php/ebhs/article/view/373</w:t>
        </w:r>
      </w:hyperlink>
      <w:r>
        <w:t xml:space="preserve">.</w:t>
      </w:r>
    </w:p>
    <w:bookmarkEnd w:id="75"/>
    <w:bookmarkStart w:id="77" w:name="ref-carson_automatons_2020"/>
    <w:p>
      <w:pPr>
        <w:pStyle w:val="Bibliography"/>
      </w:pPr>
      <w:r>
        <w:t xml:space="preserve">———. 2020b.</w:t>
      </w:r>
      <w:r>
        <w:t xml:space="preserve"> </w:t>
      </w:r>
      <w:r>
        <w:t xml:space="preserve">“Automatons or</w:t>
      </w:r>
      <w:r>
        <w:t xml:space="preserve"> </w:t>
      </w:r>
      <w:r>
        <w:t xml:space="preserve">Individuals</w:t>
      </w:r>
      <w:r>
        <w:t xml:space="preserve">?</w:t>
      </w:r>
      <w:r>
        <w:t xml:space="preserve"> </w:t>
      </w:r>
      <w:r>
        <w:t xml:space="preserve">Voluntary</w:t>
      </w:r>
      <w:r>
        <w:t xml:space="preserve"> </w:t>
      </w:r>
      <w:r>
        <w:t xml:space="preserve">Responses</w:t>
      </w:r>
      <w:r>
        <w:t xml:space="preserve"> </w:t>
      </w:r>
      <w:r>
        <w:t xml:space="preserve">to</w:t>
      </w:r>
      <w:r>
        <w:t xml:space="preserve"> </w:t>
      </w:r>
      <w:r>
        <w:t xml:space="preserve">COVID</w:t>
      </w:r>
      <w:r>
        <w:t xml:space="preserve">-19</w:t>
      </w:r>
      <w:r>
        <w:t xml:space="preserve"> </w:t>
      </w:r>
      <w:r>
        <w:t xml:space="preserve">Related</w:t>
      </w:r>
      <w:r>
        <w:t xml:space="preserve"> </w:t>
      </w:r>
      <w:r>
        <w:t xml:space="preserve">Epidemic</w:t>
      </w:r>
      <w:r>
        <w:t xml:space="preserve"> </w:t>
      </w:r>
      <w:r>
        <w:t xml:space="preserve">Externalities</w:t>
      </w:r>
      <w:r>
        <w:t xml:space="preserve">.”</w:t>
      </w:r>
      <w:r>
        <w:t xml:space="preserve"> </w:t>
      </w:r>
      <w:r>
        <w:t xml:space="preserve">{SSRN} {Scholarly} {Paper} ID 3734711. Rochester, NY: Social Science Research Network.</w:t>
      </w:r>
      <w:r>
        <w:t xml:space="preserve"> </w:t>
      </w:r>
      <w:hyperlink r:id="rId76">
        <w:r>
          <w:rPr>
            <w:rStyle w:val="Hyperlink"/>
          </w:rPr>
          <w:t xml:space="preserve">https://doi.org/10.2139/ssrn.3734711</w:t>
        </w:r>
      </w:hyperlink>
      <w:r>
        <w:t xml:space="preserve">.</w:t>
      </w:r>
    </w:p>
    <w:bookmarkEnd w:id="77"/>
    <w:bookmarkStart w:id="79" w:name="ref-chamlee-wright_structure_2008"/>
    <w:p>
      <w:pPr>
        <w:pStyle w:val="Bibliography"/>
      </w:pPr>
      <w:r>
        <w:t xml:space="preserve">Chamlee-Wright, Emily. 2008.</w:t>
      </w:r>
      <w:r>
        <w:t xml:space="preserve"> </w:t>
      </w:r>
      <w:r>
        <w:t xml:space="preserve">“The</w:t>
      </w:r>
      <w:r>
        <w:t xml:space="preserve"> </w:t>
      </w:r>
      <w:r>
        <w:t xml:space="preserve">Structure</w:t>
      </w:r>
      <w:r>
        <w:t xml:space="preserve"> </w:t>
      </w:r>
      <w:r>
        <w:t xml:space="preserve">of</w:t>
      </w:r>
      <w:r>
        <w:t xml:space="preserve"> </w:t>
      </w:r>
      <w:r>
        <w:t xml:space="preserve">Social</w:t>
      </w:r>
      <w:r>
        <w:t xml:space="preserve"> </w:t>
      </w:r>
      <w:r>
        <w:t xml:space="preserve">Capital</w:t>
      </w:r>
      <w:r>
        <w:t xml:space="preserve">:</w:t>
      </w:r>
      <w:r>
        <w:t xml:space="preserve"> </w:t>
      </w:r>
      <w:r>
        <w:t xml:space="preserve">An</w:t>
      </w:r>
      <w:r>
        <w:t xml:space="preserve"> </w:t>
      </w:r>
      <w:r>
        <w:t xml:space="preserve">Austrian</w:t>
      </w:r>
      <w:r>
        <w:t xml:space="preserve"> </w:t>
      </w:r>
      <w:r>
        <w:t xml:space="preserve">Perspective</w:t>
      </w:r>
      <w:r>
        <w:t xml:space="preserve"> </w:t>
      </w:r>
      <w:r>
        <w:t xml:space="preserve">on Its</w:t>
      </w:r>
      <w:r>
        <w:t xml:space="preserve"> </w:t>
      </w:r>
      <w:r>
        <w:t xml:space="preserve">Nature</w:t>
      </w:r>
      <w:r>
        <w:t xml:space="preserve"> </w:t>
      </w:r>
      <w:r>
        <w:t xml:space="preserve">and</w:t>
      </w:r>
      <w:r>
        <w:t xml:space="preserve"> </w:t>
      </w:r>
      <w:r>
        <w:t xml:space="preserve">Development</w:t>
      </w:r>
      <w:r>
        <w:t xml:space="preserve">.”</w:t>
      </w:r>
      <w:r>
        <w:t xml:space="preserve"> </w:t>
      </w:r>
      <w:r>
        <w:rPr>
          <w:iCs/>
          <w:i/>
        </w:rPr>
        <w:t xml:space="preserve">Review of Political Economy</w:t>
      </w:r>
      <w:r>
        <w:t xml:space="preserve"> </w:t>
      </w:r>
      <w:r>
        <w:t xml:space="preserve">20 (1): 41–58.</w:t>
      </w:r>
      <w:r>
        <w:t xml:space="preserve"> </w:t>
      </w:r>
      <w:hyperlink r:id="rId78">
        <w:r>
          <w:rPr>
            <w:rStyle w:val="Hyperlink"/>
          </w:rPr>
          <w:t xml:space="preserve">https://doi.org/10.1080/09538250701661806</w:t>
        </w:r>
      </w:hyperlink>
      <w:r>
        <w:t xml:space="preserve">.</w:t>
      </w:r>
    </w:p>
    <w:bookmarkEnd w:id="79"/>
    <w:bookmarkStart w:id="81" w:name="ref-chuang_social_2015"/>
    <w:p>
      <w:pPr>
        <w:pStyle w:val="Bibliography"/>
      </w:pPr>
      <w:r>
        <w:t xml:space="preserve">Chuang, Ying-Chih, Ya-Li Huang, Kuo-Chien Tseng, Chia-Hsin Yen, and Lin-hui Yang. 2015.</w:t>
      </w:r>
      <w:r>
        <w:t xml:space="preserve"> </w:t>
      </w:r>
      <w:r>
        <w:t xml:space="preserve">“Social</w:t>
      </w:r>
      <w:r>
        <w:t xml:space="preserve"> </w:t>
      </w:r>
      <w:r>
        <w:t xml:space="preserve">Capital</w:t>
      </w:r>
      <w:r>
        <w:t xml:space="preserve"> </w:t>
      </w:r>
      <w:r>
        <w:t xml:space="preserve">and</w:t>
      </w:r>
      <w:r>
        <w:t xml:space="preserve"> </w:t>
      </w:r>
      <w:r>
        <w:t xml:space="preserve">Health</w:t>
      </w:r>
      <w:r>
        <w:t xml:space="preserve">-</w:t>
      </w:r>
      <w:r>
        <w:t xml:space="preserve">Protective</w:t>
      </w:r>
      <w:r>
        <w:t xml:space="preserve"> </w:t>
      </w:r>
      <w:r>
        <w:t xml:space="preserve">Behavior</w:t>
      </w:r>
      <w:r>
        <w:t xml:space="preserve"> </w:t>
      </w:r>
      <w:r>
        <w:t xml:space="preserve">Intentions</w:t>
      </w:r>
      <w:r>
        <w:t xml:space="preserve"> </w:t>
      </w:r>
      <w:r>
        <w:t xml:space="preserve">in an</w:t>
      </w:r>
      <w:r>
        <w:t xml:space="preserve"> </w:t>
      </w:r>
      <w:r>
        <w:t xml:space="preserve">Influenza</w:t>
      </w:r>
      <w:r>
        <w:t xml:space="preserve"> </w:t>
      </w:r>
      <w:r>
        <w:t xml:space="preserve">Pandemic</w:t>
      </w:r>
      <w:r>
        <w:t xml:space="preserve">.”</w:t>
      </w:r>
      <w:r>
        <w:t xml:space="preserve"> </w:t>
      </w:r>
      <w:r>
        <w:t xml:space="preserve">Edited by Julian W. Tang.</w:t>
      </w:r>
      <w:r>
        <w:t xml:space="preserve"> </w:t>
      </w:r>
      <w:r>
        <w:rPr>
          <w:iCs/>
          <w:i/>
        </w:rPr>
        <w:t xml:space="preserve">PLOS ONE</w:t>
      </w:r>
      <w:r>
        <w:t xml:space="preserve"> </w:t>
      </w:r>
      <w:r>
        <w:t xml:space="preserve">10 (4): e0122970.</w:t>
      </w:r>
      <w:r>
        <w:t xml:space="preserve"> </w:t>
      </w:r>
      <w:hyperlink r:id="rId80">
        <w:r>
          <w:rPr>
            <w:rStyle w:val="Hyperlink"/>
          </w:rPr>
          <w:t xml:space="preserve">https://doi.org/10.1371/journal.pone.0122970</w:t>
        </w:r>
      </w:hyperlink>
      <w:r>
        <w:t xml:space="preserve">.</w:t>
      </w:r>
    </w:p>
    <w:bookmarkEnd w:id="81"/>
    <w:bookmarkStart w:id="83" w:name="ref-durante_civic_2020"/>
    <w:p>
      <w:pPr>
        <w:pStyle w:val="Bibliography"/>
      </w:pPr>
      <w:r>
        <w:t xml:space="preserve">Durante, Ruben, Luigi Guiso, and Giorgio Gulino. 2020.</w:t>
      </w:r>
      <w:r>
        <w:t xml:space="preserve"> </w:t>
      </w:r>
      <w:r>
        <w:rPr>
          <w:iCs/>
          <w:i/>
        </w:rPr>
        <w:t xml:space="preserve">Civic Capital and Social Distancing:</w:t>
      </w:r>
      <w:r>
        <w:rPr>
          <w:iCs/>
          <w:i/>
        </w:rPr>
        <w:t xml:space="preserve"> </w:t>
      </w:r>
      <w:r>
        <w:rPr>
          <w:iCs/>
          <w:i/>
        </w:rPr>
        <w:t xml:space="preserve">Evidence</w:t>
      </w:r>
      <w:r>
        <w:rPr>
          <w:iCs/>
          <w:i/>
        </w:rPr>
        <w:t xml:space="preserve"> </w:t>
      </w:r>
      <w:r>
        <w:rPr>
          <w:iCs/>
          <w:i/>
        </w:rPr>
        <w:t xml:space="preserve">from</w:t>
      </w:r>
      <w:r>
        <w:rPr>
          <w:iCs/>
          <w:i/>
        </w:rPr>
        <w:t xml:space="preserve"> </w:t>
      </w:r>
      <w:r>
        <w:rPr>
          <w:iCs/>
          <w:i/>
        </w:rPr>
        <w:t xml:space="preserve">Italians</w:t>
      </w:r>
      <w:r>
        <w:rPr>
          <w:iCs/>
          <w:i/>
        </w:rPr>
        <w:t xml:space="preserve">’ Response to</w:t>
      </w:r>
      <w:r>
        <w:rPr>
          <w:iCs/>
          <w:i/>
        </w:rPr>
        <w:t xml:space="preserve"> </w:t>
      </w:r>
      <w:r>
        <w:rPr>
          <w:iCs/>
          <w:i/>
        </w:rPr>
        <w:t xml:space="preserve">COVID</w:t>
      </w:r>
      <w:r>
        <w:rPr>
          <w:iCs/>
          <w:i/>
        </w:rPr>
        <w:t xml:space="preserve">-19</w:t>
      </w:r>
      <w:r>
        <w:t xml:space="preserve">.</w:t>
      </w:r>
      <w:r>
        <w:t xml:space="preserve"> </w:t>
      </w:r>
      <w:hyperlink r:id="rId82">
        <w:r>
          <w:rPr>
            <w:rStyle w:val="Hyperlink"/>
          </w:rPr>
          <w:t xml:space="preserve">https://voxeu.org/article/civic-capital-and-social-distancing</w:t>
        </w:r>
      </w:hyperlink>
      <w:r>
        <w:t xml:space="preserve">.</w:t>
      </w:r>
    </w:p>
    <w:bookmarkEnd w:id="83"/>
    <w:bookmarkStart w:id="85" w:name="ref-farrow_social_2017"/>
    <w:p>
      <w:pPr>
        <w:pStyle w:val="Bibliography"/>
      </w:pPr>
      <w:r>
        <w:t xml:space="preserve">Farrow, Katherine, Gilles Grolleau, and Lisette Ibanez. 2017.</w:t>
      </w:r>
      <w:r>
        <w:t xml:space="preserve"> </w:t>
      </w:r>
      <w:r>
        <w:t xml:space="preserve">“Social</w:t>
      </w:r>
      <w:r>
        <w:t xml:space="preserve"> </w:t>
      </w:r>
      <w:r>
        <w:t xml:space="preserve">Norms</w:t>
      </w:r>
      <w:r>
        <w:t xml:space="preserve"> </w:t>
      </w:r>
      <w:r>
        <w:t xml:space="preserve">and</w:t>
      </w:r>
      <w:r>
        <w:t xml:space="preserve"> </w:t>
      </w:r>
      <w:r>
        <w:t xml:space="preserve">Pro</w:t>
      </w:r>
      <w:r>
        <w:t xml:space="preserve">-Environmental</w:t>
      </w:r>
      <w:r>
        <w:t xml:space="preserve"> </w:t>
      </w:r>
      <w:r>
        <w:t xml:space="preserve">Behavior</w:t>
      </w:r>
      <w:r>
        <w:t xml:space="preserve">:</w:t>
      </w:r>
      <w:r>
        <w:t xml:space="preserve"> </w:t>
      </w:r>
      <w:r>
        <w:t xml:space="preserve">A</w:t>
      </w:r>
      <w:r>
        <w:t xml:space="preserve"> </w:t>
      </w:r>
      <w:r>
        <w:t xml:space="preserve">Review</w:t>
      </w:r>
      <w:r>
        <w:t xml:space="preserve"> </w:t>
      </w:r>
      <w:r>
        <w:t xml:space="preserve">of the</w:t>
      </w:r>
      <w:r>
        <w:t xml:space="preserve"> </w:t>
      </w:r>
      <w:r>
        <w:t xml:space="preserve">Evidence</w:t>
      </w:r>
      <w:r>
        <w:t xml:space="preserve">.”</w:t>
      </w:r>
      <w:r>
        <w:t xml:space="preserve"> </w:t>
      </w:r>
      <w:r>
        <w:rPr>
          <w:iCs/>
          <w:i/>
        </w:rPr>
        <w:t xml:space="preserve">Ecological Economics</w:t>
      </w:r>
      <w:r>
        <w:t xml:space="preserve"> </w:t>
      </w:r>
      <w:r>
        <w:t xml:space="preserve">140 (October): 1–13.</w:t>
      </w:r>
      <w:r>
        <w:t xml:space="preserve"> </w:t>
      </w:r>
      <w:hyperlink r:id="rId84">
        <w:r>
          <w:rPr>
            <w:rStyle w:val="Hyperlink"/>
          </w:rPr>
          <w:t xml:space="preserve">https://doi.org/10.1016/j.ecolecon.2017.04.017</w:t>
        </w:r>
      </w:hyperlink>
      <w:r>
        <w:t xml:space="preserve">.</w:t>
      </w:r>
    </w:p>
    <w:bookmarkEnd w:id="85"/>
    <w:bookmarkStart w:id="86" w:name="ref-fishback_soft_1992"/>
    <w:p>
      <w:pPr>
        <w:pStyle w:val="Bibliography"/>
      </w:pPr>
      <w:r>
        <w:t xml:space="preserve">Fishback, Price V. 1992.</w:t>
      </w:r>
      <w:r>
        <w:t xml:space="preserve"> </w:t>
      </w:r>
      <w:r>
        <w:rPr>
          <w:iCs/>
          <w:i/>
        </w:rPr>
        <w:t xml:space="preserve">Soft</w:t>
      </w:r>
      <w:r>
        <w:rPr>
          <w:iCs/>
          <w:i/>
        </w:rPr>
        <w:t xml:space="preserve"> </w:t>
      </w:r>
      <w:r>
        <w:rPr>
          <w:iCs/>
          <w:i/>
        </w:rPr>
        <w:t xml:space="preserve">Coal</w:t>
      </w:r>
      <w:r>
        <w:rPr>
          <w:iCs/>
          <w:i/>
        </w:rPr>
        <w:t xml:space="preserve">,</w:t>
      </w:r>
      <w:r>
        <w:rPr>
          <w:iCs/>
          <w:i/>
        </w:rPr>
        <w:t xml:space="preserve"> </w:t>
      </w:r>
      <w:r>
        <w:rPr>
          <w:iCs/>
          <w:i/>
        </w:rPr>
        <w:t xml:space="preserve">Hard</w:t>
      </w:r>
      <w:r>
        <w:rPr>
          <w:iCs/>
          <w:i/>
        </w:rPr>
        <w:t xml:space="preserve"> </w:t>
      </w:r>
      <w:r>
        <w:rPr>
          <w:iCs/>
          <w:i/>
        </w:rPr>
        <w:t xml:space="preserve">Choices</w:t>
      </w:r>
      <w:r>
        <w:rPr>
          <w:iCs/>
          <w:i/>
        </w:rPr>
        <w:t xml:space="preserve">:</w:t>
      </w:r>
      <w:r>
        <w:rPr>
          <w:iCs/>
          <w:i/>
        </w:rPr>
        <w:t xml:space="preserve"> </w:t>
      </w:r>
      <w:r>
        <w:rPr>
          <w:iCs/>
          <w:i/>
        </w:rPr>
        <w:t xml:space="preserve">The</w:t>
      </w:r>
      <w:r>
        <w:rPr>
          <w:iCs/>
          <w:i/>
        </w:rPr>
        <w:t xml:space="preserve"> </w:t>
      </w:r>
      <w:r>
        <w:rPr>
          <w:iCs/>
          <w:i/>
        </w:rPr>
        <w:t xml:space="preserve">Economic</w:t>
      </w:r>
      <w:r>
        <w:rPr>
          <w:iCs/>
          <w:i/>
        </w:rPr>
        <w:t xml:space="preserve"> </w:t>
      </w:r>
      <w:r>
        <w:rPr>
          <w:iCs/>
          <w:i/>
        </w:rPr>
        <w:t xml:space="preserve">Welfare</w:t>
      </w:r>
      <w:r>
        <w:rPr>
          <w:iCs/>
          <w:i/>
        </w:rPr>
        <w:t xml:space="preserve"> </w:t>
      </w:r>
      <w:r>
        <w:rPr>
          <w:iCs/>
          <w:i/>
        </w:rPr>
        <w:t xml:space="preserve">of</w:t>
      </w:r>
      <w:r>
        <w:rPr>
          <w:iCs/>
          <w:i/>
        </w:rPr>
        <w:t xml:space="preserve"> </w:t>
      </w:r>
      <w:r>
        <w:rPr>
          <w:iCs/>
          <w:i/>
        </w:rPr>
        <w:t xml:space="preserve">Bituminous</w:t>
      </w:r>
      <w:r>
        <w:rPr>
          <w:iCs/>
          <w:i/>
        </w:rPr>
        <w:t xml:space="preserve"> </w:t>
      </w:r>
      <w:r>
        <w:rPr>
          <w:iCs/>
          <w:i/>
        </w:rPr>
        <w:t xml:space="preserve">Coal</w:t>
      </w:r>
      <w:r>
        <w:rPr>
          <w:iCs/>
          <w:i/>
        </w:rPr>
        <w:t xml:space="preserve"> </w:t>
      </w:r>
      <w:r>
        <w:rPr>
          <w:iCs/>
          <w:i/>
        </w:rPr>
        <w:t xml:space="preserve">Miners</w:t>
      </w:r>
      <w:r>
        <w:rPr>
          <w:iCs/>
          <w:i/>
        </w:rPr>
        <w:t xml:space="preserve">, 1890-1930</w:t>
      </w:r>
      <w:r>
        <w:t xml:space="preserve">. Illustrated edition. New York: Oxford University Press.</w:t>
      </w:r>
    </w:p>
    <w:bookmarkEnd w:id="86"/>
    <w:bookmarkStart w:id="88" w:name="ref-galiani_water_2005"/>
    <w:p>
      <w:pPr>
        <w:pStyle w:val="Bibliography"/>
      </w:pPr>
      <w:r>
        <w:t xml:space="preserve">Galiani, Sebastian, Paul Gertler, and Ernesto Schargrodsky. 2005.</w:t>
      </w:r>
      <w:r>
        <w:t xml:space="preserve"> </w:t>
      </w:r>
      <w:r>
        <w:t xml:space="preserve">“Water for</w:t>
      </w:r>
      <w:r>
        <w:t xml:space="preserve"> </w:t>
      </w:r>
      <w:r>
        <w:t xml:space="preserve">Life</w:t>
      </w:r>
      <w:r>
        <w:t xml:space="preserve">:</w:t>
      </w:r>
      <w:r>
        <w:t xml:space="preserve"> </w:t>
      </w:r>
      <w:r>
        <w:t xml:space="preserve">The</w:t>
      </w:r>
      <w:r>
        <w:t xml:space="preserve"> </w:t>
      </w:r>
      <w:r>
        <w:t xml:space="preserve">Impact</w:t>
      </w:r>
      <w:r>
        <w:t xml:space="preserve"> </w:t>
      </w:r>
      <w:r>
        <w:t xml:space="preserve">of the</w:t>
      </w:r>
      <w:r>
        <w:t xml:space="preserve"> </w:t>
      </w:r>
      <w:r>
        <w:t xml:space="preserve">Privatization</w:t>
      </w:r>
      <w:r>
        <w:t xml:space="preserve"> </w:t>
      </w:r>
      <w:r>
        <w:t xml:space="preserve">of</w:t>
      </w:r>
      <w:r>
        <w:t xml:space="preserve"> </w:t>
      </w:r>
      <w:r>
        <w:t xml:space="preserve">Water</w:t>
      </w:r>
      <w:r>
        <w:t xml:space="preserve"> </w:t>
      </w:r>
      <w:r>
        <w:t xml:space="preserve">Services</w:t>
      </w:r>
      <w:r>
        <w:t xml:space="preserve"> </w:t>
      </w:r>
      <w:r>
        <w:t xml:space="preserve">on</w:t>
      </w:r>
      <w:r>
        <w:t xml:space="preserve"> </w:t>
      </w:r>
      <w:r>
        <w:t xml:space="preserve">Child</w:t>
      </w:r>
      <w:r>
        <w:t xml:space="preserve"> </w:t>
      </w:r>
      <w:r>
        <w:t xml:space="preserve">Mortality</w:t>
      </w:r>
      <w:r>
        <w:t xml:space="preserve">.”</w:t>
      </w:r>
      <w:r>
        <w:t xml:space="preserve"> </w:t>
      </w:r>
      <w:r>
        <w:rPr>
          <w:iCs/>
          <w:i/>
        </w:rPr>
        <w:t xml:space="preserve">Journal of Political Economy</w:t>
      </w:r>
      <w:r>
        <w:t xml:space="preserve"> </w:t>
      </w:r>
      <w:r>
        <w:t xml:space="preserve">113 (1): 83–120.</w:t>
      </w:r>
      <w:r>
        <w:t xml:space="preserve"> </w:t>
      </w:r>
      <w:hyperlink r:id="rId87">
        <w:r>
          <w:rPr>
            <w:rStyle w:val="Hyperlink"/>
          </w:rPr>
          <w:t xml:space="preserve">https://doi.org/10.1086/426041</w:t>
        </w:r>
      </w:hyperlink>
      <w:r>
        <w:t xml:space="preserve">.</w:t>
      </w:r>
    </w:p>
    <w:bookmarkEnd w:id="88"/>
    <w:bookmarkStart w:id="90" w:name="ref-gallup_economic_2001"/>
    <w:p>
      <w:pPr>
        <w:pStyle w:val="Bibliography"/>
      </w:pPr>
      <w:r>
        <w:t xml:space="preserve">Gallup, Jl, and Jd Sachs. 2001.</w:t>
      </w:r>
      <w:r>
        <w:t xml:space="preserve"> </w:t>
      </w:r>
      <w:r>
        <w:t xml:space="preserve">“The Economic Burden of Malaria.”</w:t>
      </w:r>
      <w:r>
        <w:t xml:space="preserve"> </w:t>
      </w:r>
      <w:r>
        <w:rPr>
          <w:iCs/>
          <w:i/>
        </w:rPr>
        <w:t xml:space="preserve">The American Journal of Tropical Medicine and Hygiene</w:t>
      </w:r>
      <w:r>
        <w:t xml:space="preserve"> </w:t>
      </w:r>
      <w:r>
        <w:t xml:space="preserve">64 (1_suppl): 85–96.</w:t>
      </w:r>
      <w:r>
        <w:t xml:space="preserve"> </w:t>
      </w:r>
      <w:hyperlink r:id="rId89">
        <w:r>
          <w:rPr>
            <w:rStyle w:val="Hyperlink"/>
          </w:rPr>
          <w:t xml:space="preserve">https://doi.org/10.4269/ajtmh.2001.64.85</w:t>
        </w:r>
      </w:hyperlink>
      <w:r>
        <w:t xml:space="preserve">.</w:t>
      </w:r>
    </w:p>
    <w:bookmarkEnd w:id="90"/>
    <w:bookmarkStart w:id="92" w:name="ref-geloso_economic_2020"/>
    <w:p>
      <w:pPr>
        <w:pStyle w:val="Bibliography"/>
      </w:pPr>
      <w:r>
        <w:t xml:space="preserve">Geloso, Vincent, and Jamie Bologna Pavlik. 2020.</w:t>
      </w:r>
      <w:r>
        <w:t xml:space="preserve"> </w:t>
      </w:r>
      <w:r>
        <w:t xml:space="preserve">“</w:t>
      </w:r>
      <w:r>
        <w:t xml:space="preserve">ECONOMIC</w:t>
      </w:r>
      <w:r>
        <w:t xml:space="preserve"> </w:t>
      </w:r>
      <w:r>
        <w:t xml:space="preserve">FREEDOM</w:t>
      </w:r>
      <w:r>
        <w:t xml:space="preserve"> </w:t>
      </w:r>
      <w:r>
        <w:t xml:space="preserve">AND</w:t>
      </w:r>
      <w:r>
        <w:t xml:space="preserve"> </w:t>
      </w:r>
      <w:r>
        <w:t xml:space="preserve">THE</w:t>
      </w:r>
      <w:r>
        <w:t xml:space="preserve"> </w:t>
      </w:r>
      <w:r>
        <w:t xml:space="preserve">ECONOMIC</w:t>
      </w:r>
      <w:r>
        <w:t xml:space="preserve"> </w:t>
      </w:r>
      <w:r>
        <w:t xml:space="preserve">CONSEQUENCES</w:t>
      </w:r>
      <w:r>
        <w:t xml:space="preserve"> </w:t>
      </w:r>
      <w:r>
        <w:t xml:space="preserve">OF</w:t>
      </w:r>
      <w:r>
        <w:t xml:space="preserve"> </w:t>
      </w:r>
      <w:r>
        <w:t xml:space="preserve">THE</w:t>
      </w:r>
      <w:r>
        <w:t xml:space="preserve"> </w:t>
      </w:r>
      <w:r>
        <w:t xml:space="preserve">1918</w:t>
      </w:r>
      <w:r>
        <w:t xml:space="preserve"> </w:t>
      </w:r>
      <w:r>
        <w:t xml:space="preserve">PANDEMIC</w:t>
      </w:r>
      <w:r>
        <w:t xml:space="preserve">.”</w:t>
      </w:r>
      <w:r>
        <w:t xml:space="preserve"> </w:t>
      </w:r>
      <w:r>
        <w:rPr>
          <w:iCs/>
          <w:i/>
        </w:rPr>
        <w:t xml:space="preserve">Contemporary Economic Policy</w:t>
      </w:r>
      <w:r>
        <w:t xml:space="preserve">, September, coep.12504.</w:t>
      </w:r>
      <w:r>
        <w:t xml:space="preserve"> </w:t>
      </w:r>
      <w:hyperlink r:id="rId91">
        <w:r>
          <w:rPr>
            <w:rStyle w:val="Hyperlink"/>
          </w:rPr>
          <w:t xml:space="preserve">https://doi.org/10.1111/coep.12504</w:t>
        </w:r>
      </w:hyperlink>
      <w:r>
        <w:t xml:space="preserve">.</w:t>
      </w:r>
    </w:p>
    <w:bookmarkEnd w:id="92"/>
    <w:bookmarkStart w:id="93" w:name="ref-hale_oxford_2020"/>
    <w:p>
      <w:pPr>
        <w:pStyle w:val="Bibliography"/>
      </w:pPr>
      <w:r>
        <w:t xml:space="preserve">Hale, Thomas, Sam Webster, Anna Petherick, Toby Phillips, and Beatriz Kira. 2020.</w:t>
      </w:r>
      <w:r>
        <w:t xml:space="preserve"> </w:t>
      </w:r>
      <w:r>
        <w:rPr>
          <w:iCs/>
          <w:i/>
        </w:rPr>
        <w:t xml:space="preserve">Oxford</w:t>
      </w:r>
      <w:r>
        <w:rPr>
          <w:iCs/>
          <w:i/>
        </w:rPr>
        <w:t xml:space="preserve"> </w:t>
      </w:r>
      <w:r>
        <w:rPr>
          <w:iCs/>
          <w:i/>
        </w:rPr>
        <w:t xml:space="preserve">COVID</w:t>
      </w:r>
      <w:r>
        <w:rPr>
          <w:iCs/>
          <w:i/>
        </w:rPr>
        <w:t xml:space="preserve">-19</w:t>
      </w:r>
      <w:r>
        <w:rPr>
          <w:iCs/>
          <w:i/>
        </w:rPr>
        <w:t xml:space="preserve"> </w:t>
      </w:r>
      <w:r>
        <w:rPr>
          <w:iCs/>
          <w:i/>
        </w:rPr>
        <w:t xml:space="preserve">Government</w:t>
      </w:r>
      <w:r>
        <w:rPr>
          <w:iCs/>
          <w:i/>
        </w:rPr>
        <w:t xml:space="preserve"> </w:t>
      </w:r>
      <w:r>
        <w:rPr>
          <w:iCs/>
          <w:i/>
        </w:rPr>
        <w:t xml:space="preserve">Response</w:t>
      </w:r>
      <w:r>
        <w:rPr>
          <w:iCs/>
          <w:i/>
        </w:rPr>
        <w:t xml:space="preserve"> </w:t>
      </w:r>
      <w:r>
        <w:rPr>
          <w:iCs/>
          <w:i/>
        </w:rPr>
        <w:t xml:space="preserve">Tracker</w:t>
      </w:r>
      <w:r>
        <w:t xml:space="preserve">. Blavatnik School of Government.</w:t>
      </w:r>
    </w:p>
    <w:bookmarkEnd w:id="93"/>
    <w:bookmarkStart w:id="94" w:name="ref-heller_social_2009"/>
    <w:p>
      <w:pPr>
        <w:pStyle w:val="Bibliography"/>
      </w:pPr>
      <w:r>
        <w:t xml:space="preserve">Heller, Laura. 2009.</w:t>
      </w:r>
      <w:r>
        <w:t xml:space="preserve"> </w:t>
      </w:r>
      <w:r>
        <w:t xml:space="preserve">“Social</w:t>
      </w:r>
      <w:r>
        <w:t xml:space="preserve"> </w:t>
      </w:r>
      <w:r>
        <w:t xml:space="preserve">Cohesion</w:t>
      </w:r>
      <w:r>
        <w:t xml:space="preserve"> </w:t>
      </w:r>
      <w:r>
        <w:t xml:space="preserve">and</w:t>
      </w:r>
      <w:r>
        <w:t xml:space="preserve"> </w:t>
      </w:r>
      <w:r>
        <w:t xml:space="preserve">Its</w:t>
      </w:r>
      <w:r>
        <w:t xml:space="preserve"> </w:t>
      </w:r>
      <w:r>
        <w:t xml:space="preserve">Relationship</w:t>
      </w:r>
      <w:r>
        <w:t xml:space="preserve"> </w:t>
      </w:r>
      <w:r>
        <w:t xml:space="preserve">to</w:t>
      </w:r>
      <w:r>
        <w:t xml:space="preserve"> </w:t>
      </w:r>
      <w:r>
        <w:t xml:space="preserve">Endogenous</w:t>
      </w:r>
      <w:r>
        <w:t xml:space="preserve"> </w:t>
      </w:r>
      <w:r>
        <w:t xml:space="preserve">Institutional</w:t>
      </w:r>
      <w:r>
        <w:t xml:space="preserve"> </w:t>
      </w:r>
      <w:r>
        <w:t xml:space="preserve">Formation</w:t>
      </w:r>
      <w:r>
        <w:t xml:space="preserve"> </w:t>
      </w:r>
      <w:r>
        <w:t xml:space="preserve">and</w:t>
      </w:r>
      <w:r>
        <w:t xml:space="preserve"> </w:t>
      </w:r>
      <w:r>
        <w:t xml:space="preserve">Economic</w:t>
      </w:r>
      <w:r>
        <w:t xml:space="preserve"> </w:t>
      </w:r>
      <w:r>
        <w:t xml:space="preserve">Growth</w:t>
      </w:r>
      <w:r>
        <w:t xml:space="preserve">.”</w:t>
      </w:r>
      <w:r>
        <w:t xml:space="preserve"> </w:t>
      </w:r>
      <w:r>
        <w:rPr>
          <w:iCs/>
          <w:i/>
        </w:rPr>
        <w:t xml:space="preserve">The Journal of Private Enterprise</w:t>
      </w:r>
      <w:r>
        <w:t xml:space="preserve"> </w:t>
      </w:r>
      <w:r>
        <w:t xml:space="preserve">25 (1): 81–104.</w:t>
      </w:r>
    </w:p>
    <w:bookmarkEnd w:id="94"/>
    <w:bookmarkStart w:id="96" w:name="ref-imbulana_arachchi_role_2021"/>
    <w:p>
      <w:pPr>
        <w:pStyle w:val="Bibliography"/>
      </w:pPr>
      <w:r>
        <w:t xml:space="preserve">Imbulana Arachchi, Janaki, and Shunsuke Managi. 2021.</w:t>
      </w:r>
      <w:r>
        <w:t xml:space="preserve"> </w:t>
      </w:r>
      <w:r>
        <w:t xml:space="preserve">“The Role of Social Capital in</w:t>
      </w:r>
      <w:r>
        <w:t xml:space="preserve"> </w:t>
      </w:r>
      <w:r>
        <w:t xml:space="preserve">COVID</w:t>
      </w:r>
      <w:r>
        <w:t xml:space="preserve">-19 Deaths.”</w:t>
      </w:r>
      <w:r>
        <w:t xml:space="preserve"> </w:t>
      </w:r>
      <w:r>
        <w:rPr>
          <w:iCs/>
          <w:i/>
        </w:rPr>
        <w:t xml:space="preserve">BMC Public Health</w:t>
      </w:r>
      <w:r>
        <w:t xml:space="preserve"> </w:t>
      </w:r>
      <w:r>
        <w:t xml:space="preserve">21 (1): 434.</w:t>
      </w:r>
      <w:r>
        <w:t xml:space="preserve"> </w:t>
      </w:r>
      <w:hyperlink r:id="rId95">
        <w:r>
          <w:rPr>
            <w:rStyle w:val="Hyperlink"/>
          </w:rPr>
          <w:t xml:space="preserve">https://doi.org/10.1186/s12889-021-10475-8</w:t>
        </w:r>
      </w:hyperlink>
      <w:r>
        <w:t xml:space="preserve">.</w:t>
      </w:r>
    </w:p>
    <w:bookmarkEnd w:id="96"/>
    <w:bookmarkStart w:id="98" w:name="ref-kim_us_2006"/>
    <w:p>
      <w:pPr>
        <w:pStyle w:val="Bibliography"/>
      </w:pPr>
      <w:r>
        <w:t xml:space="preserve">Kim, Daniel, S. V. Subramanian, Steven L. Gortmaker, and Ichiro Kawachi. 2006.</w:t>
      </w:r>
      <w:r>
        <w:t xml:space="preserve"> </w:t>
      </w:r>
      <w:r>
        <w:t xml:space="preserve">“</w:t>
      </w:r>
      <w:r>
        <w:t xml:space="preserve">US</w:t>
      </w:r>
      <w:r>
        <w:t xml:space="preserve"> </w:t>
      </w:r>
      <w:r>
        <w:t xml:space="preserve">State- and County-Level Social Capital in Relation to Obesity and Physical Inactivity: A Multilevel, Multivariable Analysis.”</w:t>
      </w:r>
      <w:r>
        <w:t xml:space="preserve"> </w:t>
      </w:r>
      <w:r>
        <w:rPr>
          <w:iCs/>
          <w:i/>
        </w:rPr>
        <w:t xml:space="preserve">Social Science &amp; Medicine (1982)</w:t>
      </w:r>
      <w:r>
        <w:t xml:space="preserve"> </w:t>
      </w:r>
      <w:r>
        <w:t xml:space="preserve">63 (4): 1045–59.</w:t>
      </w:r>
      <w:r>
        <w:t xml:space="preserve"> </w:t>
      </w:r>
      <w:hyperlink r:id="rId97">
        <w:r>
          <w:rPr>
            <w:rStyle w:val="Hyperlink"/>
          </w:rPr>
          <w:t xml:space="preserve">https://doi.org/10.1016/j.socscimed.2006.02.017</w:t>
        </w:r>
      </w:hyperlink>
      <w:r>
        <w:t xml:space="preserve">.</w:t>
      </w:r>
    </w:p>
    <w:bookmarkEnd w:id="98"/>
    <w:bookmarkStart w:id="100" w:name="ref-makridis_how_2021"/>
    <w:p>
      <w:pPr>
        <w:pStyle w:val="Bibliography"/>
      </w:pPr>
      <w:r>
        <w:t xml:space="preserve">Makridis, Christos A., and Cary Wu. 2021.</w:t>
      </w:r>
      <w:r>
        <w:t xml:space="preserve"> </w:t>
      </w:r>
      <w:r>
        <w:t xml:space="preserve">“How Social Capital Helps Communities Weather the</w:t>
      </w:r>
      <w:r>
        <w:t xml:space="preserve"> </w:t>
      </w:r>
      <w:r>
        <w:t xml:space="preserve">COVID</w:t>
      </w:r>
      <w:r>
        <w:t xml:space="preserve">-19 Pandemic.”</w:t>
      </w:r>
      <w:r>
        <w:t xml:space="preserve"> </w:t>
      </w:r>
      <w:r>
        <w:t xml:space="preserve">Edited by Jacob Freeman.</w:t>
      </w:r>
      <w:r>
        <w:t xml:space="preserve"> </w:t>
      </w:r>
      <w:r>
        <w:rPr>
          <w:iCs/>
          <w:i/>
        </w:rPr>
        <w:t xml:space="preserve">PLOS ONE</w:t>
      </w:r>
      <w:r>
        <w:t xml:space="preserve"> </w:t>
      </w:r>
      <w:r>
        <w:t xml:space="preserve">16 (1): e0245135.</w:t>
      </w:r>
      <w:r>
        <w:t xml:space="preserve"> </w:t>
      </w:r>
      <w:hyperlink r:id="rId99">
        <w:r>
          <w:rPr>
            <w:rStyle w:val="Hyperlink"/>
          </w:rPr>
          <w:t xml:space="preserve">https://doi.org/10.1371/journal.pone.0245135</w:t>
        </w:r>
      </w:hyperlink>
      <w:r>
        <w:t xml:space="preserve">.</w:t>
      </w:r>
    </w:p>
    <w:bookmarkEnd w:id="100"/>
    <w:bookmarkStart w:id="101" w:name="ref-murray_origins_2007"/>
    <w:p>
      <w:pPr>
        <w:pStyle w:val="Bibliography"/>
      </w:pPr>
      <w:r>
        <w:t xml:space="preserve">Murray, John E. 2007.</w:t>
      </w:r>
      <w:r>
        <w:t xml:space="preserve"> </w:t>
      </w:r>
      <w:r>
        <w:rPr>
          <w:iCs/>
          <w:i/>
        </w:rPr>
        <w:t xml:space="preserve">Origins of</w:t>
      </w:r>
      <w:r>
        <w:rPr>
          <w:iCs/>
          <w:i/>
        </w:rPr>
        <w:t xml:space="preserve"> </w:t>
      </w:r>
      <w:r>
        <w:rPr>
          <w:iCs/>
          <w:i/>
        </w:rPr>
        <w:t xml:space="preserve">American</w:t>
      </w:r>
      <w:r>
        <w:rPr>
          <w:iCs/>
          <w:i/>
        </w:rPr>
        <w:t xml:space="preserve"> </w:t>
      </w:r>
      <w:r>
        <w:rPr>
          <w:iCs/>
          <w:i/>
        </w:rPr>
        <w:t xml:space="preserve">Health Insurance: A History of Industrial Sickness Funds</w:t>
      </w:r>
      <w:r>
        <w:t xml:space="preserve">. Yale Series in Economic History. New Haven: Yale University Press.</w:t>
      </w:r>
    </w:p>
    <w:bookmarkEnd w:id="101"/>
    <w:bookmarkStart w:id="103" w:name="ref-nawa_association_2019"/>
    <w:p>
      <w:pPr>
        <w:pStyle w:val="Bibliography"/>
      </w:pPr>
      <w:r>
        <w:t xml:space="preserve">Nawa, Nobutoshi, and Takeo Fujiwara. 2019.</w:t>
      </w:r>
      <w:r>
        <w:t xml:space="preserve"> </w:t>
      </w:r>
      <w:r>
        <w:t xml:space="preserve">“Association Between Social Capital and Second Dose of Measles Vaccination in</w:t>
      </w:r>
      <w:r>
        <w:t xml:space="preserve"> </w:t>
      </w:r>
      <w:r>
        <w:t xml:space="preserve">Japan</w:t>
      </w:r>
      <w:r>
        <w:t xml:space="preserve">:</w:t>
      </w:r>
      <w:r>
        <w:t xml:space="preserve"> </w:t>
      </w:r>
      <w:r>
        <w:t xml:space="preserve">Results</w:t>
      </w:r>
      <w:r>
        <w:t xml:space="preserve"> </w:t>
      </w:r>
      <w:r>
        <w:t xml:space="preserve">from the</w:t>
      </w:r>
      <w:r>
        <w:t xml:space="preserve"> </w:t>
      </w:r>
      <w:r>
        <w:t xml:space="preserve">A</w:t>
      </w:r>
      <w:r>
        <w:t xml:space="preserve">-</w:t>
      </w:r>
      <w:r>
        <w:t xml:space="preserve">CHILD</w:t>
      </w:r>
      <w:r>
        <w:t xml:space="preserve"> </w:t>
      </w:r>
      <w:r>
        <w:t xml:space="preserve">Study.”</w:t>
      </w:r>
      <w:r>
        <w:t xml:space="preserve"> </w:t>
      </w:r>
      <w:r>
        <w:rPr>
          <w:iCs/>
          <w:i/>
        </w:rPr>
        <w:t xml:space="preserve">Vaccine</w:t>
      </w:r>
      <w:r>
        <w:t xml:space="preserve"> </w:t>
      </w:r>
      <w:r>
        <w:t xml:space="preserve">37 (6): 877–81.</w:t>
      </w:r>
      <w:r>
        <w:t xml:space="preserve"> </w:t>
      </w:r>
      <w:hyperlink r:id="rId102">
        <w:r>
          <w:rPr>
            <w:rStyle w:val="Hyperlink"/>
          </w:rPr>
          <w:t xml:space="preserve">https://doi.org/10.1016/j.vaccine.2018.12.037</w:t>
        </w:r>
      </w:hyperlink>
      <w:r>
        <w:t xml:space="preserve">.</w:t>
      </w:r>
    </w:p>
    <w:bookmarkEnd w:id="103"/>
    <w:bookmarkStart w:id="104" w:name="ref-north_institutions_1990"/>
    <w:p>
      <w:pPr>
        <w:pStyle w:val="Bibliography"/>
      </w:pPr>
      <w:r>
        <w:t xml:space="preserve">North, Douglass C. 1990.</w:t>
      </w:r>
      <w:r>
        <w:t xml:space="preserve"> </w:t>
      </w:r>
      <w:r>
        <w:rPr>
          <w:iCs/>
          <w:i/>
        </w:rPr>
        <w:t xml:space="preserve">Institutions, Institutional Change, and Economic Performance</w:t>
      </w:r>
      <w:r>
        <w:t xml:space="preserve">. The</w:t>
      </w:r>
      <w:r>
        <w:t xml:space="preserve"> </w:t>
      </w:r>
      <w:r>
        <w:t xml:space="preserve">Political</w:t>
      </w:r>
      <w:r>
        <w:t xml:space="preserve"> </w:t>
      </w:r>
      <w:r>
        <w:t xml:space="preserve">Economy of Institutions and Decisions. Cambridge ; New York: Cambridge University Press.</w:t>
      </w:r>
    </w:p>
    <w:bookmarkEnd w:id="104"/>
    <w:bookmarkStart w:id="105" w:name="ref-olmstead_arresting_2015"/>
    <w:p>
      <w:pPr>
        <w:pStyle w:val="Bibliography"/>
      </w:pPr>
      <w:r>
        <w:t xml:space="preserve">Olmstead, Alan L., and Paul W. Rhode. 2015.</w:t>
      </w:r>
      <w:r>
        <w:t xml:space="preserve"> </w:t>
      </w:r>
      <w:r>
        <w:rPr>
          <w:iCs/>
          <w:i/>
        </w:rPr>
        <w:t xml:space="preserve">Arresting</w:t>
      </w:r>
      <w:r>
        <w:rPr>
          <w:iCs/>
          <w:i/>
        </w:rPr>
        <w:t xml:space="preserve"> </w:t>
      </w:r>
      <w:r>
        <w:rPr>
          <w:iCs/>
          <w:i/>
        </w:rPr>
        <w:t xml:space="preserve">Contagion</w:t>
      </w:r>
      <w:r>
        <w:rPr>
          <w:iCs/>
          <w:i/>
        </w:rPr>
        <w:t xml:space="preserve">:</w:t>
      </w:r>
      <w:r>
        <w:rPr>
          <w:iCs/>
          <w:i/>
        </w:rPr>
        <w:t xml:space="preserve"> </w:t>
      </w:r>
      <w:r>
        <w:rPr>
          <w:iCs/>
          <w:i/>
        </w:rPr>
        <w:t xml:space="preserve">Science</w:t>
      </w:r>
      <w:r>
        <w:rPr>
          <w:iCs/>
          <w:i/>
        </w:rPr>
        <w:t xml:space="preserve">,</w:t>
      </w:r>
      <w:r>
        <w:rPr>
          <w:iCs/>
          <w:i/>
        </w:rPr>
        <w:t xml:space="preserve"> </w:t>
      </w:r>
      <w:r>
        <w:rPr>
          <w:iCs/>
          <w:i/>
        </w:rPr>
        <w:t xml:space="preserve">Policy</w:t>
      </w:r>
      <w:r>
        <w:rPr>
          <w:iCs/>
          <w:i/>
        </w:rPr>
        <w:t xml:space="preserve">, and</w:t>
      </w:r>
      <w:r>
        <w:rPr>
          <w:iCs/>
          <w:i/>
        </w:rPr>
        <w:t xml:space="preserve"> </w:t>
      </w:r>
      <w:r>
        <w:rPr>
          <w:iCs/>
          <w:i/>
        </w:rPr>
        <w:t xml:space="preserve">Conflicts</w:t>
      </w:r>
      <w:r>
        <w:rPr>
          <w:iCs/>
          <w:i/>
        </w:rPr>
        <w:t xml:space="preserve"> </w:t>
      </w:r>
      <w:r>
        <w:rPr>
          <w:iCs/>
          <w:i/>
        </w:rPr>
        <w:t xml:space="preserve">over</w:t>
      </w:r>
      <w:r>
        <w:rPr>
          <w:iCs/>
          <w:i/>
        </w:rPr>
        <w:t xml:space="preserve"> </w:t>
      </w:r>
      <w:r>
        <w:rPr>
          <w:iCs/>
          <w:i/>
        </w:rPr>
        <w:t xml:space="preserve">Animal</w:t>
      </w:r>
      <w:r>
        <w:rPr>
          <w:iCs/>
          <w:i/>
        </w:rPr>
        <w:t xml:space="preserve"> </w:t>
      </w:r>
      <w:r>
        <w:rPr>
          <w:iCs/>
          <w:i/>
        </w:rPr>
        <w:t xml:space="preserve">Disease</w:t>
      </w:r>
      <w:r>
        <w:rPr>
          <w:iCs/>
          <w:i/>
        </w:rPr>
        <w:t xml:space="preserve"> </w:t>
      </w:r>
      <w:r>
        <w:rPr>
          <w:iCs/>
          <w:i/>
        </w:rPr>
        <w:t xml:space="preserve">Control</w:t>
      </w:r>
      <w:r>
        <w:t xml:space="preserve">. Illustrated edition. Cambridge, Massachusetts: Harvard University Press.</w:t>
      </w:r>
    </w:p>
    <w:bookmarkEnd w:id="105"/>
    <w:bookmarkStart w:id="106" w:name="ref-ostrom_understanding_2005"/>
    <w:p>
      <w:pPr>
        <w:pStyle w:val="Bibliography"/>
      </w:pPr>
      <w:r>
        <w:t xml:space="preserve">Ostrom, Elinor. 2005.</w:t>
      </w:r>
      <w:r>
        <w:t xml:space="preserve"> </w:t>
      </w:r>
      <w:r>
        <w:rPr>
          <w:iCs/>
          <w:i/>
        </w:rPr>
        <w:t xml:space="preserve">Understanding</w:t>
      </w:r>
      <w:r>
        <w:rPr>
          <w:iCs/>
          <w:i/>
        </w:rPr>
        <w:t xml:space="preserve"> </w:t>
      </w:r>
      <w:r>
        <w:rPr>
          <w:iCs/>
          <w:i/>
        </w:rPr>
        <w:t xml:space="preserve">Institutional</w:t>
      </w:r>
      <w:r>
        <w:rPr>
          <w:iCs/>
          <w:i/>
        </w:rPr>
        <w:t xml:space="preserve"> </w:t>
      </w:r>
      <w:r>
        <w:rPr>
          <w:iCs/>
          <w:i/>
        </w:rPr>
        <w:t xml:space="preserve">Diversity</w:t>
      </w:r>
      <w:r>
        <w:t xml:space="preserve">. Illustrated edition. Princeton: Princeton University Press.</w:t>
      </w:r>
    </w:p>
    <w:bookmarkEnd w:id="106"/>
    <w:bookmarkStart w:id="108" w:name="ref-palanisamy_social_2018"/>
    <w:p>
      <w:pPr>
        <w:pStyle w:val="Bibliography"/>
      </w:pPr>
      <w:r>
        <w:t xml:space="preserve">Palanisamy, B., V. Gopichandran, and K. Kosalram. 2018.</w:t>
      </w:r>
      <w:r>
        <w:t xml:space="preserve"> </w:t>
      </w:r>
      <w:r>
        <w:t xml:space="preserve">“Social Capital, Trust in Health Information, and Acceptance of</w:t>
      </w:r>
      <w:r>
        <w:t xml:space="preserve"> </w:t>
      </w:r>
      <w:r>
        <w:t xml:space="preserve">Measles</w:t>
      </w:r>
      <w:r>
        <w:t xml:space="preserve">-</w:t>
      </w:r>
      <w:r>
        <w:t xml:space="preserve">Rubella</w:t>
      </w:r>
      <w:r>
        <w:t xml:space="preserve"> </w:t>
      </w:r>
      <w:r>
        <w:t xml:space="preserve">Vaccination Campaign in</w:t>
      </w:r>
      <w:r>
        <w:t xml:space="preserve"> </w:t>
      </w:r>
      <w:r>
        <w:t xml:space="preserve">Tamil</w:t>
      </w:r>
      <w:r>
        <w:t xml:space="preserve"> </w:t>
      </w:r>
      <w:r>
        <w:t xml:space="preserve">Nadu</w:t>
      </w:r>
      <w:r>
        <w:t xml:space="preserve">:</w:t>
      </w:r>
      <w:r>
        <w:t xml:space="preserve"> </w:t>
      </w:r>
      <w:r>
        <w:t xml:space="preserve">A</w:t>
      </w:r>
      <w:r>
        <w:t xml:space="preserve"> </w:t>
      </w:r>
      <w:r>
        <w:t xml:space="preserve">Case-Control Study.”</w:t>
      </w:r>
      <w:r>
        <w:t xml:space="preserve"> </w:t>
      </w:r>
      <w:r>
        <w:rPr>
          <w:iCs/>
          <w:i/>
        </w:rPr>
        <w:t xml:space="preserve">Journal of Postgraduate Medicine</w:t>
      </w:r>
      <w:r>
        <w:t xml:space="preserve"> </w:t>
      </w:r>
      <w:r>
        <w:t xml:space="preserve">64 (4): 212–19.</w:t>
      </w:r>
      <w:r>
        <w:t xml:space="preserve"> </w:t>
      </w:r>
      <w:hyperlink r:id="rId107">
        <w:r>
          <w:rPr>
            <w:rStyle w:val="Hyperlink"/>
          </w:rPr>
          <w:t xml:space="preserve">https://doi.org/10.4103/jpgm.JPGM_249_17</w:t>
        </w:r>
      </w:hyperlink>
      <w:r>
        <w:t xml:space="preserve">.</w:t>
      </w:r>
    </w:p>
    <w:bookmarkEnd w:id="108"/>
    <w:bookmarkStart w:id="110" w:name="ref-pitas_social_2020"/>
    <w:p>
      <w:pPr>
        <w:pStyle w:val="Bibliography"/>
      </w:pPr>
      <w:r>
        <w:t xml:space="preserve">Pitas, Nicholas, and Colin Ehmer. 2020.</w:t>
      </w:r>
      <w:r>
        <w:t xml:space="preserve"> </w:t>
      </w:r>
      <w:r>
        <w:t xml:space="preserve">“Social</w:t>
      </w:r>
      <w:r>
        <w:t xml:space="preserve"> </w:t>
      </w:r>
      <w:r>
        <w:t xml:space="preserve">Capital</w:t>
      </w:r>
      <w:r>
        <w:t xml:space="preserve"> </w:t>
      </w:r>
      <w:r>
        <w:t xml:space="preserve">in the</w:t>
      </w:r>
      <w:r>
        <w:t xml:space="preserve"> </w:t>
      </w:r>
      <w:r>
        <w:t xml:space="preserve">Response</w:t>
      </w:r>
      <w:r>
        <w:t xml:space="preserve"> </w:t>
      </w:r>
      <w:r>
        <w:t xml:space="preserve">to</w:t>
      </w:r>
      <w:r>
        <w:t xml:space="preserve"> </w:t>
      </w:r>
      <w:r>
        <w:t xml:space="preserve">COVID</w:t>
      </w:r>
      <w:r>
        <w:t xml:space="preserve">-19.”</w:t>
      </w:r>
      <w:r>
        <w:t xml:space="preserve"> </w:t>
      </w:r>
      <w:r>
        <w:rPr>
          <w:iCs/>
          <w:i/>
        </w:rPr>
        <w:t xml:space="preserve">American Journal of Health Promotion: AJHP</w:t>
      </w:r>
      <w:r>
        <w:t xml:space="preserve"> </w:t>
      </w:r>
      <w:r>
        <w:t xml:space="preserve">34 (8): 942–44.</w:t>
      </w:r>
      <w:r>
        <w:t xml:space="preserve"> </w:t>
      </w:r>
      <w:hyperlink r:id="rId109">
        <w:r>
          <w:rPr>
            <w:rStyle w:val="Hyperlink"/>
          </w:rPr>
          <w:t xml:space="preserve">https://doi.org/10.1177/0890117120924531</w:t>
        </w:r>
      </w:hyperlink>
      <w:r>
        <w:t xml:space="preserve">.</w:t>
      </w:r>
    </w:p>
    <w:bookmarkEnd w:id="110"/>
    <w:bookmarkStart w:id="111" w:name="ref-putnam_bowling_2001"/>
    <w:p>
      <w:pPr>
        <w:pStyle w:val="Bibliography"/>
      </w:pPr>
      <w:r>
        <w:t xml:space="preserve">Putnam, Robert D. 2001.</w:t>
      </w:r>
      <w:r>
        <w:t xml:space="preserve"> </w:t>
      </w:r>
      <w:r>
        <w:rPr>
          <w:iCs/>
          <w:i/>
        </w:rPr>
        <w:t xml:space="preserve">Bowling</w:t>
      </w:r>
      <w:r>
        <w:rPr>
          <w:iCs/>
          <w:i/>
        </w:rPr>
        <w:t xml:space="preserve"> </w:t>
      </w:r>
      <w:r>
        <w:rPr>
          <w:iCs/>
          <w:i/>
        </w:rPr>
        <w:t xml:space="preserve">Alone</w:t>
      </w:r>
      <w:r>
        <w:rPr>
          <w:iCs/>
          <w:i/>
        </w:rPr>
        <w:t xml:space="preserve">:</w:t>
      </w:r>
      <w:r>
        <w:rPr>
          <w:iCs/>
          <w:i/>
        </w:rPr>
        <w:t xml:space="preserve"> </w:t>
      </w:r>
      <w:r>
        <w:rPr>
          <w:iCs/>
          <w:i/>
        </w:rPr>
        <w:t xml:space="preserve">The</w:t>
      </w:r>
      <w:r>
        <w:rPr>
          <w:iCs/>
          <w:i/>
        </w:rPr>
        <w:t xml:space="preserve"> </w:t>
      </w:r>
      <w:r>
        <w:rPr>
          <w:iCs/>
          <w:i/>
        </w:rPr>
        <w:t xml:space="preserve">Collapse</w:t>
      </w:r>
      <w:r>
        <w:rPr>
          <w:iCs/>
          <w:i/>
        </w:rPr>
        <w:t xml:space="preserve"> </w:t>
      </w:r>
      <w:r>
        <w:rPr>
          <w:iCs/>
          <w:i/>
        </w:rPr>
        <w:t xml:space="preserve">and</w:t>
      </w:r>
      <w:r>
        <w:rPr>
          <w:iCs/>
          <w:i/>
        </w:rPr>
        <w:t xml:space="preserve"> </w:t>
      </w:r>
      <w:r>
        <w:rPr>
          <w:iCs/>
          <w:i/>
        </w:rPr>
        <w:t xml:space="preserve">Revival</w:t>
      </w:r>
      <w:r>
        <w:rPr>
          <w:iCs/>
          <w:i/>
        </w:rPr>
        <w:t xml:space="preserve"> </w:t>
      </w:r>
      <w:r>
        <w:rPr>
          <w:iCs/>
          <w:i/>
        </w:rPr>
        <w:t xml:space="preserve">of</w:t>
      </w:r>
      <w:r>
        <w:rPr>
          <w:iCs/>
          <w:i/>
        </w:rPr>
        <w:t xml:space="preserve"> </w:t>
      </w:r>
      <w:r>
        <w:rPr>
          <w:iCs/>
          <w:i/>
        </w:rPr>
        <w:t xml:space="preserve">American</w:t>
      </w:r>
      <w:r>
        <w:rPr>
          <w:iCs/>
          <w:i/>
        </w:rPr>
        <w:t xml:space="preserve"> </w:t>
      </w:r>
      <w:r>
        <w:rPr>
          <w:iCs/>
          <w:i/>
        </w:rPr>
        <w:t xml:space="preserve">Community</w:t>
      </w:r>
      <w:r>
        <w:t xml:space="preserve">. 1st edition. New York, NY: Touchstone Books by Simon &amp; Schuster.</w:t>
      </w:r>
    </w:p>
    <w:bookmarkEnd w:id="111"/>
    <w:bookmarkStart w:id="113" w:name="ref-ronnerstrand_social_2014"/>
    <w:p>
      <w:pPr>
        <w:pStyle w:val="Bibliography"/>
      </w:pPr>
      <w:r>
        <w:t xml:space="preserve">Rönnerstrand, B. 2014.</w:t>
      </w:r>
      <w:r>
        <w:t xml:space="preserve"> </w:t>
      </w:r>
      <w:r>
        <w:t xml:space="preserve">“Social Capital and Immunization Against the 2009</w:t>
      </w:r>
      <w:r>
        <w:t xml:space="preserve"> </w:t>
      </w:r>
      <w:r>
        <w:t xml:space="preserve">A</w:t>
      </w:r>
      <w:r>
        <w:t xml:space="preserve">(</w:t>
      </w:r>
      <w:r>
        <w:t xml:space="preserve">H1N1</w:t>
      </w:r>
      <w:r>
        <w:t xml:space="preserve">) Pandemic in the</w:t>
      </w:r>
      <w:r>
        <w:t xml:space="preserve"> </w:t>
      </w:r>
      <w:r>
        <w:t xml:space="preserve">American</w:t>
      </w:r>
      <w:r>
        <w:t xml:space="preserve"> </w:t>
      </w:r>
      <w:r>
        <w:t xml:space="preserve">States</w:t>
      </w:r>
      <w:r>
        <w:t xml:space="preserve">.”</w:t>
      </w:r>
      <w:r>
        <w:t xml:space="preserve"> </w:t>
      </w:r>
      <w:r>
        <w:rPr>
          <w:iCs/>
          <w:i/>
        </w:rPr>
        <w:t xml:space="preserve">Public Health</w:t>
      </w:r>
      <w:r>
        <w:t xml:space="preserve"> </w:t>
      </w:r>
      <w:r>
        <w:t xml:space="preserve">128 (8): 709–15.</w:t>
      </w:r>
      <w:r>
        <w:t xml:space="preserve"> </w:t>
      </w:r>
      <w:hyperlink r:id="rId112">
        <w:r>
          <w:rPr>
            <w:rStyle w:val="Hyperlink"/>
          </w:rPr>
          <w:t xml:space="preserve">https://doi.org/10.1016/j.puhe.2014.05.015</w:t>
        </w:r>
      </w:hyperlink>
      <w:r>
        <w:t xml:space="preserve">.</w:t>
      </w:r>
    </w:p>
    <w:bookmarkEnd w:id="113"/>
    <w:bookmarkStart w:id="115" w:name="ref-ronnerstrand_social_2013"/>
    <w:p>
      <w:pPr>
        <w:pStyle w:val="Bibliography"/>
      </w:pPr>
      <w:r>
        <w:t xml:space="preserve">Rönnerstrand, Björn. 2013.</w:t>
      </w:r>
      <w:r>
        <w:t xml:space="preserve"> </w:t>
      </w:r>
      <w:r>
        <w:t xml:space="preserve">“Social Capital and Immunisation Against the 2009</w:t>
      </w:r>
      <w:r>
        <w:t xml:space="preserve"> </w:t>
      </w:r>
      <w:r>
        <w:t xml:space="preserve">A</w:t>
      </w:r>
      <w:r>
        <w:t xml:space="preserve">(</w:t>
      </w:r>
      <w:r>
        <w:t xml:space="preserve">H1N1</w:t>
      </w:r>
      <w:r>
        <w:t xml:space="preserve">) Pandemic in</w:t>
      </w:r>
      <w:r>
        <w:t xml:space="preserve"> </w:t>
      </w:r>
      <w:r>
        <w:t xml:space="preserve">Sweden</w:t>
      </w:r>
      <w:r>
        <w:t xml:space="preserve">.”</w:t>
      </w:r>
      <w:r>
        <w:t xml:space="preserve"> </w:t>
      </w:r>
      <w:r>
        <w:rPr>
          <w:iCs/>
          <w:i/>
        </w:rPr>
        <w:t xml:space="preserve">Scandinavian Journal of Public Health</w:t>
      </w:r>
      <w:r>
        <w:t xml:space="preserve"> </w:t>
      </w:r>
      <w:r>
        <w:t xml:space="preserve">41 (8): 853–59.</w:t>
      </w:r>
      <w:r>
        <w:t xml:space="preserve"> </w:t>
      </w:r>
      <w:hyperlink r:id="rId114">
        <w:r>
          <w:rPr>
            <w:rStyle w:val="Hyperlink"/>
          </w:rPr>
          <w:t xml:space="preserve">https://doi.org/10.1177/1403494813494975</w:t>
        </w:r>
      </w:hyperlink>
      <w:r>
        <w:t xml:space="preserve">.</w:t>
      </w:r>
    </w:p>
    <w:bookmarkEnd w:id="115"/>
    <w:bookmarkStart w:id="117" w:name="ref-noauthor_social_nodate"/>
    <w:p>
      <w:pPr>
        <w:pStyle w:val="Bibliography"/>
      </w:pPr>
      <w:r>
        <w:rPr>
          <w:iCs/>
          <w:i/>
        </w:rPr>
        <w:t xml:space="preserve">Social</w:t>
      </w:r>
      <w:r>
        <w:rPr>
          <w:iCs/>
          <w:i/>
        </w:rPr>
        <w:t xml:space="preserve"> </w:t>
      </w:r>
      <w:r>
        <w:rPr>
          <w:iCs/>
          <w:i/>
        </w:rPr>
        <w:t xml:space="preserve">Capital</w:t>
      </w:r>
      <w:r>
        <w:rPr>
          <w:iCs/>
          <w:i/>
        </w:rPr>
        <w:t xml:space="preserve"> </w:t>
      </w:r>
      <w:r>
        <w:rPr>
          <w:iCs/>
          <w:i/>
        </w:rPr>
        <w:t xml:space="preserve">Project</w:t>
      </w:r>
      <w:r>
        <w:rPr>
          <w:iCs/>
          <w:i/>
        </w:rPr>
        <w:t xml:space="preserve"> </w:t>
      </w:r>
      <w:r>
        <w:rPr>
          <w:iCs/>
          <w:i/>
        </w:rPr>
        <w:t xml:space="preserve">-</w:t>
      </w:r>
      <w:r>
        <w:rPr>
          <w:iCs/>
          <w:i/>
        </w:rPr>
        <w:t xml:space="preserve"> </w:t>
      </w:r>
      <w:r>
        <w:rPr>
          <w:iCs/>
          <w:i/>
        </w:rPr>
        <w:t xml:space="preserve">United</w:t>
      </w:r>
      <w:r>
        <w:rPr>
          <w:iCs/>
          <w:i/>
        </w:rPr>
        <w:t xml:space="preserve"> </w:t>
      </w:r>
      <w:r>
        <w:rPr>
          <w:iCs/>
          <w:i/>
        </w:rPr>
        <w:t xml:space="preserve">States</w:t>
      </w:r>
      <w:r>
        <w:rPr>
          <w:iCs/>
          <w:i/>
        </w:rPr>
        <w:t xml:space="preserve"> </w:t>
      </w:r>
      <w:r>
        <w:rPr>
          <w:iCs/>
          <w:i/>
        </w:rPr>
        <w:t xml:space="preserve">Joint</w:t>
      </w:r>
      <w:r>
        <w:rPr>
          <w:iCs/>
          <w:i/>
        </w:rPr>
        <w:t xml:space="preserve"> </w:t>
      </w:r>
      <w:r>
        <w:rPr>
          <w:iCs/>
          <w:i/>
        </w:rPr>
        <w:t xml:space="preserve">Economic</w:t>
      </w:r>
      <w:r>
        <w:rPr>
          <w:iCs/>
          <w:i/>
        </w:rPr>
        <w:t xml:space="preserve"> </w:t>
      </w:r>
      <w:r>
        <w:rPr>
          <w:iCs/>
          <w:i/>
        </w:rPr>
        <w:t xml:space="preserve">Committee</w:t>
      </w:r>
      <w:r>
        <w:t xml:space="preserve">. n.d. Accessed December 31, 2020.</w:t>
      </w:r>
      <w:r>
        <w:t xml:space="preserve"> </w:t>
      </w:r>
      <w:hyperlink r:id="rId116">
        <w:r>
          <w:rPr>
            <w:rStyle w:val="Hyperlink"/>
          </w:rPr>
          <w:t xml:space="preserve">https://www.jec.senate.gov/public/index.cfm/republicans/socialcapitalproject</w:t>
        </w:r>
      </w:hyperlink>
      <w:r>
        <w:t xml:space="preserve">.</w:t>
      </w:r>
    </w:p>
    <w:bookmarkEnd w:id="117"/>
    <w:bookmarkStart w:id="118" w:name="ref-storr_understanding_2015"/>
    <w:p>
      <w:pPr>
        <w:pStyle w:val="Bibliography"/>
      </w:pPr>
      <w:r>
        <w:t xml:space="preserve">Storr, Virgil Henry. 2015.</w:t>
      </w:r>
      <w:r>
        <w:t xml:space="preserve"> </w:t>
      </w:r>
      <w:r>
        <w:rPr>
          <w:iCs/>
          <w:i/>
        </w:rPr>
        <w:t xml:space="preserve">Understanding the Culture of Markets /</w:t>
      </w:r>
      <w:r>
        <w:rPr>
          <w:iCs/>
          <w:i/>
        </w:rPr>
        <w:t xml:space="preserve"> </w:t>
      </w:r>
      <w:r>
        <w:rPr>
          <w:iCs/>
          <w:i/>
        </w:rPr>
        <w:t xml:space="preserve">Virgil</w:t>
      </w:r>
      <w:r>
        <w:rPr>
          <w:iCs/>
          <w:i/>
        </w:rPr>
        <w:t xml:space="preserve"> </w:t>
      </w:r>
      <w:r>
        <w:rPr>
          <w:iCs/>
          <w:i/>
        </w:rPr>
        <w:t xml:space="preserve">Henry</w:t>
      </w:r>
      <w:r>
        <w:rPr>
          <w:iCs/>
          <w:i/>
        </w:rPr>
        <w:t xml:space="preserve"> </w:t>
      </w:r>
      <w:r>
        <w:rPr>
          <w:iCs/>
          <w:i/>
        </w:rPr>
        <w:t xml:space="preserve">Storr</w:t>
      </w:r>
      <w:r>
        <w:rPr>
          <w:iCs/>
          <w:i/>
        </w:rPr>
        <w:t xml:space="preserve">.</w:t>
      </w:r>
      <w:r>
        <w:t xml:space="preserve"> Abingdon, Oxfordshire: Routledge.</w:t>
      </w:r>
    </w:p>
    <w:bookmarkEnd w:id="118"/>
    <w:bookmarkStart w:id="119" w:name="ref-storr_virgil_henry_crisis_2021"/>
    <w:p>
      <w:pPr>
        <w:pStyle w:val="Bibliography"/>
      </w:pPr>
      <w:r>
        <w:t xml:space="preserve">Storr, Virgil Henry, and Stefanie Haeffele. 2021.</w:t>
      </w:r>
      <w:r>
        <w:t xml:space="preserve"> </w:t>
      </w:r>
      <w:r>
        <w:t xml:space="preserve">“Crisis as a</w:t>
      </w:r>
      <w:r>
        <w:t xml:space="preserve"> </w:t>
      </w:r>
      <w:r>
        <w:t xml:space="preserve">Source</w:t>
      </w:r>
      <w:r>
        <w:t xml:space="preserve"> </w:t>
      </w:r>
      <w:r>
        <w:t xml:space="preserve">of</w:t>
      </w:r>
      <w:r>
        <w:t xml:space="preserve"> </w:t>
      </w:r>
      <w:r>
        <w:t xml:space="preserve">Social</w:t>
      </w:r>
      <w:r>
        <w:t xml:space="preserve"> </w:t>
      </w:r>
      <w:r>
        <w:t xml:space="preserve">Capital</w:t>
      </w:r>
      <w:r>
        <w:t xml:space="preserve">:</w:t>
      </w:r>
      <w:r>
        <w:t xml:space="preserve"> </w:t>
      </w:r>
      <w:r>
        <w:t xml:space="preserve">Adaptation</w:t>
      </w:r>
      <w:r>
        <w:t xml:space="preserve"> </w:t>
      </w:r>
      <w:r>
        <w:t xml:space="preserve">and</w:t>
      </w:r>
      <w:r>
        <w:t xml:space="preserve"> </w:t>
      </w:r>
      <w:r>
        <w:t xml:space="preserve">Formation</w:t>
      </w:r>
      <w:r>
        <w:t xml:space="preserve"> </w:t>
      </w:r>
      <w:r>
        <w:t xml:space="preserve">of</w:t>
      </w:r>
      <w:r>
        <w:t xml:space="preserve"> </w:t>
      </w:r>
      <w:r>
        <w:t xml:space="preserve">Social</w:t>
      </w:r>
      <w:r>
        <w:t xml:space="preserve"> </w:t>
      </w:r>
      <w:r>
        <w:t xml:space="preserve">Capital</w:t>
      </w:r>
      <w:r>
        <w:t xml:space="preserve"> </w:t>
      </w:r>
      <w:r>
        <w:t xml:space="preserve">During the</w:t>
      </w:r>
      <w:r>
        <w:t xml:space="preserve"> </w:t>
      </w:r>
      <w:r>
        <w:t xml:space="preserve">COVID</w:t>
      </w:r>
      <w:r>
        <w:t xml:space="preserve">-19</w:t>
      </w:r>
      <w:r>
        <w:t xml:space="preserve"> </w:t>
      </w:r>
      <w:r>
        <w:t xml:space="preserve">Pandemic</w:t>
      </w:r>
      <w:r>
        <w:t xml:space="preserve">.”</w:t>
      </w:r>
      <w:r>
        <w:t xml:space="preserve"> </w:t>
      </w:r>
      <w:r>
        <w:rPr>
          <w:iCs/>
          <w:i/>
        </w:rPr>
        <w:t xml:space="preserve">Cosmos + Taxis</w:t>
      </w:r>
      <w:r>
        <w:t xml:space="preserve"> </w:t>
      </w:r>
      <w:r>
        <w:t xml:space="preserve">9 (5 + 6): 94–108.</w:t>
      </w:r>
    </w:p>
    <w:bookmarkEnd w:id="119"/>
    <w:bookmarkStart w:id="121" w:name="ref-townsend_outcomes_2020"/>
    <w:p>
      <w:pPr>
        <w:pStyle w:val="Bibliography"/>
      </w:pPr>
      <w:r>
        <w:t xml:space="preserve">Townsend, Matthew J., Theodore K. Kyle, and Fatima Cody Stanford. 2020.</w:t>
      </w:r>
      <w:r>
        <w:t xml:space="preserve"> </w:t>
      </w:r>
      <w:r>
        <w:t xml:space="preserve">“Outcomes of</w:t>
      </w:r>
      <w:r>
        <w:t xml:space="preserve"> </w:t>
      </w:r>
      <w:r>
        <w:t xml:space="preserve">COVID</w:t>
      </w:r>
      <w:r>
        <w:t xml:space="preserve">-19: Disparities in Obesity and by Ethnicity/Race.”</w:t>
      </w:r>
      <w:r>
        <w:t xml:space="preserve"> </w:t>
      </w:r>
      <w:r>
        <w:rPr>
          <w:iCs/>
          <w:i/>
        </w:rPr>
        <w:t xml:space="preserve">International Journal of Obesity</w:t>
      </w:r>
      <w:r>
        <w:t xml:space="preserve"> </w:t>
      </w:r>
      <w:r>
        <w:t xml:space="preserve">44 (9): 1807–9.</w:t>
      </w:r>
      <w:r>
        <w:t xml:space="preserve"> </w:t>
      </w:r>
      <w:hyperlink r:id="rId120">
        <w:r>
          <w:rPr>
            <w:rStyle w:val="Hyperlink"/>
          </w:rPr>
          <w:t xml:space="preserve">https://doi.org/10.1038/s41366-020-0635-2</w:t>
        </w:r>
      </w:hyperlink>
      <w:r>
        <w:t xml:space="preserve">.</w:t>
      </w:r>
    </w:p>
    <w:bookmarkEnd w:id="121"/>
    <w:bookmarkStart w:id="122" w:name="ref-troesken_pox_2015"/>
    <w:p>
      <w:pPr>
        <w:pStyle w:val="Bibliography"/>
      </w:pPr>
      <w:r>
        <w:t xml:space="preserve">Troesken, Werner. 2015.</w:t>
      </w:r>
      <w:r>
        <w:t xml:space="preserve"> </w:t>
      </w:r>
      <w:r>
        <w:rPr>
          <w:iCs/>
          <w:i/>
        </w:rPr>
        <w:t xml:space="preserve">The Pox of Liberty: How the</w:t>
      </w:r>
      <w:r>
        <w:rPr>
          <w:iCs/>
          <w:i/>
        </w:rPr>
        <w:t xml:space="preserve"> </w:t>
      </w:r>
      <w:r>
        <w:rPr>
          <w:iCs/>
          <w:i/>
        </w:rPr>
        <w:t xml:space="preserve">Constitution</w:t>
      </w:r>
      <w:r>
        <w:rPr>
          <w:iCs/>
          <w:i/>
        </w:rPr>
        <w:t xml:space="preserve"> </w:t>
      </w:r>
      <w:r>
        <w:rPr>
          <w:iCs/>
          <w:i/>
        </w:rPr>
        <w:t xml:space="preserve">Left</w:t>
      </w:r>
      <w:r>
        <w:rPr>
          <w:iCs/>
          <w:i/>
        </w:rPr>
        <w:t xml:space="preserve"> </w:t>
      </w:r>
      <w:r>
        <w:rPr>
          <w:iCs/>
          <w:i/>
        </w:rPr>
        <w:t xml:space="preserve">Americans</w:t>
      </w:r>
      <w:r>
        <w:rPr>
          <w:iCs/>
          <w:i/>
        </w:rPr>
        <w:t xml:space="preserve"> </w:t>
      </w:r>
      <w:r>
        <w:rPr>
          <w:iCs/>
          <w:i/>
        </w:rPr>
        <w:t xml:space="preserve">Rich, Free, and Prone to Infection</w:t>
      </w:r>
      <w:r>
        <w:t xml:space="preserve">. Markets and Governments in Economic History. Chicago: The University of Chicago Press.</w:t>
      </w:r>
    </w:p>
    <w:bookmarkEnd w:id="122"/>
    <w:bookmarkStart w:id="123" w:name="ref-vachris_role_2017"/>
    <w:p>
      <w:pPr>
        <w:pStyle w:val="Bibliography"/>
      </w:pPr>
      <w:r>
        <w:t xml:space="preserve">Vachris, Michelle Albert, and Justin P. Isaacs. 2017.</w:t>
      </w:r>
      <w:r>
        <w:t xml:space="preserve"> </w:t>
      </w:r>
      <w:r>
        <w:t xml:space="preserve">“The</w:t>
      </w:r>
      <w:r>
        <w:t xml:space="preserve"> </w:t>
      </w:r>
      <w:r>
        <w:t xml:space="preserve">Role</w:t>
      </w:r>
      <w:r>
        <w:t xml:space="preserve"> </w:t>
      </w:r>
      <w:r>
        <w:t xml:space="preserve">of</w:t>
      </w:r>
      <w:r>
        <w:t xml:space="preserve"> </w:t>
      </w:r>
      <w:r>
        <w:t xml:space="preserve">Cultural</w:t>
      </w:r>
      <w:r>
        <w:t xml:space="preserve"> </w:t>
      </w:r>
      <w:r>
        <w:t xml:space="preserve">Values</w:t>
      </w:r>
      <w:r>
        <w:t xml:space="preserve"> </w:t>
      </w:r>
      <w:r>
        <w:t xml:space="preserve">in the</w:t>
      </w:r>
      <w:r>
        <w:t xml:space="preserve"> </w:t>
      </w:r>
      <w:r>
        <w:t xml:space="preserve">Formation</w:t>
      </w:r>
      <w:r>
        <w:t xml:space="preserve"> </w:t>
      </w:r>
      <w:r>
        <w:t xml:space="preserve">and</w:t>
      </w:r>
      <w:r>
        <w:t xml:space="preserve"> </w:t>
      </w:r>
      <w:r>
        <w:t xml:space="preserve">Survival</w:t>
      </w:r>
      <w:r>
        <w:t xml:space="preserve"> </w:t>
      </w:r>
      <w:r>
        <w:t xml:space="preserve">of</w:t>
      </w:r>
      <w:r>
        <w:t xml:space="preserve"> </w:t>
      </w:r>
      <w:r>
        <w:t xml:space="preserve">Pro</w:t>
      </w:r>
      <w:r>
        <w:t xml:space="preserve">-</w:t>
      </w:r>
      <w:r>
        <w:t xml:space="preserve">Growth</w:t>
      </w:r>
      <w:r>
        <w:t xml:space="preserve"> </w:t>
      </w:r>
      <w:r>
        <w:t xml:space="preserve">Institutions</w:t>
      </w:r>
      <w:r>
        <w:t xml:space="preserve">.”</w:t>
      </w:r>
      <w:r>
        <w:t xml:space="preserve"> </w:t>
      </w:r>
      <w:r>
        <w:rPr>
          <w:iCs/>
          <w:i/>
        </w:rPr>
        <w:t xml:space="preserve">The Journal of Private Enterprise</w:t>
      </w:r>
      <w:r>
        <w:t xml:space="preserve"> </w:t>
      </w:r>
      <w:r>
        <w:t xml:space="preserve">32 (1): 89–113.</w:t>
      </w:r>
    </w:p>
    <w:bookmarkEnd w:id="123"/>
    <w:bookmarkStart w:id="125" w:name="ref-williamson_informal_2009"/>
    <w:p>
      <w:pPr>
        <w:pStyle w:val="Bibliography"/>
      </w:pPr>
      <w:r>
        <w:t xml:space="preserve">Williamson, Claudia R. 2009.</w:t>
      </w:r>
      <w:r>
        <w:t xml:space="preserve"> </w:t>
      </w:r>
      <w:r>
        <w:t xml:space="preserve">“Informal Institutions Rule: Institutional Arrangements and Economic Performance.”</w:t>
      </w:r>
      <w:r>
        <w:t xml:space="preserve"> </w:t>
      </w:r>
      <w:r>
        <w:rPr>
          <w:iCs/>
          <w:i/>
        </w:rPr>
        <w:t xml:space="preserve">Public Choice</w:t>
      </w:r>
      <w:r>
        <w:t xml:space="preserve"> </w:t>
      </w:r>
      <w:r>
        <w:t xml:space="preserve">139 (3): 371–87.</w:t>
      </w:r>
      <w:r>
        <w:t xml:space="preserve"> </w:t>
      </w:r>
      <w:hyperlink r:id="rId124">
        <w:r>
          <w:rPr>
            <w:rStyle w:val="Hyperlink"/>
          </w:rPr>
          <w:t xml:space="preserve">https://doi.org/10.1007/s11127-009-9399-x</w:t>
        </w:r>
      </w:hyperlink>
      <w:r>
        <w:t xml:space="preserve">.</w:t>
      </w:r>
    </w:p>
    <w:bookmarkEnd w:id="125"/>
    <w:bookmarkStart w:id="126" w:name="ref-williamson_civilizing_2011"/>
    <w:p>
      <w:pPr>
        <w:pStyle w:val="Bibliography"/>
      </w:pPr>
      <w:r>
        <w:t xml:space="preserve">———. 2011.</w:t>
      </w:r>
      <w:r>
        <w:t xml:space="preserve"> </w:t>
      </w:r>
      <w:r>
        <w:t xml:space="preserve">“Civilizing</w:t>
      </w:r>
      <w:r>
        <w:t xml:space="preserve"> </w:t>
      </w:r>
      <w:r>
        <w:t xml:space="preserve">Society</w:t>
      </w:r>
      <w:r>
        <w:t xml:space="preserve">.”</w:t>
      </w:r>
      <w:r>
        <w:t xml:space="preserve"> </w:t>
      </w:r>
      <w:r>
        <w:rPr>
          <w:iCs/>
          <w:i/>
        </w:rPr>
        <w:t xml:space="preserve">The Journal of Private Enterprise</w:t>
      </w:r>
      <w:r>
        <w:t xml:space="preserve"> </w:t>
      </w:r>
      <w:r>
        <w:t xml:space="preserve">27 (1): 99–120.</w:t>
      </w:r>
    </w:p>
    <w:bookmarkEnd w:id="126"/>
    <w:bookmarkStart w:id="128" w:name="ref-williamson_securing_2011"/>
    <w:p>
      <w:pPr>
        <w:pStyle w:val="Bibliography"/>
      </w:pPr>
      <w:r>
        <w:t xml:space="preserve">Williamson, Claudia, and Carrie B. Kerekes. 2011.</w:t>
      </w:r>
      <w:r>
        <w:t xml:space="preserve"> </w:t>
      </w:r>
      <w:r>
        <w:t xml:space="preserve">“Securing</w:t>
      </w:r>
      <w:r>
        <w:t xml:space="preserve"> </w:t>
      </w:r>
      <w:r>
        <w:t xml:space="preserve">Private</w:t>
      </w:r>
      <w:r>
        <w:t xml:space="preserve"> </w:t>
      </w:r>
      <w:r>
        <w:t xml:space="preserve">Property</w:t>
      </w:r>
      <w:r>
        <w:t xml:space="preserve">:</w:t>
      </w:r>
      <w:r>
        <w:t xml:space="preserve"> </w:t>
      </w:r>
      <w:r>
        <w:t xml:space="preserve">Formal</w:t>
      </w:r>
      <w:r>
        <w:t xml:space="preserve"> </w:t>
      </w:r>
      <w:r>
        <w:t xml:space="preserve">Versus</w:t>
      </w:r>
      <w:r>
        <w:t xml:space="preserve"> </w:t>
      </w:r>
      <w:r>
        <w:t xml:space="preserve">Informal</w:t>
      </w:r>
      <w:r>
        <w:t xml:space="preserve"> </w:t>
      </w:r>
      <w:r>
        <w:t xml:space="preserve">Institutions</w:t>
      </w:r>
      <w:r>
        <w:t xml:space="preserve">.”</w:t>
      </w:r>
      <w:r>
        <w:t xml:space="preserve"> </w:t>
      </w:r>
      <w:r>
        <w:rPr>
          <w:iCs/>
          <w:i/>
        </w:rPr>
        <w:t xml:space="preserve">Journal of Law and Economics</w:t>
      </w:r>
      <w:r>
        <w:t xml:space="preserve"> </w:t>
      </w:r>
      <w:r>
        <w:t xml:space="preserve">54 (3): 537–72.</w:t>
      </w:r>
      <w:r>
        <w:t xml:space="preserve"> </w:t>
      </w:r>
      <w:hyperlink r:id="rId127">
        <w:r>
          <w:rPr>
            <w:rStyle w:val="Hyperlink"/>
          </w:rPr>
          <w:t xml:space="preserve">https://econpapers.repec.org/article/ucpjlawec/doi_3a10.1086_2f658493.htm</w:t>
        </w:r>
      </w:hyperlink>
      <w:r>
        <w:t xml:space="preserve">.</w:t>
      </w:r>
    </w:p>
    <w:bookmarkEnd w:id="128"/>
    <w:bookmarkStart w:id="130" w:name="ref-wong_social_2020"/>
    <w:p>
      <w:pPr>
        <w:pStyle w:val="Bibliography"/>
      </w:pPr>
      <w:r>
        <w:t xml:space="preserve">Wong, Anna S. Y., and Jillian C. Kohler. 2020.</w:t>
      </w:r>
      <w:r>
        <w:t xml:space="preserve"> </w:t>
      </w:r>
      <w:r>
        <w:t xml:space="preserve">“Social Capital and Public Health: Responding to the</w:t>
      </w:r>
      <w:r>
        <w:t xml:space="preserve"> </w:t>
      </w:r>
      <w:r>
        <w:t xml:space="preserve">COVID</w:t>
      </w:r>
      <w:r>
        <w:t xml:space="preserve">-19 Pandemic.”</w:t>
      </w:r>
      <w:r>
        <w:t xml:space="preserve"> </w:t>
      </w:r>
      <w:r>
        <w:rPr>
          <w:iCs/>
          <w:i/>
        </w:rPr>
        <w:t xml:space="preserve">Globalization and Health</w:t>
      </w:r>
      <w:r>
        <w:t xml:space="preserve"> </w:t>
      </w:r>
      <w:r>
        <w:t xml:space="preserve">16 (1): 88.</w:t>
      </w:r>
      <w:r>
        <w:t xml:space="preserve"> </w:t>
      </w:r>
      <w:hyperlink r:id="rId129">
        <w:r>
          <w:rPr>
            <w:rStyle w:val="Hyperlink"/>
          </w:rPr>
          <w:t xml:space="preserve">https://doi.org/10.1186/s12992-020-00615-x</w:t>
        </w:r>
      </w:hyperlink>
      <w:r>
        <w:t xml:space="preserve">.</w:t>
      </w:r>
    </w:p>
    <w:bookmarkEnd w:id="130"/>
    <w:bookmarkStart w:id="132" w:name="ref-wright_poverty_2020"/>
    <w:p>
      <w:pPr>
        <w:pStyle w:val="Bibliography"/>
      </w:pPr>
      <w:r>
        <w:t xml:space="preserve">Wright, Austin L., Konstantin Sonin, Jesse Driscoll, and Jarnickae Wilson. 2020.</w:t>
      </w:r>
      <w:r>
        <w:t xml:space="preserve"> </w:t>
      </w:r>
      <w:r>
        <w:t xml:space="preserve">“Poverty and Economic Dislocation Reduce Compliance with</w:t>
      </w:r>
      <w:r>
        <w:t xml:space="preserve"> </w:t>
      </w:r>
      <w:r>
        <w:t xml:space="preserve">COVID</w:t>
      </w:r>
      <w:r>
        <w:t xml:space="preserve">-19 Shelter-in-Place Protocols.”</w:t>
      </w:r>
      <w:r>
        <w:t xml:space="preserve"> </w:t>
      </w:r>
      <w:r>
        <w:rPr>
          <w:iCs/>
          <w:i/>
        </w:rPr>
        <w:t xml:space="preserve">Journal of Economic Behavior &amp; Organization</w:t>
      </w:r>
      <w:r>
        <w:t xml:space="preserve"> </w:t>
      </w:r>
      <w:r>
        <w:t xml:space="preserve">180 (December): 544–54.</w:t>
      </w:r>
      <w:r>
        <w:t xml:space="preserve"> </w:t>
      </w:r>
      <w:hyperlink r:id="rId131">
        <w:r>
          <w:rPr>
            <w:rStyle w:val="Hyperlink"/>
          </w:rPr>
          <w:t xml:space="preserve">https://doi.org/10.1016/j.jebo.2020.10.008</w:t>
        </w:r>
      </w:hyperlink>
      <w:r>
        <w:t xml:space="preserve">.</w:t>
      </w:r>
    </w:p>
    <w:bookmarkEnd w:id="132"/>
    <w:bookmarkStart w:id="134" w:name="ref-wu_social_2020"/>
    <w:p>
      <w:pPr>
        <w:pStyle w:val="Bibliography"/>
      </w:pPr>
      <w:r>
        <w:t xml:space="preserve">Wu, Cary. 2020.</w:t>
      </w:r>
      <w:r>
        <w:t xml:space="preserve"> </w:t>
      </w:r>
      <w:r>
        <w:t xml:space="preserve">“Social Capital and</w:t>
      </w:r>
      <w:r>
        <w:t xml:space="preserve"> </w:t>
      </w:r>
      <w:r>
        <w:t xml:space="preserve">COVID</w:t>
      </w:r>
      <w:r>
        <w:t xml:space="preserve">-19: A Multidimensional and Multilevel Approach.”</w:t>
      </w:r>
      <w:r>
        <w:t xml:space="preserve"> </w:t>
      </w:r>
      <w:r>
        <w:rPr>
          <w:iCs/>
          <w:i/>
        </w:rPr>
        <w:t xml:space="preserve">Chinese Sociological Review</w:t>
      </w:r>
      <w:r>
        <w:t xml:space="preserve">, October, 1–28.</w:t>
      </w:r>
      <w:r>
        <w:t xml:space="preserve"> </w:t>
      </w:r>
      <w:hyperlink r:id="rId133">
        <w:r>
          <w:rPr>
            <w:rStyle w:val="Hyperlink"/>
          </w:rPr>
          <w:t xml:space="preserve">https://doi.org/10.1080/21620555.2020.1814139</w:t>
        </w:r>
      </w:hyperlink>
      <w:r>
        <w:t xml:space="preserve">.</w:t>
      </w:r>
    </w:p>
    <w:bookmarkEnd w:id="134"/>
    <w:bookmarkStart w:id="135" w:name="ref-wu_social_2020-1"/>
    <w:p>
      <w:pPr>
        <w:pStyle w:val="Bibliography"/>
      </w:pPr>
      <w:r>
        <w:t xml:space="preserve">Wu, Cary, Rima Wilkes, Malcolm Fairbrother, and Giuseppe Giordano. 2020.</w:t>
      </w:r>
      <w:r>
        <w:t xml:space="preserve"> </w:t>
      </w:r>
      <w:r>
        <w:t xml:space="preserve">“Social</w:t>
      </w:r>
      <w:r>
        <w:t xml:space="preserve"> </w:t>
      </w:r>
      <w:r>
        <w:t xml:space="preserve">Capital</w:t>
      </w:r>
      <w:r>
        <w:t xml:space="preserve">,</w:t>
      </w:r>
      <w:r>
        <w:t xml:space="preserve"> </w:t>
      </w:r>
      <w:r>
        <w:t xml:space="preserve">Trust</w:t>
      </w:r>
      <w:r>
        <w:t xml:space="preserve">, and</w:t>
      </w:r>
      <w:r>
        <w:t xml:space="preserve"> </w:t>
      </w:r>
      <w:r>
        <w:t xml:space="preserve">State</w:t>
      </w:r>
      <w:r>
        <w:t xml:space="preserve"> </w:t>
      </w:r>
      <w:r>
        <w:t xml:space="preserve">Coronavirus</w:t>
      </w:r>
      <w:r>
        <w:t xml:space="preserve"> </w:t>
      </w:r>
      <w:r>
        <w:t xml:space="preserve">Testing</w:t>
      </w:r>
      <w:r>
        <w:t xml:space="preserve">.”</w:t>
      </w:r>
      <w:r>
        <w:t xml:space="preserve"> </w:t>
      </w:r>
      <w:r>
        <w:rPr>
          <w:iCs/>
          <w:i/>
        </w:rPr>
        <w:t xml:space="preserve">Contexts</w:t>
      </w:r>
      <w:r>
        <w:t xml:space="preserve">, March.</w:t>
      </w:r>
    </w:p>
    <w:bookmarkEnd w:id="135"/>
    <w:bookmarkStart w:id="137" w:name="ref-yancy_covid-19_2020"/>
    <w:p>
      <w:pPr>
        <w:pStyle w:val="Bibliography"/>
      </w:pPr>
      <w:r>
        <w:t xml:space="preserve">Yancy, Clyde W. 2020.</w:t>
      </w:r>
      <w:r>
        <w:t xml:space="preserve"> </w:t>
      </w:r>
      <w:r>
        <w:t xml:space="preserve">“</w:t>
      </w:r>
      <w:r>
        <w:t xml:space="preserve">COVID</w:t>
      </w:r>
      <w:r>
        <w:t xml:space="preserve">-19 and</w:t>
      </w:r>
      <w:r>
        <w:t xml:space="preserve"> </w:t>
      </w:r>
      <w:r>
        <w:t xml:space="preserve">African</w:t>
      </w:r>
      <w:r>
        <w:t xml:space="preserve"> </w:t>
      </w:r>
      <w:r>
        <w:t xml:space="preserve">Americans</w:t>
      </w:r>
      <w:r>
        <w:t xml:space="preserve">.”</w:t>
      </w:r>
      <w:r>
        <w:t xml:space="preserve"> </w:t>
      </w:r>
      <w:r>
        <w:rPr>
          <w:iCs/>
          <w:i/>
        </w:rPr>
        <w:t xml:space="preserve">JAMA</w:t>
      </w:r>
      <w:r>
        <w:t xml:space="preserve"> </w:t>
      </w:r>
      <w:r>
        <w:t xml:space="preserve">323 (19): 1891.</w:t>
      </w:r>
      <w:r>
        <w:t xml:space="preserve"> </w:t>
      </w:r>
      <w:hyperlink r:id="rId136">
        <w:r>
          <w:rPr>
            <w:rStyle w:val="Hyperlink"/>
          </w:rPr>
          <w:t xml:space="preserve">https://doi.org/10.1001/jama.2020.6548</w:t>
        </w:r>
      </w:hyperlink>
      <w:r>
        <w:t xml:space="preserve">.</w:t>
      </w:r>
    </w:p>
    <w:bookmarkEnd w:id="137"/>
    <w:bookmarkEnd w:id="138"/>
    <w:bookmarkEnd w:id="139"/>
    <w:sectPr w:rsidR="000814E8" w:rsidRPr="000814E8">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mbria Math">
    <w:panose1 w:val="02040503050406030204"/>
    <w:charset w:val="00"/>
    <w:family w:val="roman"/>
    <w:pitch w:val="variable"/>
    <w:sig w:usb0="E00006FF" w:usb1="420024FF" w:usb2="02000000"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 w:id="20">
    <w:p>
      <w:pPr>
        <w:pStyle w:val="FootnoteText"/>
      </w:pPr>
      <w:r>
        <w:rPr>
          <w:rStyle w:val="FootnoteReference"/>
        </w:rPr>
        <w:footnoteRef/>
      </w:r>
      <w:r>
        <w:t xml:space="preserve"> </w:t>
      </w:r>
      <w:r>
        <w:t xml:space="preserve">While the</w:t>
      </w:r>
      <w:r>
        <w:t xml:space="preserve"> </w:t>
      </w:r>
      <w:r>
        <w:rPr>
          <w:iCs/>
          <w:i/>
        </w:rPr>
        <w:t xml:space="preserve">disease versus institutions</w:t>
      </w:r>
      <w:r>
        <w:t xml:space="preserve"> </w:t>
      </w:r>
      <w:r>
        <w:t xml:space="preserve">debate analyzes some of these issues, the focus is on teasing out the relationships between economic and political institutions, infectious diseases, and economic development, not the determinants of infectious diseases</w:t>
      </w:r>
      <w:r>
        <w:t xml:space="preserve"> </w:t>
      </w:r>
      <w:r>
        <w:t xml:space="preserve">(Bloom et al. 1998; Gallup and Sachs 2001; Acemoglu and Johnson 2007, 2014; Bloom, Canning, and Fink 2014; Bhattacharyya 2009.)</w:t>
      </w:r>
    </w:p>
  </w:footnote>
  <w:footnote w:id="21">
    <w:p>
      <w:pPr>
        <w:pStyle w:val="FootnoteText"/>
      </w:pPr>
      <w:r>
        <w:rPr>
          <w:rStyle w:val="FootnoteReference"/>
        </w:rPr>
        <w:footnoteRef/>
      </w:r>
      <w:r>
        <w:t xml:space="preserve"> </w:t>
      </w:r>
      <w:r>
        <w:t xml:space="preserve">See</w:t>
      </w:r>
      <w:r>
        <w:t xml:space="preserve"> </w:t>
      </w:r>
      <w:r>
        <w:t xml:space="preserve">Brennan et al. (2013)</w:t>
      </w:r>
      <w:r>
        <w:t xml:space="preserve"> </w:t>
      </w:r>
      <w:r>
        <w:t xml:space="preserve">and</w:t>
      </w:r>
      <w:r>
        <w:t xml:space="preserve"> </w:t>
      </w:r>
      <w:r>
        <w:t xml:space="preserve">Bicchieri (2017)</w:t>
      </w:r>
      <w:r>
        <w:t xml:space="preserve"> </w:t>
      </w:r>
      <w:r>
        <w:t xml:space="preserve">for general treatments on social norms. For example, informal rules influence behavior via social capital, e.g., pro-environmental behaviors</w:t>
      </w:r>
      <w:r>
        <w:t xml:space="preserve"> </w:t>
      </w:r>
      <w:r>
        <w:t xml:space="preserve">(Farrow, Grolleau, and Ibanez 2017)</w:t>
      </w:r>
      <w:r>
        <w:t xml:space="preserve">. See</w:t>
      </w:r>
      <w:r>
        <w:t xml:space="preserve"> </w:t>
      </w:r>
      <w:r>
        <w:t xml:space="preserve">Carson (2017)</w:t>
      </w:r>
      <w:r>
        <w:t xml:space="preserve"> </w:t>
      </w:r>
      <w:r>
        <w:t xml:space="preserve">for a description of the informal norms related to HIV prevention in the United States.</w:t>
      </w:r>
    </w:p>
  </w:footnote>
  <w:footnote w:id="22">
    <w:p>
      <w:pPr>
        <w:pStyle w:val="FootnoteText"/>
      </w:pPr>
      <w:r>
        <w:rPr>
          <w:rStyle w:val="FootnoteReference"/>
        </w:rPr>
        <w:footnoteRef/>
      </w:r>
      <w:r>
        <w:t xml:space="preserve"> </w:t>
      </w:r>
      <w:r>
        <w:t xml:space="preserve">Putnam (2001)</w:t>
      </w:r>
      <w:r>
        <w:t xml:space="preserve">: 19 defines social capital as the</w:t>
      </w:r>
      <w:r>
        <w:t xml:space="preserve"> </w:t>
      </w:r>
      <w:r>
        <w:t xml:space="preserve">“</w:t>
      </w:r>
      <w:r>
        <w:t xml:space="preserve">connections among individuals—social networks and the norms of reciprocity and trustworthiness that arise from them.</w:t>
      </w:r>
      <w:r>
        <w:t xml:space="preserve">”</w:t>
      </w:r>
      <w:r>
        <w:t xml:space="preserve"> </w:t>
      </w:r>
      <w:r>
        <w:t xml:space="preserve">The influence social capital has on health outcomes in general is well-studied</w:t>
      </w:r>
      <w:r>
        <w:t xml:space="preserve"> </w:t>
      </w:r>
      <w:r>
        <w:t xml:space="preserve">(Putnam 2001)</w:t>
      </w:r>
      <w:r>
        <w:t xml:space="preserve">, and there is even some recognition that social capital influences the spread of infectious diseases by encouraging the use of vaccinations</w:t>
      </w:r>
      <w:r>
        <w:t xml:space="preserve"> </w:t>
      </w:r>
      <w:r>
        <w:t xml:space="preserve">(Nawa and Fujiwara 2019; Palanisamy, Gopichandran, and Kosalram 2018)</w:t>
      </w:r>
      <w:r>
        <w:t xml:space="preserve"> </w:t>
      </w:r>
      <w:r>
        <w:t xml:space="preserve">and other behaviors that spread influenza</w:t>
      </w:r>
      <w:r>
        <w:t xml:space="preserve"> </w:t>
      </w:r>
      <w:r>
        <w:t xml:space="preserve">(Björn Rönnerstrand 2013; B. Rönnerstrand 2014; Chuang et al. 2015)</w:t>
      </w:r>
      <w:r>
        <w:t xml:space="preserve">.</w:t>
      </w:r>
    </w:p>
  </w:footnote>
  <w:footnote w:id="23">
    <w:p>
      <w:pPr>
        <w:pStyle w:val="FootnoteText"/>
      </w:pPr>
      <w:r>
        <w:rPr>
          <w:rStyle w:val="FootnoteReference"/>
        </w:rPr>
        <w:footnoteRef/>
      </w:r>
      <w:r>
        <w:t xml:space="preserve"> </w:t>
      </w:r>
      <w:r>
        <w:t xml:space="preserve">Other studies find similar results, but are not as convincing given confounding variables. For example, people living in counties (in the United States) with higher levels of social capital reduced their mobility at a quicker rate than people in counties with lower levels of social capital</w:t>
      </w:r>
      <w:r>
        <w:t xml:space="preserve"> </w:t>
      </w:r>
      <w:r>
        <w:t xml:space="preserve">(Borgonovi and Andrieu 2020; also, see Borgonovi, Andrieu, and Subramanian 2020)</w:t>
      </w:r>
      <w:r>
        <w:t xml:space="preserve">.</w:t>
      </w:r>
      <w:r>
        <w:t xml:space="preserve"> </w:t>
      </w:r>
      <w:r>
        <w:t xml:space="preserve">Borgonovi, Andrieu, and Subramanian (2020)</w:t>
      </w:r>
      <w:r>
        <w:t xml:space="preserve"> </w:t>
      </w:r>
      <w:r>
        <w:t xml:space="preserve">show that infection rates were initially higher in counties with more social capital, but transmission and mortality rates declined as people learned more about COVID-19. Similarly,</w:t>
      </w:r>
      <w:r>
        <w:t xml:space="preserve"> </w:t>
      </w:r>
      <w:r>
        <w:t xml:space="preserve">Bartscher et al. (2020)</w:t>
      </w:r>
      <w:r>
        <w:t xml:space="preserve"> </w:t>
      </w:r>
      <w:r>
        <w:t xml:space="preserve">suggests that the number of COVID-19 cases across Europe was initially higher in countries with higher social capital, but that cases increased at a slower rate in countries with higher social capital. There is also suggestive evidence that people in areas with more social capital are more likely to follow formal public health rules, e.g., wearing face masks</w:t>
      </w:r>
      <w:r>
        <w:t xml:space="preserve"> </w:t>
      </w:r>
      <w:r>
        <w:t xml:space="preserve">(Wu 2020)</w:t>
      </w:r>
      <w:r>
        <w:t xml:space="preserve"> </w:t>
      </w:r>
      <w:r>
        <w:t xml:space="preserve">and are more likely to have higher rates of testing</w:t>
      </w:r>
      <w:r>
        <w:t xml:space="preserve"> </w:t>
      </w:r>
      <w:r>
        <w:t xml:space="preserve">(Wu et al. 2020)</w:t>
      </w:r>
      <w:r>
        <w:t xml:space="preserve">. Income also influences the effectiveness of lockdown orders, i.e., whether people are likely to comply with such orders (</w:t>
      </w:r>
      <w:r>
        <w:t xml:space="preserve">Wright et al. (2020)</w:t>
      </w:r>
      <w:r>
        <w:t xml:space="preserve">).</w:t>
      </w:r>
    </w:p>
  </w:footnote>
  <w:footnote w:id="24">
    <w:p>
      <w:pPr>
        <w:pStyle w:val="FootnoteText"/>
      </w:pPr>
      <w:r>
        <w:rPr>
          <w:rStyle w:val="FootnoteReference"/>
        </w:rPr>
        <w:footnoteRef/>
      </w:r>
      <w:r>
        <w:t xml:space="preserve"> </w:t>
      </w:r>
      <w:r>
        <w:t xml:space="preserve">We use a measure of policy stringency to represent the variety of formal public health measures</w:t>
      </w:r>
      <w:r>
        <w:t xml:space="preserve"> </w:t>
      </w:r>
      <w:r>
        <w:rPr>
          <w:iCs/>
          <w:i/>
        </w:rPr>
        <w:t xml:space="preserve">and</w:t>
      </w:r>
      <w:r>
        <w:t xml:space="preserve"> </w:t>
      </w:r>
      <w:r>
        <w:t xml:space="preserve">as a proxy for the values people within a state have for COVID-19 prevention.</w:t>
      </w:r>
    </w:p>
  </w:footnote>
  <w:footnote w:id="28">
    <w:p>
      <w:pPr>
        <w:pStyle w:val="FootnoteText"/>
      </w:pPr>
      <w:r>
        <w:rPr>
          <w:rStyle w:val="FootnoteReference"/>
        </w:rPr>
        <w:footnoteRef/>
      </w:r>
      <w:r>
        <w:t xml:space="preserve"> </w:t>
      </w:r>
      <w:r>
        <w:t xml:space="preserve">Whereas formal rules specify a primary directive and secondary qualifiers, a centralized enforcement mechanism, and it is a rule derived from some kind of governing body, informal rules might only specify a primary directive with few secondary qualifiers, enforcement is decentralized, and it is a rule derived from the normative attitudes of the individuals to which the rule applies</w:t>
      </w:r>
      <w:r>
        <w:t xml:space="preserve"> </w:t>
      </w:r>
      <w:r>
        <w:t xml:space="preserve">(Brennan et al. 2013)</w:t>
      </w:r>
      <w:r>
        <w:t xml:space="preserve">.</w:t>
      </w:r>
    </w:p>
  </w:footnote>
  <w:footnote w:id="30">
    <w:p>
      <w:pPr>
        <w:pStyle w:val="FootnoteText"/>
      </w:pPr>
      <w:r>
        <w:rPr>
          <w:rStyle w:val="FootnoteReference"/>
        </w:rPr>
        <w:footnoteRef/>
      </w:r>
      <w:r>
        <w:t xml:space="preserve"> </w:t>
      </w:r>
      <w:r>
        <w:t xml:space="preserve">While specification 3 does not include social capital because it does not vary over time, it is more parsimonious as it includes time and place fixed effects, which account for the unobservable cross-sectional variation; specification 2 only accounts for the variables we can observe and included.</w:t>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461AD05C"/>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4D32F6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468C528"/>
    <w:lvl w:ilvl="0">
      <w:start w:val="1"/>
      <w:numFmt w:val="decimal"/>
      <w:lvlText w:val="%1."/>
      <w:lvlJc w:val="left"/>
      <w:pPr>
        <w:tabs>
          <w:tab w:val="num" w:pos="1080"/>
        </w:tabs>
        <w:ind w:left="1080" w:hanging="360"/>
      </w:pPr>
    </w:lvl>
  </w:abstractNum>
  <w:abstractNum w:abstractNumId="3" w15:restartNumberingAfterBreak="0">
    <w:nsid w:val="FFFFFF7F"/>
    <w:multiLevelType w:val="singleLevel"/>
    <w:tmpl w:val="0A6081A4"/>
    <w:lvl w:ilvl="0">
      <w:start w:val="1"/>
      <w:numFmt w:val="decimal"/>
      <w:lvlText w:val="%1."/>
      <w:lvlJc w:val="left"/>
      <w:pPr>
        <w:tabs>
          <w:tab w:val="num" w:pos="720"/>
        </w:tabs>
        <w:ind w:left="720" w:hanging="360"/>
      </w:pPr>
    </w:lvl>
  </w:abstractNum>
  <w:abstractNum w:abstractNumId="4" w15:restartNumberingAfterBreak="0">
    <w:nsid w:val="FFFFFF80"/>
    <w:multiLevelType w:val="singleLevel"/>
    <w:tmpl w:val="362823B6"/>
    <w:lvl w:ilvl="0">
      <w:start w:val="1"/>
      <w:numFmt w:val="bullet"/>
      <w:lvlText w:val=""/>
      <w:lvlJc w:val="left"/>
      <w:pPr>
        <w:tabs>
          <w:tab w:val="num" w:pos="1800"/>
        </w:tabs>
        <w:ind w:left="1800" w:hanging="360"/>
      </w:pPr>
      <w:rPr>
        <w:rFonts w:ascii="Symbol" w:hAnsi="Symbol" w:hint="default"/>
      </w:rPr>
    </w:lvl>
  </w:abstractNum>
  <w:abstractNum w:abstractNumId="5" w15:restartNumberingAfterBreak="0">
    <w:nsid w:val="FFFFFF81"/>
    <w:multiLevelType w:val="singleLevel"/>
    <w:tmpl w:val="34283524"/>
    <w:lvl w:ilvl="0">
      <w:start w:val="1"/>
      <w:numFmt w:val="bullet"/>
      <w:lvlText w:val=""/>
      <w:lvlJc w:val="left"/>
      <w:pPr>
        <w:tabs>
          <w:tab w:val="num" w:pos="1440"/>
        </w:tabs>
        <w:ind w:left="1440" w:hanging="360"/>
      </w:pPr>
      <w:rPr>
        <w:rFonts w:ascii="Symbol" w:hAnsi="Symbol" w:hint="default"/>
      </w:rPr>
    </w:lvl>
  </w:abstractNum>
  <w:abstractNum w:abstractNumId="6" w15:restartNumberingAfterBreak="0">
    <w:nsid w:val="FFFFFF82"/>
    <w:multiLevelType w:val="singleLevel"/>
    <w:tmpl w:val="F9562490"/>
    <w:lvl w:ilvl="0">
      <w:start w:val="1"/>
      <w:numFmt w:val="bullet"/>
      <w:lvlText w:val=""/>
      <w:lvlJc w:val="left"/>
      <w:pPr>
        <w:tabs>
          <w:tab w:val="num" w:pos="1080"/>
        </w:tabs>
        <w:ind w:left="1080" w:hanging="360"/>
      </w:pPr>
      <w:rPr>
        <w:rFonts w:ascii="Symbol" w:hAnsi="Symbol" w:hint="default"/>
      </w:rPr>
    </w:lvl>
  </w:abstractNum>
  <w:abstractNum w:abstractNumId="7" w15:restartNumberingAfterBreak="0">
    <w:nsid w:val="FFFFFF83"/>
    <w:multiLevelType w:val="singleLevel"/>
    <w:tmpl w:val="D6DE8CBE"/>
    <w:lvl w:ilvl="0">
      <w:start w:val="1"/>
      <w:numFmt w:val="bullet"/>
      <w:lvlText w:val=""/>
      <w:lvlJc w:val="left"/>
      <w:pPr>
        <w:tabs>
          <w:tab w:val="num" w:pos="720"/>
        </w:tabs>
        <w:ind w:left="720" w:hanging="360"/>
      </w:pPr>
      <w:rPr>
        <w:rFonts w:ascii="Symbol" w:hAnsi="Symbol" w:hint="default"/>
      </w:rPr>
    </w:lvl>
  </w:abstractNum>
  <w:abstractNum w:abstractNumId="8" w15:restartNumberingAfterBreak="0">
    <w:nsid w:val="FFFFFF88"/>
    <w:multiLevelType w:val="singleLevel"/>
    <w:tmpl w:val="4676AD26"/>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0D12B89C"/>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1B65F13"/>
    <w:multiLevelType w:val="hybridMultilevel"/>
    <w:tmpl w:val="42E25E1E"/>
    <w:lvl w:ilvl="0" w:tplc="2F7AA540">
      <w:start w:val="1"/>
      <w:numFmt w:val="decimal"/>
      <w:pStyle w:val="CaptionedFigur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C1AE401"/>
    <w:multiLevelType w:val="multilevel"/>
    <w:tmpl w:val="CB842B9C"/>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12" w15:restartNumberingAfterBreak="0">
    <w:nsid w:val="39907E5E"/>
    <w:multiLevelType w:val="hybridMultilevel"/>
    <w:tmpl w:val="44B8C75E"/>
    <w:lvl w:ilvl="0" w:tplc="7A6AAFBC">
      <w:start w:val="1"/>
      <w:numFmt w:val="upperRoman"/>
      <w:pStyle w:val="TableCaption"/>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63E504C3"/>
    <w:multiLevelType w:val="hybridMultilevel"/>
    <w:tmpl w:val="D320E88E"/>
    <w:lvl w:ilvl="0" w:tplc="ACCEE13E">
      <w:start w:val="1"/>
      <w:numFmt w:val="decimal"/>
      <w:pStyle w:val="Figure"/>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90">
    <w:nsid w:val="2c1ae401"/>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ea454b4c"/>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331">
    <w:nsid w:val="71315dca"/>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abstractNum w:abstractNumId="99332">
    <w:nsid w:val="47261bad"/>
    <w:multiLevelType w:val="multilevel"/>
    <w:lvl w:ilvl="0">
      <w:start w:val="2"/>
      <w:numFmt w:val="decimal"/>
      <w:lvlText w:val="(%1)"/>
      <w:lvlJc w:val="left"/>
      <w:pPr>
        <w:ind w:left="720" w:hanging="480"/>
      </w:pPr>
    </w:lvl>
    <w:lvl w:ilvl="1">
      <w:start w:val="2"/>
      <w:numFmt w:val="decimal"/>
      <w:lvlText w:val="(%2)"/>
      <w:lvlJc w:val="left"/>
      <w:pPr>
        <w:ind w:left="1440" w:hanging="480"/>
      </w:pPr>
    </w:lvl>
    <w:lvl w:ilvl="2">
      <w:start w:val="2"/>
      <w:numFmt w:val="decimal"/>
      <w:lvlText w:val="(%3)"/>
      <w:lvlJc w:val="left"/>
      <w:pPr>
        <w:ind w:left="2160" w:hanging="480"/>
      </w:pPr>
    </w:lvl>
    <w:lvl w:ilvl="3">
      <w:start w:val="2"/>
      <w:numFmt w:val="decimal"/>
      <w:lvlText w:val="(%4)"/>
      <w:lvlJc w:val="left"/>
      <w:pPr>
        <w:ind w:left="2880" w:hanging="480"/>
      </w:pPr>
    </w:lvl>
    <w:lvl w:ilvl="4">
      <w:start w:val="2"/>
      <w:numFmt w:val="decimal"/>
      <w:lvlText w:val="(%5)"/>
      <w:lvlJc w:val="left"/>
      <w:pPr>
        <w:ind w:left="3600" w:hanging="480"/>
      </w:pPr>
    </w:lvl>
    <w:lvl w:ilvl="5">
      <w:start w:val="2"/>
      <w:numFmt w:val="decimal"/>
      <w:lvlText w:val="(%6)"/>
      <w:lvlJc w:val="left"/>
      <w:pPr>
        <w:ind w:left="4320" w:hanging="480"/>
      </w:pPr>
    </w:lvl>
    <w:lvl w:ilvl="6">
      <w:start w:val="2"/>
      <w:numFmt w:val="decimal"/>
      <w:lvlText w:val="(%7)"/>
      <w:lvlJc w:val="left"/>
      <w:pPr>
        <w:ind w:left="5040" w:hanging="480"/>
      </w:pPr>
    </w:lvl>
    <w:lvl w:ilvl="7">
      <w:start w:val="2"/>
      <w:numFmt w:val="decimal"/>
      <w:lvlText w:val="(%8)"/>
      <w:lvlJc w:val="left"/>
      <w:pPr>
        <w:ind w:left="5760" w:hanging="480"/>
      </w:pPr>
    </w:lvl>
    <w:lvl w:ilvl="8">
      <w:start w:val="2"/>
      <w:numFmt w:val="decimal"/>
      <w:lvlText w:val="(%9)"/>
      <w:lvlJc w:val="left"/>
      <w:pPr>
        <w:ind w:left="6480" w:hanging="480"/>
      </w:pPr>
    </w:lvl>
  </w:abstractNum>
  <w:abstractNum w:abstractNumId="99333">
    <w:nsid w:val="b3cbbdee"/>
    <w:multiLevelType w:val="multilevel"/>
    <w:lvl w:ilvl="0">
      <w:start w:val="3"/>
      <w:numFmt w:val="decimal"/>
      <w:lvlText w:val="(%1)"/>
      <w:lvlJc w:val="left"/>
      <w:pPr>
        <w:ind w:left="720" w:hanging="480"/>
      </w:pPr>
    </w:lvl>
    <w:lvl w:ilvl="1">
      <w:start w:val="3"/>
      <w:numFmt w:val="decimal"/>
      <w:lvlText w:val="(%2)"/>
      <w:lvlJc w:val="left"/>
      <w:pPr>
        <w:ind w:left="1440" w:hanging="480"/>
      </w:pPr>
    </w:lvl>
    <w:lvl w:ilvl="2">
      <w:start w:val="3"/>
      <w:numFmt w:val="decimal"/>
      <w:lvlText w:val="(%3)"/>
      <w:lvlJc w:val="left"/>
      <w:pPr>
        <w:ind w:left="2160" w:hanging="480"/>
      </w:pPr>
    </w:lvl>
    <w:lvl w:ilvl="3">
      <w:start w:val="3"/>
      <w:numFmt w:val="decimal"/>
      <w:lvlText w:val="(%4)"/>
      <w:lvlJc w:val="left"/>
      <w:pPr>
        <w:ind w:left="2880" w:hanging="480"/>
      </w:pPr>
    </w:lvl>
    <w:lvl w:ilvl="4">
      <w:start w:val="3"/>
      <w:numFmt w:val="decimal"/>
      <w:lvlText w:val="(%5)"/>
      <w:lvlJc w:val="left"/>
      <w:pPr>
        <w:ind w:left="3600" w:hanging="480"/>
      </w:pPr>
    </w:lvl>
    <w:lvl w:ilvl="5">
      <w:start w:val="3"/>
      <w:numFmt w:val="decimal"/>
      <w:lvlText w:val="(%6)"/>
      <w:lvlJc w:val="left"/>
      <w:pPr>
        <w:ind w:left="4320" w:hanging="480"/>
      </w:pPr>
    </w:lvl>
    <w:lvl w:ilvl="6">
      <w:start w:val="3"/>
      <w:numFmt w:val="decimal"/>
      <w:lvlText w:val="(%7)"/>
      <w:lvlJc w:val="left"/>
      <w:pPr>
        <w:ind w:left="5040" w:hanging="480"/>
      </w:pPr>
    </w:lvl>
    <w:lvl w:ilvl="7">
      <w:start w:val="3"/>
      <w:numFmt w:val="decimal"/>
      <w:lvlText w:val="(%8)"/>
      <w:lvlJc w:val="left"/>
      <w:pPr>
        <w:ind w:left="5760" w:hanging="480"/>
      </w:pPr>
    </w:lvl>
    <w:lvl w:ilvl="8">
      <w:start w:val="3"/>
      <w:numFmt w:val="decimal"/>
      <w:lvlText w:val="(%9)"/>
      <w:lvlJc w:val="left"/>
      <w:pPr>
        <w:ind w:left="6480" w:hanging="480"/>
      </w:pPr>
    </w:lvl>
  </w:abstractNum>
  <w:num w:numId="1">
    <w:abstractNumId w:val="11"/>
  </w:num>
  <w:num w:numId="2">
    <w:abstractNumId w:val="9"/>
  </w:num>
  <w:num w:numId="3">
    <w:abstractNumId w:val="7"/>
  </w:num>
  <w:num w:numId="4">
    <w:abstractNumId w:val="6"/>
  </w:num>
  <w:num w:numId="5">
    <w:abstractNumId w:val="5"/>
  </w:num>
  <w:num w:numId="6">
    <w:abstractNumId w:val="4"/>
  </w:num>
  <w:num w:numId="7">
    <w:abstractNumId w:val="8"/>
  </w:num>
  <w:num w:numId="8">
    <w:abstractNumId w:val="3"/>
  </w:num>
  <w:num w:numId="9">
    <w:abstractNumId w:val="2"/>
  </w:num>
  <w:num w:numId="10">
    <w:abstractNumId w:val="1"/>
  </w:num>
  <w:num w:numId="11">
    <w:abstractNumId w:val="0"/>
  </w:num>
  <w:num w:numId="12">
    <w:abstractNumId w:val="10"/>
  </w:num>
  <w:num w:numId="13">
    <w:abstractNumId w:val="12"/>
  </w:num>
  <w:num w:numId="14">
    <w:abstractNumId w:val="13"/>
  </w: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33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332"/>
    <w:lvlOverride w:ilvl="0">
      <w:startOverride w:val="2"/>
    </w:lvlOverride>
    <w:lvlOverride w:ilvl="1">
      <w:startOverride w:val="2"/>
    </w:lvlOverride>
    <w:lvlOverride w:ilvl="2">
      <w:startOverride w:val="2"/>
    </w:lvlOverride>
    <w:lvlOverride w:ilvl="3">
      <w:startOverride w:val="2"/>
    </w:lvlOverride>
    <w:lvlOverride w:ilvl="4">
      <w:startOverride w:val="2"/>
    </w:lvlOverride>
    <w:lvlOverride w:ilvl="5">
      <w:startOverride w:val="2"/>
    </w:lvlOverride>
    <w:lvlOverride w:ilvl="6">
      <w:startOverride w:val="2"/>
    </w:lvlOverride>
    <w:lvlOverride w:ilvl="7">
      <w:startOverride w:val="2"/>
    </w:lvlOverride>
    <w:lvlOverride w:ilvl="8">
      <w:startOverride w:val="2"/>
    </w:lvlOverride>
  </w:num>
  <w:num w:numId="1004">
    <w:abstractNumId w:val="99333"/>
    <w:lvlOverride w:ilvl="0">
      <w:startOverride w:val="3"/>
    </w:lvlOverride>
    <w:lvlOverride w:ilvl="1">
      <w:startOverride w:val="3"/>
    </w:lvlOverride>
    <w:lvlOverride w:ilvl="2">
      <w:startOverride w:val="3"/>
    </w:lvlOverride>
    <w:lvlOverride w:ilvl="3">
      <w:startOverride w:val="3"/>
    </w:lvlOverride>
    <w:lvlOverride w:ilvl="4">
      <w:startOverride w:val="3"/>
    </w:lvlOverride>
    <w:lvlOverride w:ilvl="5">
      <w:startOverride w:val="3"/>
    </w:lvlOverride>
    <w:lvlOverride w:ilvl="6">
      <w:startOverride w:val="3"/>
    </w:lvlOverride>
    <w:lvlOverride w:ilvl="7">
      <w:startOverride w:val="3"/>
    </w:lvlOverride>
    <w:lvlOverride w:ilvl="8">
      <w:startOverride w:val="3"/>
    </w:lvlOverride>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6">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style>
  <w:style w:type="paragraph" w:styleId="Heading1">
    <w:name w:val="heading 1"/>
    <w:basedOn w:val="Normal"/>
    <w:next w:val="BodyText"/>
    <w:uiPriority w:val="9"/>
    <w:qFormat/>
    <w:rsid w:val="00250402"/>
    <w:pPr>
      <w:keepNext/>
      <w:keepLines/>
      <w:spacing w:before="240" w:after="120"/>
      <w:outlineLvl w:val="0"/>
    </w:pPr>
    <w:rPr>
      <w:rFonts w:ascii="Times New Roman" w:eastAsiaTheme="majorEastAsia" w:hAnsi="Times New Roman" w:cstheme="majorBidi"/>
      <w:bCs/>
      <w:caps/>
      <w:szCs w:val="32"/>
    </w:rPr>
  </w:style>
  <w:style w:type="paragraph" w:styleId="Heading2">
    <w:name w:val="heading 2"/>
    <w:basedOn w:val="Normal"/>
    <w:next w:val="BodyText"/>
    <w:uiPriority w:val="9"/>
    <w:unhideWhenUsed/>
    <w:qFormat/>
    <w:rsid w:val="00250402"/>
    <w:pPr>
      <w:keepNext/>
      <w:keepLines/>
      <w:spacing w:before="240" w:after="120"/>
      <w:outlineLvl w:val="1"/>
    </w:pPr>
    <w:rPr>
      <w:rFonts w:ascii="Times New Roman" w:eastAsiaTheme="majorEastAsia" w:hAnsi="Times New Roman" w:cstheme="majorBidi"/>
      <w:bCs/>
      <w:szCs w:val="28"/>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Cs/>
      <w:i/>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3D27E7"/>
    <w:pPr>
      <w:spacing w:after="0"/>
      <w:ind w:firstLine="720"/>
    </w:pPr>
    <w:rPr>
      <w:rFonts w:ascii="Times New Roman" w:hAnsi="Times New Roman"/>
    </w:rPr>
  </w:style>
  <w:style w:type="paragraph" w:customStyle="1" w:styleId="FirstParagraph">
    <w:name w:val="First Paragraph"/>
    <w:basedOn w:val="BodyText"/>
    <w:next w:val="BodyText"/>
    <w:qFormat/>
    <w:rsid w:val="003D27E7"/>
  </w:style>
  <w:style w:type="paragraph" w:customStyle="1" w:styleId="Compact">
    <w:name w:val="Compact"/>
    <w:basedOn w:val="BodyText"/>
    <w:qFormat/>
    <w:pPr>
      <w:spacing w:before="36" w:after="36"/>
    </w:pPr>
  </w:style>
  <w:style w:type="paragraph" w:styleId="Title">
    <w:name w:val="Title"/>
    <w:basedOn w:val="Normal"/>
    <w:next w:val="BodyText"/>
    <w:qFormat/>
    <w:rsid w:val="00B276B8"/>
    <w:pPr>
      <w:keepNext/>
      <w:keepLines/>
      <w:spacing w:after="480"/>
    </w:pPr>
    <w:rPr>
      <w:rFonts w:ascii="Times New Roman" w:eastAsiaTheme="majorEastAsia" w:hAnsi="Times New Roman" w:cstheme="majorBidi"/>
      <w:bCs/>
      <w:caps/>
      <w:szCs w:val="36"/>
    </w:rPr>
  </w:style>
  <w:style w:type="paragraph" w:styleId="Subtitle">
    <w:name w:val="Subtitle"/>
    <w:basedOn w:val="Title"/>
    <w:next w:val="BodyText"/>
    <w:qFormat/>
    <w:pPr>
      <w:spacing w:before="240" w:after="240"/>
      <w:jc w:val="center"/>
    </w:pPr>
    <w:rPr>
      <w:sz w:val="30"/>
      <w:szCs w:val="30"/>
    </w:rPr>
  </w:style>
  <w:style w:type="paragraph" w:customStyle="1" w:styleId="Author">
    <w:name w:val="Author"/>
    <w:next w:val="BodyText"/>
    <w:qFormat/>
    <w:rsid w:val="0049729D"/>
    <w:pPr>
      <w:keepNext/>
      <w:keepLines/>
      <w:spacing w:after="1080"/>
    </w:pPr>
    <w:rPr>
      <w:rFonts w:ascii="Times New Roman" w:hAnsi="Times New Roman"/>
    </w:rPr>
  </w:style>
  <w:style w:type="paragraph" w:customStyle="1" w:styleId="Abstract">
    <w:name w:val="Abstract"/>
    <w:basedOn w:val="Normal"/>
    <w:next w:val="BodyText"/>
    <w:qFormat/>
    <w:rsid w:val="00D57C41"/>
    <w:pPr>
      <w:keepNext/>
      <w:keepLines/>
      <w:spacing w:after="240"/>
    </w:pPr>
    <w:rPr>
      <w:rFonts w:ascii="Times New Roman" w:hAnsi="Times New Roman"/>
      <w:szCs w:val="20"/>
    </w:rPr>
  </w:style>
  <w:style w:type="paragraph" w:styleId="Bibliography">
    <w:name w:val="Bibliography"/>
    <w:basedOn w:val="Normal"/>
    <w:qFormat/>
    <w:rsid w:val="00FF06CD"/>
    <w:pPr>
      <w:spacing w:after="120"/>
    </w:pPr>
    <w:rPr>
      <w:rFonts w:ascii="Times New Roman" w:hAnsi="Times New Roman"/>
    </w:rPr>
  </w:style>
  <w:style w:type="paragraph" w:styleId="BlockText">
    <w:name w:val="Block Text"/>
    <w:basedOn w:val="BodyText"/>
    <w:next w:val="BodyText"/>
    <w:uiPriority w:val="9"/>
    <w:unhideWhenUsed/>
    <w:qFormat/>
    <w:pPr>
      <w:spacing w:before="100" w:after="100"/>
      <w:ind w:left="480" w:right="480"/>
    </w:p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tblStylePr w:type="firstRow">
      <w:tblPr>
        <w:jc w:val="left"/>
      </w:tblPr>
      <w:trPr>
        <w:jc w:val="left"/>
      </w:trPr>
      <w:tcPr>
        <w:tcBorders>
          <w:bottom w:val="single" w:sz="0" w:space="0" w:color="auto"/>
        </w:tcBorders>
        <w:vAlign w:val="bottom"/>
      </w:tcPr>
    </w:tblStyle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rsid w:val="004D67A0"/>
    <w:pPr>
      <w:spacing w:after="0"/>
    </w:pPr>
    <w:rPr>
      <w:rFonts w:ascii="Times New Roman" w:hAnsi="Times New Roman"/>
    </w:rPr>
  </w:style>
  <w:style w:type="paragraph" w:styleId="Caption">
    <w:name w:val="caption"/>
    <w:basedOn w:val="Normal"/>
    <w:link w:val="CaptionChar"/>
    <w:rsid w:val="000814E8"/>
    <w:pPr>
      <w:spacing w:before="240" w:after="120"/>
    </w:pPr>
    <w:rPr>
      <w:rFonts w:ascii="Times New Roman" w:hAnsi="Times New Roman"/>
    </w:rPr>
  </w:style>
  <w:style w:type="paragraph" w:customStyle="1" w:styleId="TableCaption">
    <w:name w:val="Table Caption"/>
    <w:basedOn w:val="Caption"/>
    <w:pPr>
      <w:keepNext/>
      <w:numPr>
        <w:numId w:val="13"/>
      </w:numPr>
    </w:pPr>
  </w:style>
  <w:style w:type="paragraph" w:customStyle="1" w:styleId="ImageCaption">
    <w:name w:val="Image Caption"/>
    <w:basedOn w:val="Caption"/>
  </w:style>
  <w:style w:type="paragraph" w:customStyle="1" w:styleId="Figure">
    <w:name w:val="Figure"/>
    <w:basedOn w:val="Normal"/>
    <w:rsid w:val="001E75A9"/>
    <w:pPr>
      <w:numPr>
        <w:numId w:val="14"/>
      </w:numPr>
      <w:spacing w:before="240" w:after="120"/>
    </w:pPr>
    <w:rPr>
      <w:rFonts w:ascii="Times New Roman" w:hAnsi="Times New Roman"/>
    </w:rPr>
  </w:style>
  <w:style w:type="paragraph" w:customStyle="1" w:styleId="CaptionedFigure">
    <w:name w:val="Captioned Figure"/>
    <w:basedOn w:val="Figure"/>
    <w:rsid w:val="003766DF"/>
    <w:pPr>
      <w:keepNext/>
      <w:numPr>
        <w:numId w:val="12"/>
      </w:numPr>
    </w:pPr>
  </w:style>
  <w:style w:type="character" w:customStyle="1" w:styleId="CaptionChar">
    <w:name w:val="Caption Char"/>
    <w:basedOn w:val="DefaultParagraphFont"/>
    <w:link w:val="Caption"/>
    <w:rsid w:val="000814E8"/>
    <w:rPr>
      <w:rFonts w:ascii="Times New Roman" w:hAnsi="Times New Roman"/>
    </w:rPr>
  </w:style>
  <w:style w:type="character" w:customStyle="1" w:styleId="VerbatimChar">
    <w:name w:val="Verbatim Char"/>
    <w:basedOn w:val="CaptionChar"/>
    <w:link w:val="SourceCode"/>
    <w:rPr>
      <w:rFonts w:ascii="Consolas" w:hAnsi="Consolas"/>
      <w:i w:val="0"/>
      <w:sz w:val="22"/>
    </w:rPr>
  </w:style>
  <w:style w:type="character" w:customStyle="1" w:styleId="SectionNumber">
    <w:name w:val="Section Number"/>
    <w:basedOn w:val="CaptionChar"/>
    <w:rPr>
      <w:rFonts w:ascii="Times New Roman" w:hAnsi="Times New Roman"/>
      <w:i w:val="0"/>
    </w:rPr>
  </w:style>
  <w:style w:type="character" w:styleId="FootnoteReference">
    <w:name w:val="footnote reference"/>
    <w:basedOn w:val="CaptionChar"/>
    <w:rPr>
      <w:rFonts w:ascii="Times New Roman" w:hAnsi="Times New Roman"/>
      <w:i w:val="0"/>
      <w:vertAlign w:val="superscript"/>
    </w:rPr>
  </w:style>
  <w:style w:type="character" w:styleId="Hyperlink">
    <w:name w:val="Hyperlink"/>
    <w:basedOn w:val="CaptionChar"/>
    <w:rPr>
      <w:rFonts w:ascii="Times New Roman" w:hAnsi="Times New Roman"/>
      <w:i w:val="0"/>
      <w:color w:val="4F81BD" w:themeColor="accent1"/>
    </w:rPr>
  </w:style>
  <w:style w:type="paragraph" w:styleId="TOCHeading">
    <w:name w:val="TOC Heading"/>
    <w:basedOn w:val="Heading1"/>
    <w:next w:val="BodyText"/>
    <w:uiPriority w:val="39"/>
    <w:unhideWhenUsed/>
    <w:qFormat/>
    <w:pPr>
      <w:spacing w:line="259" w:lineRule="auto"/>
      <w:outlineLvl w:val="9"/>
    </w:pPr>
    <w:rPr>
      <w:b/>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i w:val="0"/>
      <w:color w:val="204A87"/>
      <w:sz w:val="22"/>
      <w:shd w:val="clear" w:color="auto" w:fill="F8F8F8"/>
    </w:rPr>
  </w:style>
  <w:style w:type="character" w:customStyle="1" w:styleId="DataTypeTok">
    <w:name w:val="DataTypeTok"/>
    <w:basedOn w:val="VerbatimChar"/>
    <w:rPr>
      <w:rFonts w:ascii="Consolas" w:hAnsi="Consolas"/>
      <w:i w:val="0"/>
      <w:color w:val="204A87"/>
      <w:sz w:val="22"/>
      <w:shd w:val="clear" w:color="auto" w:fill="F8F8F8"/>
    </w:rPr>
  </w:style>
  <w:style w:type="character" w:customStyle="1" w:styleId="DecValTok">
    <w:name w:val="DecValTok"/>
    <w:basedOn w:val="VerbatimChar"/>
    <w:rPr>
      <w:rFonts w:ascii="Consolas" w:hAnsi="Consolas"/>
      <w:i w:val="0"/>
      <w:color w:val="0000CF"/>
      <w:sz w:val="22"/>
      <w:shd w:val="clear" w:color="auto" w:fill="F8F8F8"/>
    </w:rPr>
  </w:style>
  <w:style w:type="character" w:customStyle="1" w:styleId="BaseNTok">
    <w:name w:val="BaseNTok"/>
    <w:basedOn w:val="VerbatimChar"/>
    <w:rPr>
      <w:rFonts w:ascii="Consolas" w:hAnsi="Consolas"/>
      <w:i w:val="0"/>
      <w:color w:val="0000CF"/>
      <w:sz w:val="22"/>
      <w:shd w:val="clear" w:color="auto" w:fill="F8F8F8"/>
    </w:rPr>
  </w:style>
  <w:style w:type="character" w:customStyle="1" w:styleId="FloatTok">
    <w:name w:val="FloatTok"/>
    <w:basedOn w:val="VerbatimChar"/>
    <w:rPr>
      <w:rFonts w:ascii="Consolas" w:hAnsi="Consolas"/>
      <w:i w:val="0"/>
      <w:color w:val="0000CF"/>
      <w:sz w:val="22"/>
      <w:shd w:val="clear" w:color="auto" w:fill="F8F8F8"/>
    </w:rPr>
  </w:style>
  <w:style w:type="character" w:customStyle="1" w:styleId="ConstantTok">
    <w:name w:val="ConstantTok"/>
    <w:basedOn w:val="VerbatimChar"/>
    <w:rPr>
      <w:rFonts w:ascii="Consolas" w:hAnsi="Consolas"/>
      <w:i w:val="0"/>
      <w:color w:val="000000"/>
      <w:sz w:val="22"/>
      <w:shd w:val="clear" w:color="auto" w:fill="F8F8F8"/>
    </w:rPr>
  </w:style>
  <w:style w:type="character" w:customStyle="1" w:styleId="CharTok">
    <w:name w:val="CharTok"/>
    <w:basedOn w:val="VerbatimChar"/>
    <w:rPr>
      <w:rFonts w:ascii="Consolas" w:hAnsi="Consolas"/>
      <w:i w:val="0"/>
      <w:color w:val="4E9A06"/>
      <w:sz w:val="22"/>
      <w:shd w:val="clear" w:color="auto" w:fill="F8F8F8"/>
    </w:rPr>
  </w:style>
  <w:style w:type="character" w:customStyle="1" w:styleId="SpecialCharTok">
    <w:name w:val="SpecialCharTok"/>
    <w:basedOn w:val="VerbatimChar"/>
    <w:rPr>
      <w:rFonts w:ascii="Consolas" w:hAnsi="Consolas"/>
      <w:i w:val="0"/>
      <w:color w:val="000000"/>
      <w:sz w:val="22"/>
      <w:shd w:val="clear" w:color="auto" w:fill="F8F8F8"/>
    </w:rPr>
  </w:style>
  <w:style w:type="character" w:customStyle="1" w:styleId="StringTok">
    <w:name w:val="StringTok"/>
    <w:basedOn w:val="VerbatimChar"/>
    <w:rPr>
      <w:rFonts w:ascii="Consolas" w:hAnsi="Consolas"/>
      <w:i w:val="0"/>
      <w:color w:val="4E9A06"/>
      <w:sz w:val="22"/>
      <w:shd w:val="clear" w:color="auto" w:fill="F8F8F8"/>
    </w:rPr>
  </w:style>
  <w:style w:type="character" w:customStyle="1" w:styleId="VerbatimStringTok">
    <w:name w:val="VerbatimStringTok"/>
    <w:basedOn w:val="VerbatimChar"/>
    <w:rPr>
      <w:rFonts w:ascii="Consolas" w:hAnsi="Consolas"/>
      <w:i w:val="0"/>
      <w:color w:val="4E9A06"/>
      <w:sz w:val="22"/>
      <w:shd w:val="clear" w:color="auto" w:fill="F8F8F8"/>
    </w:rPr>
  </w:style>
  <w:style w:type="character" w:customStyle="1" w:styleId="SpecialStringTok">
    <w:name w:val="SpecialStringTok"/>
    <w:basedOn w:val="VerbatimChar"/>
    <w:rPr>
      <w:rFonts w:ascii="Consolas" w:hAnsi="Consolas"/>
      <w:i w:val="0"/>
      <w:color w:val="4E9A06"/>
      <w:sz w:val="22"/>
      <w:shd w:val="clear" w:color="auto" w:fill="F8F8F8"/>
    </w:rPr>
  </w:style>
  <w:style w:type="character" w:customStyle="1" w:styleId="ImportTok">
    <w:name w:val="ImportTok"/>
    <w:basedOn w:val="VerbatimChar"/>
    <w:rPr>
      <w:rFonts w:ascii="Consolas" w:hAnsi="Consolas"/>
      <w:i w:val="0"/>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i w:val="0"/>
      <w:color w:val="8F5902"/>
      <w:sz w:val="22"/>
      <w:shd w:val="clear" w:color="auto" w:fill="F8F8F8"/>
    </w:rPr>
  </w:style>
  <w:style w:type="character" w:customStyle="1" w:styleId="FunctionTok">
    <w:name w:val="FunctionTok"/>
    <w:basedOn w:val="VerbatimChar"/>
    <w:rPr>
      <w:rFonts w:ascii="Consolas" w:hAnsi="Consolas"/>
      <w:i w:val="0"/>
      <w:color w:val="000000"/>
      <w:sz w:val="22"/>
      <w:shd w:val="clear" w:color="auto" w:fill="F8F8F8"/>
    </w:rPr>
  </w:style>
  <w:style w:type="character" w:customStyle="1" w:styleId="VariableTok">
    <w:name w:val="VariableTok"/>
    <w:basedOn w:val="VerbatimChar"/>
    <w:rPr>
      <w:rFonts w:ascii="Consolas" w:hAnsi="Consolas"/>
      <w:i w:val="0"/>
      <w:color w:val="000000"/>
      <w:sz w:val="22"/>
      <w:shd w:val="clear" w:color="auto" w:fill="F8F8F8"/>
    </w:rPr>
  </w:style>
  <w:style w:type="character" w:customStyle="1" w:styleId="ControlFlowTok">
    <w:name w:val="ControlFlowTok"/>
    <w:basedOn w:val="VerbatimChar"/>
    <w:rPr>
      <w:rFonts w:ascii="Consolas" w:hAnsi="Consolas"/>
      <w:b/>
      <w:i w:val="0"/>
      <w:color w:val="204A87"/>
      <w:sz w:val="22"/>
      <w:shd w:val="clear" w:color="auto" w:fill="F8F8F8"/>
    </w:rPr>
  </w:style>
  <w:style w:type="character" w:customStyle="1" w:styleId="OperatorTok">
    <w:name w:val="OperatorTok"/>
    <w:basedOn w:val="VerbatimChar"/>
    <w:rPr>
      <w:rFonts w:ascii="Consolas" w:hAnsi="Consolas"/>
      <w:b/>
      <w:i w:val="0"/>
      <w:color w:val="CE5C00"/>
      <w:sz w:val="22"/>
      <w:shd w:val="clear" w:color="auto" w:fill="F8F8F8"/>
    </w:rPr>
  </w:style>
  <w:style w:type="character" w:customStyle="1" w:styleId="BuiltInTok">
    <w:name w:val="BuiltInTok"/>
    <w:basedOn w:val="VerbatimChar"/>
    <w:rPr>
      <w:rFonts w:ascii="Consolas" w:hAnsi="Consolas"/>
      <w:i w:val="0"/>
      <w:sz w:val="22"/>
      <w:shd w:val="clear" w:color="auto" w:fill="F8F8F8"/>
    </w:rPr>
  </w:style>
  <w:style w:type="character" w:customStyle="1" w:styleId="ExtensionTok">
    <w:name w:val="ExtensionTok"/>
    <w:basedOn w:val="VerbatimChar"/>
    <w:rPr>
      <w:rFonts w:ascii="Consolas" w:hAnsi="Consolas"/>
      <w:i w:val="0"/>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i w:val="0"/>
      <w:color w:val="C4A000"/>
      <w:sz w:val="22"/>
      <w:shd w:val="clear" w:color="auto" w:fill="F8F8F8"/>
    </w:rPr>
  </w:style>
  <w:style w:type="character" w:customStyle="1" w:styleId="RegionMarkerTok">
    <w:name w:val="RegionMarkerTok"/>
    <w:basedOn w:val="VerbatimChar"/>
    <w:rPr>
      <w:rFonts w:ascii="Consolas" w:hAnsi="Consolas"/>
      <w:i w:val="0"/>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i w:val="0"/>
      <w:color w:val="EF2929"/>
      <w:sz w:val="22"/>
      <w:shd w:val="clear" w:color="auto" w:fill="F8F8F8"/>
    </w:rPr>
  </w:style>
  <w:style w:type="character" w:customStyle="1" w:styleId="ErrorTok">
    <w:name w:val="ErrorTok"/>
    <w:basedOn w:val="VerbatimChar"/>
    <w:rPr>
      <w:rFonts w:ascii="Consolas" w:hAnsi="Consolas"/>
      <w:b/>
      <w:i w:val="0"/>
      <w:color w:val="A40000"/>
      <w:sz w:val="22"/>
      <w:shd w:val="clear" w:color="auto" w:fill="F8F8F8"/>
    </w:rPr>
  </w:style>
  <w:style w:type="character" w:customStyle="1" w:styleId="NormalTok">
    <w:name w:val="NormalTok"/>
    <w:basedOn w:val="VerbatimChar"/>
    <w:rPr>
      <w:rFonts w:ascii="Consolas" w:hAnsi="Consolas"/>
      <w:i w:val="0"/>
      <w:sz w:val="22"/>
      <w:shd w:val="clear" w:color="auto" w:fill="F8F8F8"/>
    </w:rPr>
  </w:style>
  <w:style w:type="paragraph" w:styleId="NoSpacing">
    <w:name w:val="No Spacing"/>
    <w:rsid w:val="00803881"/>
    <w:pPr>
      <w:spacing w:after="0"/>
    </w:pPr>
  </w:style>
  <w:style w:type="character" w:customStyle="1" w:styleId="BodyTextChar">
    <w:name w:val="Body Text Char"/>
    <w:basedOn w:val="DefaultParagraphFont"/>
    <w:link w:val="BodyText"/>
    <w:rsid w:val="003D27E7"/>
    <w:rPr>
      <w:rFonts w:ascii="Times New Roman" w:hAnsi="Times New Roman"/>
    </w:rPr>
  </w:style>
  <w:style w:type="paragraph" w:styleId="PlainText">
    <w:name w:val="Plain Text"/>
    <w:basedOn w:val="Normal"/>
    <w:link w:val="PlainTextChar"/>
    <w:unhideWhenUsed/>
    <w:rsid w:val="00803881"/>
    <w:pPr>
      <w:spacing w:after="0"/>
    </w:pPr>
    <w:rPr>
      <w:rFonts w:ascii="Times New Roman" w:hAnsi="Times New Roman"/>
      <w:szCs w:val="21"/>
    </w:rPr>
  </w:style>
  <w:style w:type="character" w:customStyle="1" w:styleId="PlainTextChar">
    <w:name w:val="Plain Text Char"/>
    <w:basedOn w:val="DefaultParagraphFont"/>
    <w:link w:val="PlainText"/>
    <w:rsid w:val="00803881"/>
    <w:rPr>
      <w:rFonts w:ascii="Times New Roman" w:hAnsi="Times New Roman"/>
      <w:szCs w:val="21"/>
    </w:rPr>
  </w:style>
  <w:style w:type="character" w:styleId="PlaceholderText">
    <w:name w:val="Placeholder Text"/>
    <w:basedOn w:val="DefaultParagraphFont"/>
    <w:semiHidden/>
    <w:rsid w:val="000814E8"/>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6" Target="media/rId26.png" /><Relationship Type="http://schemas.openxmlformats.org/officeDocument/2006/relationships/image" Id="rId25" Target="media/rId25.png" /><Relationship Type="http://schemas.openxmlformats.org/officeDocument/2006/relationships/hyperlink" Id="rId136" Target="https://doi.org/10.1001/jama.2020.6548" TargetMode="External" /><Relationship Type="http://schemas.openxmlformats.org/officeDocument/2006/relationships/hyperlink" Id="rId124" Target="https://doi.org/10.1007/s11127-009-9399-x" TargetMode="External" /><Relationship Type="http://schemas.openxmlformats.org/officeDocument/2006/relationships/hyperlink" Id="rId68" Target="https://doi.org/10.1007/s11138-007-0035-z" TargetMode="External" /><Relationship Type="http://schemas.openxmlformats.org/officeDocument/2006/relationships/hyperlink" Id="rId84" Target="https://doi.org/10.1016/j.ecolecon.2017.04.017" TargetMode="External" /><Relationship Type="http://schemas.openxmlformats.org/officeDocument/2006/relationships/hyperlink" Id="rId131" Target="https://doi.org/10.1016/j.jebo.2020.10.008" TargetMode="External" /><Relationship Type="http://schemas.openxmlformats.org/officeDocument/2006/relationships/hyperlink" Id="rId112" Target="https://doi.org/10.1016/j.puhe.2014.05.015" TargetMode="External" /><Relationship Type="http://schemas.openxmlformats.org/officeDocument/2006/relationships/hyperlink" Id="rId97" Target="https://doi.org/10.1016/j.socscimed.2006.02.017" TargetMode="External" /><Relationship Type="http://schemas.openxmlformats.org/officeDocument/2006/relationships/hyperlink" Id="rId60" Target="https://doi.org/10.1016/j.socscimed.2020.113501" TargetMode="External" /><Relationship Type="http://schemas.openxmlformats.org/officeDocument/2006/relationships/hyperlink" Id="rId102" Target="https://doi.org/10.1016/j.vaccine.2018.12.037" TargetMode="External" /><Relationship Type="http://schemas.openxmlformats.org/officeDocument/2006/relationships/hyperlink" Id="rId49" Target="https://doi.org/10.1017/S1744137408001227" TargetMode="External" /><Relationship Type="http://schemas.openxmlformats.org/officeDocument/2006/relationships/hyperlink" Id="rId120" Target="https://doi.org/10.1038/s41366-020-0635-2" TargetMode="External" /><Relationship Type="http://schemas.openxmlformats.org/officeDocument/2006/relationships/hyperlink" Id="rId78" Target="https://doi.org/10.1080/09538250701661806" TargetMode="External" /><Relationship Type="http://schemas.openxmlformats.org/officeDocument/2006/relationships/hyperlink" Id="rId133" Target="https://doi.org/10.1080/21620555.2020.1814139" TargetMode="External" /><Relationship Type="http://schemas.openxmlformats.org/officeDocument/2006/relationships/hyperlink" Id="rId43" Target="https://doi.org/10.1086/261712" TargetMode="External" /><Relationship Type="http://schemas.openxmlformats.org/officeDocument/2006/relationships/hyperlink" Id="rId87" Target="https://doi.org/10.1086/426041" TargetMode="External" /><Relationship Type="http://schemas.openxmlformats.org/officeDocument/2006/relationships/hyperlink" Id="rId33" Target="https://doi.org/10.1086/529000" TargetMode="External" /><Relationship Type="http://schemas.openxmlformats.org/officeDocument/2006/relationships/hyperlink" Id="rId52" Target="https://doi.org/10.1086/677189" TargetMode="External" /><Relationship Type="http://schemas.openxmlformats.org/officeDocument/2006/relationships/hyperlink" Id="rId35" Target="https://doi.org/10.1086/677190" TargetMode="External" /><Relationship Type="http://schemas.openxmlformats.org/officeDocument/2006/relationships/hyperlink" Id="rId47" Target="https://doi.org/10.1111/1475-5890.12246" TargetMode="External" /><Relationship Type="http://schemas.openxmlformats.org/officeDocument/2006/relationships/hyperlink" Id="rId91" Target="https://doi.org/10.1111/coep.12504" TargetMode="External" /><Relationship Type="http://schemas.openxmlformats.org/officeDocument/2006/relationships/hyperlink" Id="rId45" Target="https://doi.org/10.1111/j.1467-6435.2006.00324.x" TargetMode="External" /><Relationship Type="http://schemas.openxmlformats.org/officeDocument/2006/relationships/hyperlink" Id="rId58" Target="https://doi.org/10.1111/j.1536-7150.2008.00573.x" TargetMode="External" /><Relationship Type="http://schemas.openxmlformats.org/officeDocument/2006/relationships/hyperlink" Id="rId64" Target="https://doi.org/10.1111/joes.12423" TargetMode="External" /><Relationship Type="http://schemas.openxmlformats.org/officeDocument/2006/relationships/hyperlink" Id="rId70" Target="https://doi.org/10.1177/0098858816658271" TargetMode="External" /><Relationship Type="http://schemas.openxmlformats.org/officeDocument/2006/relationships/hyperlink" Id="rId109" Target="https://doi.org/10.1177/0890117120924531" TargetMode="External" /><Relationship Type="http://schemas.openxmlformats.org/officeDocument/2006/relationships/hyperlink" Id="rId72" Target="https://doi.org/10.1177/1073110517750586" TargetMode="External" /><Relationship Type="http://schemas.openxmlformats.org/officeDocument/2006/relationships/hyperlink" Id="rId114" Target="https://doi.org/10.1177/1403494813494975" TargetMode="External" /><Relationship Type="http://schemas.openxmlformats.org/officeDocument/2006/relationships/hyperlink" Id="rId39" Target="https://doi.org/10.1177/1532673X20973453" TargetMode="External" /><Relationship Type="http://schemas.openxmlformats.org/officeDocument/2006/relationships/hyperlink" Id="rId95" Target="https://doi.org/10.1186/s12889-021-10475-8" TargetMode="External" /><Relationship Type="http://schemas.openxmlformats.org/officeDocument/2006/relationships/hyperlink" Id="rId129" Target="https://doi.org/10.1186/s12992-020-00615-x" TargetMode="External" /><Relationship Type="http://schemas.openxmlformats.org/officeDocument/2006/relationships/hyperlink" Id="rId37" Target="https://doi.org/10.1215/03616878-8802162" TargetMode="External" /><Relationship Type="http://schemas.openxmlformats.org/officeDocument/2006/relationships/hyperlink" Id="rId80" Target="https://doi.org/10.1371/journal.pone.0122970" TargetMode="External" /><Relationship Type="http://schemas.openxmlformats.org/officeDocument/2006/relationships/hyperlink" Id="rId99" Target="https://doi.org/10.1371/journal.pone.0245135" TargetMode="External" /><Relationship Type="http://schemas.openxmlformats.org/officeDocument/2006/relationships/hyperlink" Id="rId56" Target="https://doi.org/10.1561/0300000018" TargetMode="External" /><Relationship Type="http://schemas.openxmlformats.org/officeDocument/2006/relationships/hyperlink" Id="rId76" Target="https://doi.org/10.2139/ssrn.3734711" TargetMode="External" /><Relationship Type="http://schemas.openxmlformats.org/officeDocument/2006/relationships/hyperlink" Id="rId66" Target="https://doi.org/10.2139/ssrn.3747216" TargetMode="External" /><Relationship Type="http://schemas.openxmlformats.org/officeDocument/2006/relationships/hyperlink" Id="rId54" Target="https://doi.org/10.2307/2534695" TargetMode="External" /><Relationship Type="http://schemas.openxmlformats.org/officeDocument/2006/relationships/hyperlink" Id="rId107" Target="https://doi.org/10.4103/jpgm.JPGM_249_17" TargetMode="External" /><Relationship Type="http://schemas.openxmlformats.org/officeDocument/2006/relationships/hyperlink" Id="rId89" Target="https://doi.org/10.4269/ajtmh.2001.64.85" TargetMode="External" /><Relationship Type="http://schemas.openxmlformats.org/officeDocument/2006/relationships/hyperlink" Id="rId127" Target="https://econpapers.repec.org/article/ucpjlawec/doi_3a10.1086_2f658493.htm" TargetMode="External" /><Relationship Type="http://schemas.openxmlformats.org/officeDocument/2006/relationships/hyperlink" Id="rId82" Target="https://voxeu.org/article/civic-capital-and-social-distancing" TargetMode="External" /><Relationship Type="http://schemas.openxmlformats.org/officeDocument/2006/relationships/hyperlink" Id="rId74" Target="https://www.ebhsoc.org/journal/index.php/ebhs/article/view/373" TargetMode="External" /><Relationship Type="http://schemas.openxmlformats.org/officeDocument/2006/relationships/hyperlink" Id="rId41" Target="https://www.iza.org/publications/dp/13310/social-capital-and-the-spread-of-covid-19-insights-from-european-countries" TargetMode="External" /><Relationship Type="http://schemas.openxmlformats.org/officeDocument/2006/relationships/hyperlink" Id="rId116" Target="https://www.jec.senate.gov/public/index.cfm/republicans/socialcapitalproject" TargetMode="External" /></Relationships>
</file>

<file path=word/_rels/footnotes.xml.rels><?xml version="1.0" encoding="UTF-8"?>
<Relationships xmlns="http://schemas.openxmlformats.org/package/2006/relationships"><Relationship Type="http://schemas.openxmlformats.org/officeDocument/2006/relationships/hyperlink" Id="rId136" Target="https://doi.org/10.1001/jama.2020.6548" TargetMode="External" /><Relationship Type="http://schemas.openxmlformats.org/officeDocument/2006/relationships/hyperlink" Id="rId124" Target="https://doi.org/10.1007/s11127-009-9399-x" TargetMode="External" /><Relationship Type="http://schemas.openxmlformats.org/officeDocument/2006/relationships/hyperlink" Id="rId68" Target="https://doi.org/10.1007/s11138-007-0035-z" TargetMode="External" /><Relationship Type="http://schemas.openxmlformats.org/officeDocument/2006/relationships/hyperlink" Id="rId84" Target="https://doi.org/10.1016/j.ecolecon.2017.04.017" TargetMode="External" /><Relationship Type="http://schemas.openxmlformats.org/officeDocument/2006/relationships/hyperlink" Id="rId131" Target="https://doi.org/10.1016/j.jebo.2020.10.008" TargetMode="External" /><Relationship Type="http://schemas.openxmlformats.org/officeDocument/2006/relationships/hyperlink" Id="rId112" Target="https://doi.org/10.1016/j.puhe.2014.05.015" TargetMode="External" /><Relationship Type="http://schemas.openxmlformats.org/officeDocument/2006/relationships/hyperlink" Id="rId97" Target="https://doi.org/10.1016/j.socscimed.2006.02.017" TargetMode="External" /><Relationship Type="http://schemas.openxmlformats.org/officeDocument/2006/relationships/hyperlink" Id="rId60" Target="https://doi.org/10.1016/j.socscimed.2020.113501" TargetMode="External" /><Relationship Type="http://schemas.openxmlformats.org/officeDocument/2006/relationships/hyperlink" Id="rId102" Target="https://doi.org/10.1016/j.vaccine.2018.12.037" TargetMode="External" /><Relationship Type="http://schemas.openxmlformats.org/officeDocument/2006/relationships/hyperlink" Id="rId49" Target="https://doi.org/10.1017/S1744137408001227" TargetMode="External" /><Relationship Type="http://schemas.openxmlformats.org/officeDocument/2006/relationships/hyperlink" Id="rId120" Target="https://doi.org/10.1038/s41366-020-0635-2" TargetMode="External" /><Relationship Type="http://schemas.openxmlformats.org/officeDocument/2006/relationships/hyperlink" Id="rId78" Target="https://doi.org/10.1080/09538250701661806" TargetMode="External" /><Relationship Type="http://schemas.openxmlformats.org/officeDocument/2006/relationships/hyperlink" Id="rId133" Target="https://doi.org/10.1080/21620555.2020.1814139" TargetMode="External" /><Relationship Type="http://schemas.openxmlformats.org/officeDocument/2006/relationships/hyperlink" Id="rId43" Target="https://doi.org/10.1086/261712" TargetMode="External" /><Relationship Type="http://schemas.openxmlformats.org/officeDocument/2006/relationships/hyperlink" Id="rId87" Target="https://doi.org/10.1086/426041" TargetMode="External" /><Relationship Type="http://schemas.openxmlformats.org/officeDocument/2006/relationships/hyperlink" Id="rId33" Target="https://doi.org/10.1086/529000" TargetMode="External" /><Relationship Type="http://schemas.openxmlformats.org/officeDocument/2006/relationships/hyperlink" Id="rId52" Target="https://doi.org/10.1086/677189" TargetMode="External" /><Relationship Type="http://schemas.openxmlformats.org/officeDocument/2006/relationships/hyperlink" Id="rId35" Target="https://doi.org/10.1086/677190" TargetMode="External" /><Relationship Type="http://schemas.openxmlformats.org/officeDocument/2006/relationships/hyperlink" Id="rId47" Target="https://doi.org/10.1111/1475-5890.12246" TargetMode="External" /><Relationship Type="http://schemas.openxmlformats.org/officeDocument/2006/relationships/hyperlink" Id="rId91" Target="https://doi.org/10.1111/coep.12504" TargetMode="External" /><Relationship Type="http://schemas.openxmlformats.org/officeDocument/2006/relationships/hyperlink" Id="rId45" Target="https://doi.org/10.1111/j.1467-6435.2006.00324.x" TargetMode="External" /><Relationship Type="http://schemas.openxmlformats.org/officeDocument/2006/relationships/hyperlink" Id="rId58" Target="https://doi.org/10.1111/j.1536-7150.2008.00573.x" TargetMode="External" /><Relationship Type="http://schemas.openxmlformats.org/officeDocument/2006/relationships/hyperlink" Id="rId64" Target="https://doi.org/10.1111/joes.12423" TargetMode="External" /><Relationship Type="http://schemas.openxmlformats.org/officeDocument/2006/relationships/hyperlink" Id="rId70" Target="https://doi.org/10.1177/0098858816658271" TargetMode="External" /><Relationship Type="http://schemas.openxmlformats.org/officeDocument/2006/relationships/hyperlink" Id="rId109" Target="https://doi.org/10.1177/0890117120924531" TargetMode="External" /><Relationship Type="http://schemas.openxmlformats.org/officeDocument/2006/relationships/hyperlink" Id="rId72" Target="https://doi.org/10.1177/1073110517750586" TargetMode="External" /><Relationship Type="http://schemas.openxmlformats.org/officeDocument/2006/relationships/hyperlink" Id="rId114" Target="https://doi.org/10.1177/1403494813494975" TargetMode="External" /><Relationship Type="http://schemas.openxmlformats.org/officeDocument/2006/relationships/hyperlink" Id="rId39" Target="https://doi.org/10.1177/1532673X20973453" TargetMode="External" /><Relationship Type="http://schemas.openxmlformats.org/officeDocument/2006/relationships/hyperlink" Id="rId95" Target="https://doi.org/10.1186/s12889-021-10475-8" TargetMode="External" /><Relationship Type="http://schemas.openxmlformats.org/officeDocument/2006/relationships/hyperlink" Id="rId129" Target="https://doi.org/10.1186/s12992-020-00615-x" TargetMode="External" /><Relationship Type="http://schemas.openxmlformats.org/officeDocument/2006/relationships/hyperlink" Id="rId37" Target="https://doi.org/10.1215/03616878-8802162" TargetMode="External" /><Relationship Type="http://schemas.openxmlformats.org/officeDocument/2006/relationships/hyperlink" Id="rId80" Target="https://doi.org/10.1371/journal.pone.0122970" TargetMode="External" /><Relationship Type="http://schemas.openxmlformats.org/officeDocument/2006/relationships/hyperlink" Id="rId99" Target="https://doi.org/10.1371/journal.pone.0245135" TargetMode="External" /><Relationship Type="http://schemas.openxmlformats.org/officeDocument/2006/relationships/hyperlink" Id="rId56" Target="https://doi.org/10.1561/0300000018" TargetMode="External" /><Relationship Type="http://schemas.openxmlformats.org/officeDocument/2006/relationships/hyperlink" Id="rId76" Target="https://doi.org/10.2139/ssrn.3734711" TargetMode="External" /><Relationship Type="http://schemas.openxmlformats.org/officeDocument/2006/relationships/hyperlink" Id="rId66" Target="https://doi.org/10.2139/ssrn.3747216" TargetMode="External" /><Relationship Type="http://schemas.openxmlformats.org/officeDocument/2006/relationships/hyperlink" Id="rId54" Target="https://doi.org/10.2307/2534695" TargetMode="External" /><Relationship Type="http://schemas.openxmlformats.org/officeDocument/2006/relationships/hyperlink" Id="rId107" Target="https://doi.org/10.4103/jpgm.JPGM_249_17" TargetMode="External" /><Relationship Type="http://schemas.openxmlformats.org/officeDocument/2006/relationships/hyperlink" Id="rId89" Target="https://doi.org/10.4269/ajtmh.2001.64.85" TargetMode="External" /><Relationship Type="http://schemas.openxmlformats.org/officeDocument/2006/relationships/hyperlink" Id="rId127" Target="https://econpapers.repec.org/article/ucpjlawec/doi_3a10.1086_2f658493.htm" TargetMode="External" /><Relationship Type="http://schemas.openxmlformats.org/officeDocument/2006/relationships/hyperlink" Id="rId82" Target="https://voxeu.org/article/civic-capital-and-social-distancing" TargetMode="External" /><Relationship Type="http://schemas.openxmlformats.org/officeDocument/2006/relationships/hyperlink" Id="rId74" Target="https://www.ebhsoc.org/journal/index.php/ebhs/article/view/373" TargetMode="External" /><Relationship Type="http://schemas.openxmlformats.org/officeDocument/2006/relationships/hyperlink" Id="rId41" Target="https://www.iza.org/publications/dp/13310/social-capital-and-the-spread-of-covid-19-insights-from-european-countries" TargetMode="External" /><Relationship Type="http://schemas.openxmlformats.org/officeDocument/2006/relationships/hyperlink" Id="rId116" Target="https://www.jec.senate.gov/public/index.cfm/republicans/socialcapitalproject"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55</TotalTime>
  <Pages>2</Pages>
  <Words>141</Words>
  <Characters>809</Characters>
  <Application>Microsoft Office Word</Application>
  <DocSecurity>0</DocSecurity>
  <Lines>6</Lines>
  <Paragraphs>1</Paragraphs>
  <ScaleCrop>false</ScaleCrop>
  <Company/>
  <LinksUpToDate>false</LinksUpToDate>
  <CharactersWithSpaces>949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 Alone: The Complementarity between Social Capital and Formal Public Health Rules in the United States</dc:title>
  <dc:creator/>
  <cp:keywords/>
  <dcterms:created xsi:type="dcterms:W3CDTF">2022-01-26T20:57:43Z</dcterms:created>
  <dcterms:modified xsi:type="dcterms:W3CDTF">2022-01-26T20:57:43Z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ABSTRACT The spread of COVID-19 provides a unique opportunity to explore the interactive effect between formal and informal rules. While economists and public health scholars realize the independent effects social capital and stringent public health rules have on prevalence and mortality rates, we advance this literature with a novel framework to analyze the interaction between the two. With state-level data on daily COVID-19 cases, a measure of policy stringency, and various measures of social capital, we find that prevalence rates fall by a larger amount in states where people place a higher value on COVID-19 prevention, where public health measures are more stringent, and where there are higher levels of social capital. We estimate that states with higher values for prevention and higher social capital experienced 81 fewer new daily COVID-19 cases per million. The main results are robust to the inclusion of relevant controls, various specifications, and alternative measures of social capital. These results suggest that individuals and the communities they enter into and exit out of play an important role in the spread and prevention of infectious diseases independent of formal, governmental public health responses.</vt:lpwstr>
  </property>
  <property fmtid="{D5CDD505-2E9C-101B-9397-08002B2CF9AE}" pid="3" name="bibliography">
    <vt:lpwstr>covid-references.bib</vt:lpwstr>
  </property>
  <property fmtid="{D5CDD505-2E9C-101B-9397-08002B2CF9AE}" pid="4" name="output">
    <vt:lpwstr/>
  </property>
</Properties>
</file>