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120 Years of Olympic History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Anna Frazier, Alex Carson, Nikhil Murty, Arion Morshedian, Justin Kim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Final Project Plan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560.348 - Probability &amp; Statistics for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Motivations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For many people the idea of becoming an olympic athlete is a monumental feat. We hope to demystify this process by statistically determining the best way for potential athletes or even the average person to start training.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Hypothesis 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If we analyze the past 120 years olympic history data, we will be able to determine a relationship between a person’s build and the sports they will perform best with, as well as a relationship between performance in a certain sport and an athlete's origin.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Research Approach  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Categories -&gt; conduct statistical analysis on each category (std, mean, distribution) -&gt; Match to user input -&gt; output results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Methods From Class 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Normal Distributions for ages and weights, Z- score, confidence interval, averages, standard deviations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 Sources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Kaggle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May 7th - Submit Poster and Code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May 9th - Poster Presentations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Task Division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Arion: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Matlab (Machine Learning Applications), Poster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Alex: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Matlab (Machine Learning Applications), Poster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Nikhil: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Matlab (User Interface), GitHub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Justin: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Matlab (Statistics Application), Poster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nna: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Matlab (Organization &amp; Commenting), Poster 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