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9E" w:rsidRDefault="00EF3950" w:rsidP="00AF1D9E">
      <w:pPr>
        <w:pStyle w:val="Heading1"/>
      </w:pPr>
      <w:r>
        <w:t xml:space="preserve">CS </w:t>
      </w:r>
      <w:r w:rsidR="0011149E">
        <w:t>480: Mobile Apps –</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11149E">
              <w:rPr>
                <w:rFonts w:ascii="Calibri" w:eastAsia="Times New Roman" w:hAnsi="Calibri" w:cs="Times New Roman"/>
              </w:rPr>
              <w:t>480</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11149E" w:rsidP="002070D0">
            <w:pPr>
              <w:rPr>
                <w:rFonts w:ascii="Calibri" w:eastAsia="Times New Roman" w:hAnsi="Calibri" w:cs="Times New Roman"/>
              </w:rPr>
            </w:pPr>
            <w:r>
              <w:rPr>
                <w:rFonts w:ascii="Calibri" w:eastAsia="Times New Roman" w:hAnsi="Calibri" w:cs="Times New Roman"/>
              </w:rPr>
              <w:t>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8A2A26" w:rsidP="002070D0">
            <w:pPr>
              <w:rPr>
                <w:rFonts w:ascii="Calibri" w:eastAsia="Times New Roman" w:hAnsi="Calibri" w:cs="Times New Roman"/>
              </w:rPr>
            </w:pPr>
            <w:r>
              <w:rPr>
                <w:rFonts w:ascii="Calibri" w:hAnsi="Calibri" w:cs="Times New Roman"/>
              </w:rPr>
              <w:t>Spring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11149E">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11149E" w:rsidP="002070D0">
            <w:pPr>
              <w:rPr>
                <w:rFonts w:ascii="Calibri" w:hAnsi="Calibri" w:cs="Times New Roman"/>
              </w:rPr>
            </w:pPr>
            <w:r>
              <w:rPr>
                <w:rFonts w:ascii="Calibri" w:hAnsi="Calibri" w:cs="Times New Roman"/>
              </w:rPr>
              <w:t>M: 3-4:50, W: 1-2:50; both in BSS 313</w:t>
            </w:r>
            <w:r w:rsidR="00F16A9D">
              <w:rPr>
                <w:rFonts w:ascii="Calibri" w:hAnsi="Calibri" w:cs="Times New Roman"/>
              </w:rPr>
              <w:t xml:space="preserve"> </w:t>
            </w:r>
          </w:p>
          <w:p w:rsidR="00F16A9D" w:rsidRPr="00EF1B0D" w:rsidRDefault="00F16A9D" w:rsidP="008A2A26">
            <w:pPr>
              <w:rPr>
                <w:rFonts w:ascii="Calibri" w:eastAsia="Times New Roman" w:hAnsi="Calibri" w:cs="Times New Roman"/>
                <w:b/>
              </w:rPr>
            </w:pP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11149E">
            <w:pPr>
              <w:rPr>
                <w:rFonts w:ascii="Calibri" w:hAnsi="Calibri" w:cs="Times New Roman"/>
              </w:rPr>
            </w:pPr>
            <w:r>
              <w:rPr>
                <w:rFonts w:ascii="Calibri" w:hAnsi="Calibri" w:cs="Times New Roman"/>
              </w:rPr>
              <w:t>Github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FC57EC" w:rsidP="009843BC">
            <w:pPr>
              <w:rPr>
                <w:rFonts w:ascii="Calibri" w:eastAsia="Times New Roman" w:hAnsi="Calibri" w:cs="Times New Roman"/>
              </w:rPr>
            </w:pPr>
            <w:r>
              <w:rPr>
                <w:rFonts w:ascii="Calibri" w:hAnsi="Calibri" w:cs="Times New Roman"/>
              </w:rPr>
              <w:t>Tu</w:t>
            </w:r>
            <w:r w:rsidR="009843BC">
              <w:rPr>
                <w:rFonts w:ascii="Calibri" w:hAnsi="Calibri" w:cs="Times New Roman"/>
              </w:rPr>
              <w:t xml:space="preserve"> 11:30-4:00 (except 12:30-1:00 for lunch), Th 10</w:t>
            </w:r>
            <w:r>
              <w:rPr>
                <w:rFonts w:ascii="Calibri" w:hAnsi="Calibri" w:cs="Times New Roman"/>
              </w:rPr>
              <w:t>:30-</w:t>
            </w:r>
            <w:r w:rsidR="009843BC">
              <w:rPr>
                <w:rFonts w:ascii="Calibri" w:hAnsi="Calibri" w:cs="Times New Roman"/>
              </w:rPr>
              <w:t>12:30; 2:00-</w:t>
            </w:r>
            <w:r>
              <w:rPr>
                <w:rFonts w:ascii="Calibri" w:hAnsi="Calibri" w:cs="Times New Roman"/>
              </w:rPr>
              <w:t>4:00</w:t>
            </w:r>
            <w:r w:rsidR="009843BC">
              <w:rPr>
                <w:rFonts w:ascii="Calibri" w:hAnsi="Calibri" w:cs="Times New Roman"/>
              </w:rPr>
              <w:t xml:space="preserve">; </w:t>
            </w:r>
            <w:bookmarkStart w:id="0" w:name="_GoBack"/>
            <w:bookmarkEnd w:id="0"/>
            <w:r w:rsidR="00F16A9D"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1149E" w:rsidP="00F16A9D">
      <w:pPr>
        <w:rPr>
          <w:rFonts w:ascii="Calibri" w:eastAsia="Times New Roman" w:hAnsi="Calibri" w:cs="Times New Roman"/>
        </w:rPr>
      </w:pPr>
      <w:r>
        <w:rPr>
          <w:rFonts w:ascii="Calibri" w:eastAsia="Times New Roman" w:hAnsi="Calibri" w:cs="Times New Roman"/>
        </w:rPr>
        <w:t>None!</w:t>
      </w:r>
    </w:p>
    <w:p w:rsidR="005B2386" w:rsidRDefault="005B2386" w:rsidP="005B2386">
      <w:pPr>
        <w:pStyle w:val="Heading2"/>
        <w:rPr>
          <w:rFonts w:eastAsia="Times New Roman"/>
        </w:rPr>
      </w:pPr>
      <w:r>
        <w:rPr>
          <w:rFonts w:eastAsia="Times New Roman"/>
        </w:rPr>
        <w:t>Other Materials</w:t>
      </w:r>
    </w:p>
    <w:p w:rsidR="005B2386" w:rsidRPr="005B2386" w:rsidRDefault="0011149E" w:rsidP="00F16A9D">
      <w:r>
        <w:t>None!</w:t>
      </w:r>
    </w:p>
    <w:p w:rsidR="00AF1D9E" w:rsidRDefault="00AF1D9E" w:rsidP="00AF1D9E">
      <w:pPr>
        <w:pStyle w:val="Heading2"/>
      </w:pPr>
      <w:r>
        <w:t>Course Outline</w:t>
      </w:r>
    </w:p>
    <w:p w:rsidR="00F16A9D" w:rsidRPr="00EF1B0D" w:rsidRDefault="00511E65" w:rsidP="00F16A9D">
      <w:pPr>
        <w:rPr>
          <w:rFonts w:ascii="Calibri" w:eastAsia="Times New Roman" w:hAnsi="Calibri" w:cs="Times New Roman"/>
        </w:rPr>
      </w:pPr>
      <w:r>
        <w:rPr>
          <w:rFonts w:ascii="Calibri" w:eastAsia="Times New Roman" w:hAnsi="Calibri" w:cs="Times New Roman"/>
        </w:rPr>
        <w:t xml:space="preserve">In this course, we will explore mobile application development and related technologies using Android.  In completing this course, you will create 5 finished projects that demonstrate your proficiency in the usage of phone features (e.g. accelerometer, GPS, camera), web services, and mobile games.  </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lastRenderedPageBreak/>
        <w:t>•</w:t>
      </w:r>
      <w:r>
        <w:tab/>
        <w:t>Communicating and Collaborating</w:t>
      </w:r>
    </w:p>
    <w:p w:rsidR="00144B1A" w:rsidRDefault="00144B1A" w:rsidP="00144B1A">
      <w:pPr>
        <w:spacing w:line="240" w:lineRule="auto"/>
        <w:contextualSpacing/>
      </w:pPr>
    </w:p>
    <w:p w:rsidR="002F2581" w:rsidRPr="00EE3AFD" w:rsidRDefault="00F16A9D" w:rsidP="002F2581">
      <w:r w:rsidRPr="00EE3AFD">
        <w:t xml:space="preserve">This course addresses </w:t>
      </w:r>
      <w:r w:rsidR="002F2581">
        <w:t xml:space="preserve">all three outcomes </w:t>
      </w:r>
      <w:r w:rsidRPr="00EE3AFD">
        <w:t xml:space="preserve">at a </w:t>
      </w:r>
      <w:r w:rsidR="002F2581">
        <w:t>high</w:t>
      </w:r>
      <w:r w:rsidRPr="00EE3AFD">
        <w:t xml:space="preserve"> level</w:t>
      </w:r>
      <w:r w:rsidR="002F2581">
        <w:t xml:space="preserve">.  This course requires you to integrate knowledge gained throughout the curriculum.  Furthermore, you will be required to submit supporting documentation for each assignment.  Lastly, teamwork will be stressed as the final project will be team-based.  </w:t>
      </w:r>
    </w:p>
    <w:p w:rsidR="00F16A9D" w:rsidRPr="00EE3AFD" w:rsidRDefault="002F2581" w:rsidP="00F16A9D">
      <w:r>
        <w:t>After</w:t>
      </w:r>
      <w:r w:rsidR="00F16A9D" w:rsidRPr="00EE3AFD">
        <w:t xml:space="preserve"> successfully completing this course, students should be able to:</w:t>
      </w:r>
    </w:p>
    <w:p w:rsidR="00F16A9D" w:rsidRDefault="002F2581" w:rsidP="00F16A9D">
      <w:pPr>
        <w:pStyle w:val="ListParagraph"/>
        <w:numPr>
          <w:ilvl w:val="0"/>
          <w:numId w:val="4"/>
        </w:numPr>
        <w:spacing w:after="160" w:line="259" w:lineRule="auto"/>
      </w:pPr>
      <w:r>
        <w:t>Create basic single-page applications</w:t>
      </w:r>
    </w:p>
    <w:p w:rsidR="002F2581" w:rsidRDefault="002F2581" w:rsidP="00F16A9D">
      <w:pPr>
        <w:pStyle w:val="ListParagraph"/>
        <w:numPr>
          <w:ilvl w:val="0"/>
          <w:numId w:val="4"/>
        </w:numPr>
        <w:spacing w:after="160" w:line="259" w:lineRule="auto"/>
      </w:pPr>
      <w:r>
        <w:t>Create multi-page applications</w:t>
      </w:r>
    </w:p>
    <w:p w:rsidR="002F2581" w:rsidRDefault="002F2581" w:rsidP="00F16A9D">
      <w:pPr>
        <w:pStyle w:val="ListParagraph"/>
        <w:numPr>
          <w:ilvl w:val="0"/>
          <w:numId w:val="4"/>
        </w:numPr>
        <w:spacing w:after="160" w:line="259" w:lineRule="auto"/>
      </w:pPr>
      <w:r>
        <w:t>Create applications that use phone features (e.g. camera, GPS, file system, etc.)</w:t>
      </w:r>
    </w:p>
    <w:p w:rsidR="002F2581" w:rsidRDefault="002F2581" w:rsidP="00F16A9D">
      <w:pPr>
        <w:pStyle w:val="ListParagraph"/>
        <w:numPr>
          <w:ilvl w:val="0"/>
          <w:numId w:val="4"/>
        </w:numPr>
        <w:spacing w:after="160" w:line="259" w:lineRule="auto"/>
      </w:pPr>
      <w:r>
        <w:t>Create applications that connect to web services (e.g. Google Cloud API)</w:t>
      </w:r>
    </w:p>
    <w:p w:rsidR="00F16A9D" w:rsidRDefault="002F2581" w:rsidP="00106246">
      <w:pPr>
        <w:pStyle w:val="ListParagraph"/>
        <w:numPr>
          <w:ilvl w:val="0"/>
          <w:numId w:val="4"/>
        </w:numPr>
        <w:spacing w:after="160" w:line="259" w:lineRule="auto"/>
      </w:pPr>
      <w:r>
        <w:t>Create</w:t>
      </w:r>
      <w:r w:rsidR="00106246">
        <w:t xml:space="preserve"> a basic game</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w:t>
      </w:r>
      <w:r w:rsidR="00106246">
        <w:t>20</w:t>
      </w:r>
      <w:r>
        <w:t>%)</w:t>
      </w:r>
    </w:p>
    <w:p w:rsidR="00282781" w:rsidRDefault="00106246" w:rsidP="00750B97">
      <w:pPr>
        <w:pStyle w:val="ListParagraph"/>
        <w:numPr>
          <w:ilvl w:val="0"/>
          <w:numId w:val="1"/>
        </w:numPr>
      </w:pPr>
      <w:r>
        <w:t>Assignments</w:t>
      </w:r>
      <w:r w:rsidR="00AF1D9E">
        <w:t xml:space="preserve"> (</w:t>
      </w:r>
      <w:r>
        <w:t>6</w:t>
      </w:r>
      <w:r w:rsidR="00F16A9D">
        <w:t>0</w:t>
      </w:r>
      <w:r w:rsidR="00AF1D9E">
        <w:t>%</w:t>
      </w:r>
      <w:r w:rsidR="00095E46">
        <w:t>)</w:t>
      </w:r>
    </w:p>
    <w:p w:rsidR="00AF1D9E" w:rsidRDefault="00106246" w:rsidP="008A15CA">
      <w:pPr>
        <w:pStyle w:val="ListParagraph"/>
        <w:numPr>
          <w:ilvl w:val="0"/>
          <w:numId w:val="1"/>
        </w:numPr>
      </w:pPr>
      <w:r>
        <w:t>Final Project (20%)</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EB7C59" w:rsidRDefault="00EB7C59" w:rsidP="00AE7ECE">
      <w:pPr>
        <w:pStyle w:val="Heading3"/>
      </w:pPr>
    </w:p>
    <w:p w:rsidR="00EB7C59" w:rsidRDefault="00EB7C59" w:rsidP="00AE7ECE">
      <w:pPr>
        <w:pStyle w:val="Heading3"/>
      </w:pPr>
    </w:p>
    <w:p w:rsidR="00AE7ECE" w:rsidRDefault="00AE7ECE" w:rsidP="00AE7ECE">
      <w:pPr>
        <w:pStyle w:val="Heading3"/>
      </w:pPr>
      <w:r>
        <w:t>Participation</w:t>
      </w:r>
    </w:p>
    <w:p w:rsidR="005601DB" w:rsidRDefault="005B2386" w:rsidP="00AE7ECE">
      <w:r>
        <w:t xml:space="preserve">Attendance in class is mandatory and will be collected throughout the semester.  </w:t>
      </w:r>
      <w:r w:rsidR="00106246">
        <w:t xml:space="preserve">Because this is a lab-based course that is focused on generating deliverables, it is necessary that you maintain a low absence rate.  Missing more than 5 courses may result in a failing grade regardless of marks earned from other categories.  </w:t>
      </w:r>
    </w:p>
    <w:p w:rsidR="00106246" w:rsidRDefault="00106246" w:rsidP="00106246">
      <w:pPr>
        <w:pStyle w:val="Heading3"/>
      </w:pPr>
      <w:r>
        <w:t xml:space="preserve">Homework </w:t>
      </w:r>
    </w:p>
    <w:p w:rsidR="00106246" w:rsidRDefault="00106246" w:rsidP="00AE7ECE">
      <w:r>
        <w:t xml:space="preserve">To receive full credit on a homework, you must submit your work by the stated deadline.  Work may be turned in late for reduced credit.  </w:t>
      </w:r>
    </w:p>
    <w:p w:rsidR="00106246" w:rsidRDefault="00106246" w:rsidP="00106246">
      <w:pPr>
        <w:pStyle w:val="Heading3"/>
      </w:pPr>
      <w:r>
        <w:t>Final Project</w:t>
      </w:r>
    </w:p>
    <w:p w:rsidR="00106246" w:rsidRDefault="00106246" w:rsidP="00AE7ECE">
      <w:r>
        <w:t>A final, team-based project takes the place of a more traditional final exam in this course.  Mid-way through the semester, you will submit a proposal for your final project.</w:t>
      </w:r>
    </w:p>
    <w:p w:rsidR="00F16A9D" w:rsidRDefault="00F16A9D" w:rsidP="00F16A9D">
      <w:pPr>
        <w:pStyle w:val="Heading3"/>
      </w:pPr>
      <w:r>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lastRenderedPageBreak/>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lastRenderedPageBreak/>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lastRenderedPageBreak/>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63"/>
    <w:rsid w:val="00075E0E"/>
    <w:rsid w:val="00095E46"/>
    <w:rsid w:val="00100519"/>
    <w:rsid w:val="00106246"/>
    <w:rsid w:val="0011149E"/>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2F2581"/>
    <w:rsid w:val="00300723"/>
    <w:rsid w:val="00383683"/>
    <w:rsid w:val="003B3FD1"/>
    <w:rsid w:val="0040322E"/>
    <w:rsid w:val="00480AAE"/>
    <w:rsid w:val="004F7251"/>
    <w:rsid w:val="00511E65"/>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A15CA"/>
    <w:rsid w:val="008A2A26"/>
    <w:rsid w:val="008A5857"/>
    <w:rsid w:val="008C6DE5"/>
    <w:rsid w:val="008E3C54"/>
    <w:rsid w:val="009214DC"/>
    <w:rsid w:val="00923CEE"/>
    <w:rsid w:val="009819FB"/>
    <w:rsid w:val="009843BC"/>
    <w:rsid w:val="0098619B"/>
    <w:rsid w:val="009B5FDE"/>
    <w:rsid w:val="009E196A"/>
    <w:rsid w:val="009E7C47"/>
    <w:rsid w:val="00A053EE"/>
    <w:rsid w:val="00AA5C67"/>
    <w:rsid w:val="00AE7ECE"/>
    <w:rsid w:val="00AF1D9E"/>
    <w:rsid w:val="00B555B7"/>
    <w:rsid w:val="00B93C15"/>
    <w:rsid w:val="00BB136C"/>
    <w:rsid w:val="00C50D81"/>
    <w:rsid w:val="00C973E1"/>
    <w:rsid w:val="00CD1E87"/>
    <w:rsid w:val="00D633C9"/>
    <w:rsid w:val="00DC49D9"/>
    <w:rsid w:val="00DC4AAA"/>
    <w:rsid w:val="00DE40E7"/>
    <w:rsid w:val="00E67F84"/>
    <w:rsid w:val="00EB7C59"/>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D914"/>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25</cp:revision>
  <dcterms:created xsi:type="dcterms:W3CDTF">2016-08-21T20:57:00Z</dcterms:created>
  <dcterms:modified xsi:type="dcterms:W3CDTF">2018-01-18T16:38:00Z</dcterms:modified>
</cp:coreProperties>
</file>