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51D2" w14:textId="71B61504" w:rsidR="00A61D45" w:rsidRPr="00A61D45" w:rsidRDefault="00A61D45" w:rsidP="00A61D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Background and Rationale</w:t>
      </w:r>
    </w:p>
    <w:p w14:paraId="21E1D802" w14:textId="08908738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(β-ketoacyl-ACP synthase III) is an essential enzyme in the type II fatty acid synthesis (FAS II) pathway in bacteria. It catalyzes the initial condensation of acetyl-CoA and malonyl-ACP, a critical step in membrane lipid biosynthesis.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 for bacterial viability, and its disruption has been shown to be lethal in multiple species including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S. aureus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87BB9" w14:textId="7B3460E5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Importantly, humans rely on a distinct FAS I system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which is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a large, multifunctional protein complex with no direct equivalent to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. This structural and functional divergence makes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possible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selective antibacterial target with low risk of off-target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effects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in human cells.</w:t>
      </w:r>
    </w:p>
    <w:p w14:paraId="5C1F4E7C" w14:textId="6FD8E365" w:rsidR="00A61D45" w:rsidRPr="00D0598C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To assess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FabH's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conservation across pathogens,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I performed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a multiple sequence alignment and phylogenetic analysis of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homologs from ten major Gram-positive and Gram-negative pathogens: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K. pneumoniae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A. </w:t>
      </w:r>
      <w:proofErr w:type="spellStart"/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baumannii</w:t>
      </w:r>
      <w:proofErr w:type="spellEnd"/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P. aeruginosa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S. aureus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S. pneumoniae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B. subtilis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0598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faecalis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The human fatty acid synthase (FASN) was included as a reference.</w:t>
      </w:r>
    </w:p>
    <w:p w14:paraId="23E5B953" w14:textId="77777777" w:rsidR="00A61D45" w:rsidRPr="00D0598C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7F06E" w14:textId="57811718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98C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E5FE709" wp14:editId="43DF685F">
            <wp:extent cx="4919241" cy="3668300"/>
            <wp:effectExtent l="0" t="0" r="0" b="2540"/>
            <wp:docPr id="1885121025" name="Picture 1" descr="A diagram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1025" name="Picture 1" descr="A diagram of a number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879" cy="37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C2A4" w14:textId="77777777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The phylogenetic tree revealed:</w:t>
      </w:r>
    </w:p>
    <w:p w14:paraId="42C1CE04" w14:textId="77777777" w:rsidR="00A61D45" w:rsidRPr="00A61D45" w:rsidRDefault="00A61D45" w:rsidP="00A61D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Strong clustering of Gram-negative species (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K. pneumoniae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P. aeruginosa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095163" w14:textId="77777777" w:rsidR="00A61D45" w:rsidRPr="00A61D45" w:rsidRDefault="00A61D45" w:rsidP="00A61D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Moderate clustering of Gram-positive species (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S. aureus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B. subtilis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faecalis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8405F4" w14:textId="143EF663" w:rsidR="00A61D45" w:rsidRPr="00A61D45" w:rsidRDefault="00A61D45" w:rsidP="00A61D4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A clear divergence of the human sequence, with a high branch length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which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confirm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its evolutionary distance from bacterial </w:t>
      </w:r>
      <w:proofErr w:type="spellStart"/>
      <w:proofErr w:type="gram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proofErr w:type="gramEnd"/>
    </w:p>
    <w:p w14:paraId="08A117F8" w14:textId="60383DB5" w:rsidR="00A61D45" w:rsidRPr="00A61D45" w:rsidRDefault="00A61D45" w:rsidP="005B52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conservation across pathogens, along with divergence from human FASN, supports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as a broad-spectrum and</w:t>
      </w:r>
      <w:r w:rsidRPr="00A61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selective antibacterial target. Literature further confirms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FabH’s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importance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, and despite some exploration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of it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in high-throughput screening, no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inhibitors have reached clinical development,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confirming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it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s novelty.</w:t>
      </w:r>
    </w:p>
    <w:p w14:paraId="27212DC8" w14:textId="23EA8407" w:rsidR="00A61D45" w:rsidRPr="00A61D45" w:rsidRDefault="00A61D45" w:rsidP="00A61D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 Structural Analysis</w:t>
      </w:r>
    </w:p>
    <w:p w14:paraId="3EE61D56" w14:textId="0E7AE8C3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crystal structures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were analyzed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from three representative pathogens:</w:t>
      </w:r>
    </w:p>
    <w:p w14:paraId="1D003141" w14:textId="77777777" w:rsidR="00A61D45" w:rsidRPr="00A61D45" w:rsidRDefault="00A61D45" w:rsidP="00A61D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(PDB: 5BNS)</w:t>
      </w:r>
    </w:p>
    <w:p w14:paraId="2B6E4941" w14:textId="77777777" w:rsidR="00A61D45" w:rsidRPr="00A61D45" w:rsidRDefault="00A61D45" w:rsidP="00A61D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S. aureus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(PDB: 3IL7)</w:t>
      </w:r>
    </w:p>
    <w:p w14:paraId="40FD16C2" w14:textId="77777777" w:rsidR="00A61D45" w:rsidRPr="00A61D45" w:rsidRDefault="00A61D45" w:rsidP="00A61D4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P. aeruginosa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(PDB: 2X3E)</w:t>
      </w:r>
    </w:p>
    <w:p w14:paraId="485EE9A4" w14:textId="21DE90E0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PyMOL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, each structure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was aligned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(5BNS) to evaluate structural conservation. The RMSD values were:</w:t>
      </w:r>
    </w:p>
    <w:p w14:paraId="7C361842" w14:textId="77777777" w:rsidR="00A61D45" w:rsidRPr="00A61D45" w:rsidRDefault="00A61D45" w:rsidP="00A61D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S. aureus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(3IL7) vs.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: 1.15 Å</w:t>
      </w:r>
    </w:p>
    <w:p w14:paraId="424D9A75" w14:textId="77777777" w:rsidR="00A61D45" w:rsidRPr="00A61D45" w:rsidRDefault="00A61D45" w:rsidP="00A61D4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P. aeruginosa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(2X3E) vs. </w:t>
      </w:r>
      <w:r w:rsidRPr="00A61D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E. coli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: 1.16 Å</w:t>
      </w:r>
    </w:p>
    <w:p w14:paraId="362B455C" w14:textId="77777777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These values indicate high structural conservation, especially in the core α/β fold and the active site, which includes residues Cys112, His244, and Asn274. These are conserved across bacterial homologs and critical for catalytic activity.</w:t>
      </w:r>
    </w:p>
    <w:p w14:paraId="35109F82" w14:textId="2A6D93B8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To assess potential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off target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activity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, the human fatty acid synthase domain (PDB: 3TJM)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was aligned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. The resulting RMSD of 20.87 Å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shows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no meaningful structural similarity, which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also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strongly supports target selectivity.</w:t>
      </w:r>
    </w:p>
    <w:p w14:paraId="67B2CFE5" w14:textId="68A42164" w:rsidR="005B5237" w:rsidRPr="00D0598C" w:rsidRDefault="00A61D45" w:rsidP="005B52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These findings suggest that the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active site is structurally conserved in pathogens and accessible for ligand binding while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also 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being structurally unrelated to </w:t>
      </w: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humans.</w:t>
      </w:r>
    </w:p>
    <w:p w14:paraId="31D8A651" w14:textId="13B0261D" w:rsidR="005B5237" w:rsidRPr="00D0598C" w:rsidRDefault="005B5237" w:rsidP="005B5237">
      <w:pPr>
        <w:pStyle w:val="Heading2"/>
        <w:rPr>
          <w:sz w:val="24"/>
          <w:szCs w:val="24"/>
        </w:rPr>
      </w:pPr>
      <w:r w:rsidRPr="00D0598C">
        <w:rPr>
          <w:sz w:val="24"/>
          <w:szCs w:val="24"/>
        </w:rPr>
        <w:t xml:space="preserve">Binding Site and </w:t>
      </w:r>
      <w:proofErr w:type="spellStart"/>
      <w:r w:rsidRPr="00D0598C">
        <w:rPr>
          <w:sz w:val="24"/>
          <w:szCs w:val="24"/>
        </w:rPr>
        <w:t>Druggability</w:t>
      </w:r>
      <w:proofErr w:type="spellEnd"/>
      <w:r w:rsidRPr="00D0598C">
        <w:rPr>
          <w:sz w:val="24"/>
          <w:szCs w:val="24"/>
        </w:rPr>
        <w:t xml:space="preserve"> Analysis</w:t>
      </w:r>
    </w:p>
    <w:p w14:paraId="5F714498" w14:textId="77777777" w:rsidR="005B5237" w:rsidRPr="00D0598C" w:rsidRDefault="005B5237" w:rsidP="005B5237">
      <w:pPr>
        <w:pStyle w:val="NormalWeb"/>
      </w:pPr>
      <w:r w:rsidRPr="00D0598C">
        <w:t xml:space="preserve">Binding site prediction and </w:t>
      </w:r>
      <w:proofErr w:type="spellStart"/>
      <w:r w:rsidRPr="00D0598C">
        <w:t>druggability</w:t>
      </w:r>
      <w:proofErr w:type="spellEnd"/>
      <w:r w:rsidRPr="00D0598C">
        <w:t xml:space="preserve"> assessment were performed using </w:t>
      </w:r>
      <w:proofErr w:type="spellStart"/>
      <w:r w:rsidRPr="00D0598C">
        <w:t>DoGSiteScorer</w:t>
      </w:r>
      <w:proofErr w:type="spellEnd"/>
      <w:r w:rsidRPr="00D0598C">
        <w:t xml:space="preserve"> for </w:t>
      </w:r>
      <w:proofErr w:type="spellStart"/>
      <w:r w:rsidRPr="00D0598C">
        <w:t>FabH</w:t>
      </w:r>
      <w:proofErr w:type="spellEnd"/>
      <w:r w:rsidRPr="00D0598C">
        <w:t xml:space="preserve"> structures from three bacterial pathogens: </w:t>
      </w:r>
      <w:r w:rsidRPr="00D0598C">
        <w:rPr>
          <w:rStyle w:val="Emphasis"/>
        </w:rPr>
        <w:t>Escherichia coli</w:t>
      </w:r>
      <w:r w:rsidRPr="00D0598C">
        <w:t xml:space="preserve"> (PDB: 5BNS), </w:t>
      </w:r>
      <w:r w:rsidRPr="00D0598C">
        <w:rPr>
          <w:rStyle w:val="Emphasis"/>
        </w:rPr>
        <w:t>Staphylococcus aureus</w:t>
      </w:r>
      <w:r w:rsidRPr="00D0598C">
        <w:t xml:space="preserve"> (PDB: 3IL7), and </w:t>
      </w:r>
      <w:r w:rsidRPr="00D0598C">
        <w:rPr>
          <w:rStyle w:val="Emphasis"/>
        </w:rPr>
        <w:t>Pseudomonas aeruginosa</w:t>
      </w:r>
      <w:r w:rsidRPr="00D0598C">
        <w:t xml:space="preserve"> (PDB: 2X3E). Each structure was analyzed for volume, surface area, hydrogen bonding capacity, hydrophobicity, and overall </w:t>
      </w:r>
      <w:proofErr w:type="spellStart"/>
      <w:r w:rsidRPr="00D0598C">
        <w:t>druggability</w:t>
      </w:r>
      <w:proofErr w:type="spellEnd"/>
      <w:r w:rsidRPr="00D0598C">
        <w:t xml:space="preserve"> score to evaluate the feasibility of targeting </w:t>
      </w:r>
      <w:proofErr w:type="spellStart"/>
      <w:r w:rsidRPr="00D0598C">
        <w:t>FabH</w:t>
      </w:r>
      <w:proofErr w:type="spellEnd"/>
      <w:r w:rsidRPr="00D0598C">
        <w:t xml:space="preserve"> with a small-molecule inhibitor.</w:t>
      </w:r>
    </w:p>
    <w:p w14:paraId="2911C732" w14:textId="361369C1" w:rsidR="00CE60C5" w:rsidRPr="00D0598C" w:rsidRDefault="00CE60C5" w:rsidP="005B523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0598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EBAF070" wp14:editId="4F371E5A">
            <wp:simplePos x="0" y="0"/>
            <wp:positionH relativeFrom="column">
              <wp:posOffset>2858778</wp:posOffset>
            </wp:positionH>
            <wp:positionV relativeFrom="paragraph">
              <wp:posOffset>69448</wp:posOffset>
            </wp:positionV>
            <wp:extent cx="3495184" cy="4442840"/>
            <wp:effectExtent l="0" t="0" r="0" b="2540"/>
            <wp:wrapSquare wrapText="bothSides"/>
            <wp:docPr id="689167290" name="Picture 6" descr="A blue and red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7290" name="Picture 6" descr="A blue and red ribb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184" cy="444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16CE3" w14:textId="22B9342D" w:rsidR="005B5237" w:rsidRPr="00D0598C" w:rsidRDefault="005B5237" w:rsidP="005B523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0598C">
        <w:rPr>
          <w:rStyle w:val="Emphasis"/>
          <w:rFonts w:ascii="Times New Roman" w:hAnsi="Times New Roman" w:cs="Times New Roman"/>
          <w:color w:val="000000" w:themeColor="text1"/>
        </w:rPr>
        <w:t>E. coli</w:t>
      </w:r>
      <w:r w:rsidRPr="00D059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98C">
        <w:rPr>
          <w:rFonts w:ascii="Times New Roman" w:hAnsi="Times New Roman" w:cs="Times New Roman"/>
          <w:color w:val="000000" w:themeColor="text1"/>
        </w:rPr>
        <w:t>FabH</w:t>
      </w:r>
      <w:proofErr w:type="spellEnd"/>
      <w:r w:rsidRPr="00D0598C">
        <w:rPr>
          <w:rFonts w:ascii="Times New Roman" w:hAnsi="Times New Roman" w:cs="Times New Roman"/>
          <w:color w:val="000000" w:themeColor="text1"/>
        </w:rPr>
        <w:t xml:space="preserve"> (5BNS)</w:t>
      </w:r>
    </w:p>
    <w:p w14:paraId="0F9B0900" w14:textId="3EA8643C" w:rsidR="005B5237" w:rsidRPr="00D0598C" w:rsidRDefault="005B5237" w:rsidP="005B5237">
      <w:pPr>
        <w:pStyle w:val="NormalWeb"/>
        <w:numPr>
          <w:ilvl w:val="0"/>
          <w:numId w:val="7"/>
        </w:numPr>
        <w:rPr>
          <w:b/>
          <w:bCs/>
        </w:rPr>
      </w:pPr>
      <w:proofErr w:type="spellStart"/>
      <w:r w:rsidRPr="00D0598C">
        <w:rPr>
          <w:rStyle w:val="Strong"/>
          <w:b w:val="0"/>
          <w:bCs w:val="0"/>
        </w:rPr>
        <w:t>Druggability</w:t>
      </w:r>
      <w:proofErr w:type="spellEnd"/>
      <w:r w:rsidRPr="00D0598C">
        <w:rPr>
          <w:rStyle w:val="Strong"/>
          <w:b w:val="0"/>
          <w:bCs w:val="0"/>
        </w:rPr>
        <w:t xml:space="preserve"> Score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0.87</w:t>
      </w:r>
    </w:p>
    <w:p w14:paraId="49B4F1E2" w14:textId="771DAE7D" w:rsidR="005B5237" w:rsidRPr="00D0598C" w:rsidRDefault="005B5237" w:rsidP="005B5237">
      <w:pPr>
        <w:pStyle w:val="NormalWeb"/>
        <w:numPr>
          <w:ilvl w:val="0"/>
          <w:numId w:val="7"/>
        </w:numPr>
        <w:rPr>
          <w:b/>
          <w:bCs/>
        </w:rPr>
      </w:pPr>
      <w:r w:rsidRPr="00D0598C">
        <w:rPr>
          <w:rStyle w:val="Strong"/>
          <w:b w:val="0"/>
          <w:bCs w:val="0"/>
        </w:rPr>
        <w:t>Volume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687.15 Å³</w:t>
      </w:r>
    </w:p>
    <w:p w14:paraId="3DB03D60" w14:textId="60F738FC" w:rsidR="005B5237" w:rsidRPr="00D0598C" w:rsidRDefault="005B5237" w:rsidP="005B5237">
      <w:pPr>
        <w:pStyle w:val="NormalWeb"/>
        <w:numPr>
          <w:ilvl w:val="0"/>
          <w:numId w:val="7"/>
        </w:numPr>
        <w:rPr>
          <w:b/>
          <w:bCs/>
        </w:rPr>
      </w:pPr>
      <w:r w:rsidRPr="00D0598C">
        <w:rPr>
          <w:rStyle w:val="Strong"/>
          <w:b w:val="0"/>
          <w:bCs w:val="0"/>
        </w:rPr>
        <w:t>Surface Area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769.67 Å²</w:t>
      </w:r>
    </w:p>
    <w:p w14:paraId="2D2F5049" w14:textId="1670978F" w:rsidR="005B5237" w:rsidRPr="00D0598C" w:rsidRDefault="005B5237" w:rsidP="005B5237">
      <w:pPr>
        <w:pStyle w:val="NormalWeb"/>
        <w:numPr>
          <w:ilvl w:val="0"/>
          <w:numId w:val="7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Hydrogen Bond Donors/Acceptors</w:t>
      </w:r>
      <w:r w:rsidRPr="00D0598C">
        <w:t>: 18 / 25</w:t>
      </w:r>
    </w:p>
    <w:p w14:paraId="0B27D425" w14:textId="7B7F30CD" w:rsidR="005B5237" w:rsidRPr="00D0598C" w:rsidRDefault="005B5237" w:rsidP="005B5237">
      <w:pPr>
        <w:pStyle w:val="NormalWeb"/>
        <w:numPr>
          <w:ilvl w:val="0"/>
          <w:numId w:val="7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Hydrophobic Interactions</w:t>
      </w:r>
      <w:r w:rsidRPr="00D0598C">
        <w:t>: 45</w:t>
      </w:r>
    </w:p>
    <w:p w14:paraId="120237D5" w14:textId="04F9FE9F" w:rsidR="005B5237" w:rsidRPr="00D0598C" w:rsidRDefault="005B5237" w:rsidP="005B5237">
      <w:pPr>
        <w:pStyle w:val="NormalWeb"/>
        <w:numPr>
          <w:ilvl w:val="0"/>
          <w:numId w:val="7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Hydrophobicity Ratio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0.51</w:t>
      </w:r>
    </w:p>
    <w:p w14:paraId="79E53534" w14:textId="5D3F30D9" w:rsidR="0041122E" w:rsidRPr="00D0598C" w:rsidRDefault="0041122E" w:rsidP="0041122E">
      <w:pPr>
        <w:pStyle w:val="NormalWeb"/>
        <w:ind w:left="720"/>
        <w:rPr>
          <w:b/>
          <w:bCs/>
        </w:rPr>
      </w:pPr>
    </w:p>
    <w:p w14:paraId="4DF6BD75" w14:textId="77777777" w:rsidR="00CE60C5" w:rsidRPr="00D0598C" w:rsidRDefault="00CE60C5" w:rsidP="005B5237">
      <w:pPr>
        <w:pStyle w:val="NormalWeb"/>
      </w:pPr>
    </w:p>
    <w:p w14:paraId="5CA50D1C" w14:textId="77777777" w:rsidR="00CE60C5" w:rsidRPr="00D0598C" w:rsidRDefault="00CE60C5" w:rsidP="005B5237">
      <w:pPr>
        <w:pStyle w:val="NormalWeb"/>
      </w:pPr>
    </w:p>
    <w:p w14:paraId="47A082F0" w14:textId="77777777" w:rsidR="00CE60C5" w:rsidRPr="00D0598C" w:rsidRDefault="00CE60C5" w:rsidP="005B5237">
      <w:pPr>
        <w:pStyle w:val="NormalWeb"/>
      </w:pPr>
    </w:p>
    <w:p w14:paraId="747F8C58" w14:textId="77777777" w:rsidR="00CE60C5" w:rsidRPr="00D0598C" w:rsidRDefault="00CE60C5" w:rsidP="005B5237">
      <w:pPr>
        <w:pStyle w:val="NormalWeb"/>
      </w:pPr>
    </w:p>
    <w:p w14:paraId="6AAE22F5" w14:textId="77777777" w:rsidR="00CE60C5" w:rsidRPr="00D0598C" w:rsidRDefault="00CE60C5" w:rsidP="005B5237">
      <w:pPr>
        <w:pStyle w:val="NormalWeb"/>
      </w:pPr>
    </w:p>
    <w:p w14:paraId="09F37487" w14:textId="77777777" w:rsidR="00CE60C5" w:rsidRPr="00D0598C" w:rsidRDefault="00CE60C5" w:rsidP="005B5237">
      <w:pPr>
        <w:pStyle w:val="NormalWeb"/>
      </w:pPr>
    </w:p>
    <w:p w14:paraId="74715040" w14:textId="77777777" w:rsidR="00CE60C5" w:rsidRPr="00D0598C" w:rsidRDefault="00CE60C5" w:rsidP="005B5237">
      <w:pPr>
        <w:pStyle w:val="NormalWeb"/>
      </w:pPr>
    </w:p>
    <w:p w14:paraId="7A24962E" w14:textId="5BCA216E" w:rsidR="005B5237" w:rsidRPr="00D0598C" w:rsidRDefault="005B5237" w:rsidP="005B5237">
      <w:pPr>
        <w:pStyle w:val="NormalWeb"/>
      </w:pPr>
      <w:r w:rsidRPr="00D0598C">
        <w:t xml:space="preserve">The top-ranked pocket included catalytic residues </w:t>
      </w:r>
      <w:r w:rsidRPr="00D0598C">
        <w:rPr>
          <w:rStyle w:val="Strong"/>
          <w:b w:val="0"/>
          <w:bCs w:val="0"/>
        </w:rPr>
        <w:t>Cys112, His244, and Asn274</w:t>
      </w:r>
      <w:r w:rsidRPr="00D0598C">
        <w:t>, confirming th</w:t>
      </w:r>
      <w:r w:rsidRPr="00D0598C">
        <w:t>is</w:t>
      </w:r>
      <w:r w:rsidRPr="00D0598C">
        <w:t xml:space="preserve"> site as the active site. The score and features indicate a highly druggable and chemically diverse pocket.</w:t>
      </w:r>
    </w:p>
    <w:p w14:paraId="3812C442" w14:textId="5E7FD796" w:rsidR="005B5237" w:rsidRPr="00B4643E" w:rsidRDefault="00CE60C5" w:rsidP="005B5237">
      <w:pPr>
        <w:pStyle w:val="Heading3"/>
        <w:rPr>
          <w:rFonts w:ascii="Times New Roman" w:hAnsi="Times New Roman" w:cs="Times New Roman"/>
          <w:i/>
          <w:iCs/>
          <w:color w:val="000000" w:themeColor="text1"/>
        </w:rPr>
      </w:pPr>
      <w:r w:rsidRPr="00D0598C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0" locked="0" layoutInCell="1" allowOverlap="1" wp14:anchorId="75E76302" wp14:editId="672643F2">
            <wp:simplePos x="0" y="0"/>
            <wp:positionH relativeFrom="column">
              <wp:posOffset>3263900</wp:posOffset>
            </wp:positionH>
            <wp:positionV relativeFrom="paragraph">
              <wp:posOffset>114107</wp:posOffset>
            </wp:positionV>
            <wp:extent cx="3273111" cy="3479910"/>
            <wp:effectExtent l="0" t="0" r="3810" b="0"/>
            <wp:wrapSquare wrapText="bothSides"/>
            <wp:docPr id="44444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186" name="Picture 1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78" t="35832" r="56366" b="16783"/>
                    <a:stretch/>
                  </pic:blipFill>
                  <pic:spPr bwMode="auto">
                    <a:xfrm>
                      <a:off x="0" y="0"/>
                      <a:ext cx="3273111" cy="347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237" w:rsidRPr="00D0598C">
        <w:rPr>
          <w:rStyle w:val="Emphasis"/>
          <w:rFonts w:ascii="Times New Roman" w:hAnsi="Times New Roman" w:cs="Times New Roman"/>
          <w:color w:val="000000" w:themeColor="text1"/>
        </w:rPr>
        <w:t>S. aureus</w:t>
      </w:r>
      <w:r w:rsidR="005B5237" w:rsidRPr="00D059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5B5237" w:rsidRPr="00D0598C">
        <w:rPr>
          <w:rFonts w:ascii="Times New Roman" w:hAnsi="Times New Roman" w:cs="Times New Roman"/>
          <w:color w:val="000000" w:themeColor="text1"/>
        </w:rPr>
        <w:t>FabH</w:t>
      </w:r>
      <w:proofErr w:type="spellEnd"/>
      <w:r w:rsidR="005B5237" w:rsidRPr="00D0598C">
        <w:rPr>
          <w:rFonts w:ascii="Times New Roman" w:hAnsi="Times New Roman" w:cs="Times New Roman"/>
          <w:color w:val="000000" w:themeColor="text1"/>
        </w:rPr>
        <w:t xml:space="preserve"> (3IL7)</w:t>
      </w:r>
    </w:p>
    <w:p w14:paraId="42FFDAD0" w14:textId="25F891D1" w:rsidR="005B5237" w:rsidRPr="00D0598C" w:rsidRDefault="005B5237" w:rsidP="005B5237">
      <w:pPr>
        <w:pStyle w:val="NormalWeb"/>
        <w:numPr>
          <w:ilvl w:val="0"/>
          <w:numId w:val="8"/>
        </w:numPr>
        <w:rPr>
          <w:b/>
          <w:bCs/>
        </w:rPr>
      </w:pPr>
      <w:proofErr w:type="spellStart"/>
      <w:r w:rsidRPr="00D0598C">
        <w:rPr>
          <w:rStyle w:val="Strong"/>
          <w:b w:val="0"/>
          <w:bCs w:val="0"/>
        </w:rPr>
        <w:t>Druggability</w:t>
      </w:r>
      <w:proofErr w:type="spellEnd"/>
      <w:r w:rsidRPr="00D0598C">
        <w:rPr>
          <w:rStyle w:val="Strong"/>
          <w:b w:val="0"/>
          <w:bCs w:val="0"/>
        </w:rPr>
        <w:t xml:space="preserve"> Score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0.39</w:t>
      </w:r>
    </w:p>
    <w:p w14:paraId="6C7A384C" w14:textId="77777777" w:rsidR="005B5237" w:rsidRPr="00D0598C" w:rsidRDefault="005B5237" w:rsidP="005B5237">
      <w:pPr>
        <w:pStyle w:val="NormalWeb"/>
        <w:numPr>
          <w:ilvl w:val="0"/>
          <w:numId w:val="8"/>
        </w:numPr>
      </w:pPr>
      <w:r w:rsidRPr="00D0598C">
        <w:rPr>
          <w:rStyle w:val="Strong"/>
          <w:b w:val="0"/>
          <w:bCs w:val="0"/>
        </w:rPr>
        <w:t>Volume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662.66 Å³</w:t>
      </w:r>
    </w:p>
    <w:p w14:paraId="27CEBA8A" w14:textId="77777777" w:rsidR="005B5237" w:rsidRPr="00D0598C" w:rsidRDefault="005B5237" w:rsidP="005B5237">
      <w:pPr>
        <w:pStyle w:val="NormalWeb"/>
        <w:numPr>
          <w:ilvl w:val="0"/>
          <w:numId w:val="8"/>
        </w:numPr>
        <w:rPr>
          <w:b/>
          <w:bCs/>
        </w:rPr>
      </w:pPr>
      <w:r w:rsidRPr="00D0598C">
        <w:rPr>
          <w:rStyle w:val="Strong"/>
          <w:b w:val="0"/>
          <w:bCs w:val="0"/>
        </w:rPr>
        <w:t>Surface Area</w:t>
      </w:r>
      <w:r w:rsidRPr="00D0598C">
        <w:t>: 555.00 Å²</w:t>
      </w:r>
    </w:p>
    <w:p w14:paraId="40D70E6F" w14:textId="77777777" w:rsidR="005B5237" w:rsidRPr="00D0598C" w:rsidRDefault="005B5237" w:rsidP="005B5237">
      <w:pPr>
        <w:pStyle w:val="NormalWeb"/>
        <w:numPr>
          <w:ilvl w:val="0"/>
          <w:numId w:val="8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Hydrogen Bond Donors/Acceptors</w:t>
      </w:r>
      <w:r w:rsidRPr="00D0598C">
        <w:t>: 17 / 40</w:t>
      </w:r>
    </w:p>
    <w:p w14:paraId="15518B0C" w14:textId="77777777" w:rsidR="005B5237" w:rsidRPr="00D0598C" w:rsidRDefault="005B5237" w:rsidP="005B5237">
      <w:pPr>
        <w:pStyle w:val="NormalWeb"/>
        <w:numPr>
          <w:ilvl w:val="0"/>
          <w:numId w:val="8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Hydrophobic Interactions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22</w:t>
      </w:r>
    </w:p>
    <w:p w14:paraId="74501336" w14:textId="77777777" w:rsidR="005B5237" w:rsidRPr="00D0598C" w:rsidRDefault="005B5237" w:rsidP="005B5237">
      <w:pPr>
        <w:pStyle w:val="NormalWeb"/>
        <w:numPr>
          <w:ilvl w:val="0"/>
          <w:numId w:val="8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Hydrophobicity Ratio</w:t>
      </w:r>
      <w:r w:rsidRPr="00D0598C">
        <w:t>: 0.28</w:t>
      </w:r>
    </w:p>
    <w:p w14:paraId="48F7CFEE" w14:textId="77777777" w:rsidR="00CE60C5" w:rsidRPr="00D0598C" w:rsidRDefault="00CE60C5" w:rsidP="00CE60C5">
      <w:pPr>
        <w:pStyle w:val="NormalWeb"/>
      </w:pPr>
    </w:p>
    <w:p w14:paraId="600DC720" w14:textId="77777777" w:rsidR="00CE60C5" w:rsidRPr="00D0598C" w:rsidRDefault="00CE60C5" w:rsidP="00CE60C5">
      <w:pPr>
        <w:pStyle w:val="NormalWeb"/>
      </w:pPr>
    </w:p>
    <w:p w14:paraId="1F519070" w14:textId="77777777" w:rsidR="00CE60C5" w:rsidRPr="00D0598C" w:rsidRDefault="00CE60C5" w:rsidP="00CE60C5">
      <w:pPr>
        <w:pStyle w:val="NormalWeb"/>
      </w:pPr>
    </w:p>
    <w:p w14:paraId="17179011" w14:textId="77777777" w:rsidR="00CE60C5" w:rsidRPr="00D0598C" w:rsidRDefault="00CE60C5" w:rsidP="00CE60C5">
      <w:pPr>
        <w:pStyle w:val="NormalWeb"/>
      </w:pPr>
    </w:p>
    <w:p w14:paraId="2A19087F" w14:textId="77777777" w:rsidR="00CE60C5" w:rsidRPr="00D0598C" w:rsidRDefault="00CE60C5" w:rsidP="00CE60C5">
      <w:pPr>
        <w:pStyle w:val="NormalWeb"/>
      </w:pPr>
    </w:p>
    <w:p w14:paraId="2F946653" w14:textId="77777777" w:rsidR="00CE60C5" w:rsidRPr="00D0598C" w:rsidRDefault="00CE60C5" w:rsidP="00CE60C5">
      <w:pPr>
        <w:pStyle w:val="NormalWeb"/>
        <w:rPr>
          <w:b/>
          <w:bCs/>
        </w:rPr>
      </w:pPr>
    </w:p>
    <w:p w14:paraId="3EFE063D" w14:textId="1E85AFA9" w:rsidR="005B5237" w:rsidRPr="00D0598C" w:rsidRDefault="005B5237" w:rsidP="005B5237">
      <w:pPr>
        <w:pStyle w:val="NormalWeb"/>
      </w:pPr>
      <w:r w:rsidRPr="00D0598C">
        <w:t xml:space="preserve">Although this pocket is in a similar location, the significantly </w:t>
      </w:r>
      <w:r w:rsidRPr="00D0598C">
        <w:rPr>
          <w:rStyle w:val="Strong"/>
          <w:b w:val="0"/>
          <w:bCs w:val="0"/>
        </w:rPr>
        <w:t xml:space="preserve">lower </w:t>
      </w:r>
      <w:proofErr w:type="spellStart"/>
      <w:r w:rsidRPr="00D0598C">
        <w:rPr>
          <w:rStyle w:val="Strong"/>
          <w:b w:val="0"/>
          <w:bCs w:val="0"/>
        </w:rPr>
        <w:t>druggability</w:t>
      </w:r>
      <w:proofErr w:type="spellEnd"/>
      <w:r w:rsidRPr="00D0598C">
        <w:rPr>
          <w:rStyle w:val="Strong"/>
          <w:b w:val="0"/>
          <w:bCs w:val="0"/>
        </w:rPr>
        <w:t xml:space="preserve"> score</w:t>
      </w:r>
      <w:r w:rsidRPr="00D0598C">
        <w:t xml:space="preserve"> and </w:t>
      </w:r>
      <w:r w:rsidRPr="00D0598C">
        <w:rPr>
          <w:rStyle w:val="Strong"/>
          <w:b w:val="0"/>
          <w:bCs w:val="0"/>
        </w:rPr>
        <w:t>reduced hydrophobic character</w:t>
      </w:r>
      <w:r w:rsidRPr="00D0598C">
        <w:t xml:space="preserve"> suggest that the </w:t>
      </w:r>
      <w:r w:rsidRPr="00D0598C">
        <w:rPr>
          <w:rStyle w:val="Emphasis"/>
        </w:rPr>
        <w:t>S. aureus</w:t>
      </w:r>
      <w:r w:rsidRPr="00D0598C">
        <w:t xml:space="preserve"> homolog may be more challenging to target with the same scaffold. However, the pocket still includes multiple polar and catalytic residues, supporting the possibility of optimization.</w:t>
      </w:r>
    </w:p>
    <w:p w14:paraId="283D8BA9" w14:textId="74BEAA23" w:rsidR="00105EEA" w:rsidRPr="00D0598C" w:rsidRDefault="00105EEA" w:rsidP="005B5237">
      <w:pPr>
        <w:pStyle w:val="NormalWeb"/>
      </w:pPr>
    </w:p>
    <w:p w14:paraId="66F3BF25" w14:textId="46351413" w:rsidR="00CE60C5" w:rsidRPr="00D0598C" w:rsidRDefault="00CE60C5" w:rsidP="005B5237">
      <w:pPr>
        <w:pStyle w:val="Heading3"/>
        <w:rPr>
          <w:rStyle w:val="Emphasis"/>
          <w:rFonts w:ascii="Times New Roman" w:hAnsi="Times New Roman" w:cs="Times New Roman"/>
          <w:color w:val="000000" w:themeColor="text1"/>
        </w:rPr>
      </w:pPr>
      <w:r w:rsidRPr="00D0598C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B3AADBE" wp14:editId="048A3C39">
            <wp:simplePos x="0" y="0"/>
            <wp:positionH relativeFrom="column">
              <wp:posOffset>2648030</wp:posOffset>
            </wp:positionH>
            <wp:positionV relativeFrom="paragraph">
              <wp:posOffset>257</wp:posOffset>
            </wp:positionV>
            <wp:extent cx="4011079" cy="3414532"/>
            <wp:effectExtent l="0" t="0" r="2540" b="1905"/>
            <wp:wrapSquare wrapText="bothSides"/>
            <wp:docPr id="1527586017" name="Picture 4" descr="A red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6017" name="Picture 4" descr="A red and blue ribb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079" cy="3414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B9CEF" w14:textId="18AE049D" w:rsidR="005B5237" w:rsidRPr="00D0598C" w:rsidRDefault="005B5237" w:rsidP="005B523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D0598C">
        <w:rPr>
          <w:rStyle w:val="Emphasis"/>
          <w:rFonts w:ascii="Times New Roman" w:hAnsi="Times New Roman" w:cs="Times New Roman"/>
          <w:color w:val="000000" w:themeColor="text1"/>
        </w:rPr>
        <w:t>P. aeruginosa</w:t>
      </w:r>
      <w:r w:rsidRPr="00D0598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598C">
        <w:rPr>
          <w:rFonts w:ascii="Times New Roman" w:hAnsi="Times New Roman" w:cs="Times New Roman"/>
          <w:color w:val="000000" w:themeColor="text1"/>
        </w:rPr>
        <w:t>FabH</w:t>
      </w:r>
      <w:proofErr w:type="spellEnd"/>
      <w:r w:rsidRPr="00D0598C">
        <w:rPr>
          <w:rFonts w:ascii="Times New Roman" w:hAnsi="Times New Roman" w:cs="Times New Roman"/>
          <w:color w:val="000000" w:themeColor="text1"/>
        </w:rPr>
        <w:t xml:space="preserve"> (2X3E)</w:t>
      </w:r>
    </w:p>
    <w:p w14:paraId="25D049C7" w14:textId="4E086E6E" w:rsidR="005B5237" w:rsidRPr="00D0598C" w:rsidRDefault="005B5237" w:rsidP="005B5237">
      <w:pPr>
        <w:pStyle w:val="NormalWeb"/>
        <w:numPr>
          <w:ilvl w:val="0"/>
          <w:numId w:val="9"/>
        </w:numPr>
      </w:pPr>
      <w:proofErr w:type="spellStart"/>
      <w:r w:rsidRPr="00D0598C">
        <w:rPr>
          <w:rStyle w:val="Strong"/>
          <w:b w:val="0"/>
          <w:bCs w:val="0"/>
        </w:rPr>
        <w:t>Druggability</w:t>
      </w:r>
      <w:proofErr w:type="spellEnd"/>
      <w:r w:rsidRPr="00D0598C">
        <w:rPr>
          <w:rStyle w:val="Strong"/>
          <w:b w:val="0"/>
          <w:bCs w:val="0"/>
        </w:rPr>
        <w:t xml:space="preserve"> Score</w:t>
      </w:r>
      <w:r w:rsidRPr="00D0598C">
        <w:t>:</w:t>
      </w:r>
      <w:r w:rsidRPr="00D0598C">
        <w:rPr>
          <w:b/>
          <w:bCs/>
        </w:rPr>
        <w:t xml:space="preserve"> </w:t>
      </w:r>
      <w:r w:rsidRPr="00D0598C">
        <w:t>0.81</w:t>
      </w:r>
    </w:p>
    <w:p w14:paraId="42AB1FAD" w14:textId="277C1BE6" w:rsidR="005B5237" w:rsidRPr="00D0598C" w:rsidRDefault="005B5237" w:rsidP="005B5237">
      <w:pPr>
        <w:pStyle w:val="NormalWeb"/>
        <w:numPr>
          <w:ilvl w:val="0"/>
          <w:numId w:val="9"/>
        </w:numPr>
        <w:rPr>
          <w:b/>
          <w:bCs/>
        </w:rPr>
      </w:pPr>
      <w:r w:rsidRPr="00D0598C">
        <w:rPr>
          <w:rStyle w:val="Strong"/>
          <w:b w:val="0"/>
          <w:bCs w:val="0"/>
        </w:rPr>
        <w:t>Volume</w:t>
      </w:r>
      <w:r w:rsidRPr="00D0598C">
        <w:t>: 1966.08 Å³</w:t>
      </w:r>
    </w:p>
    <w:p w14:paraId="39EAF528" w14:textId="3B791C38" w:rsidR="005B5237" w:rsidRPr="00D0598C" w:rsidRDefault="005B5237" w:rsidP="005B5237">
      <w:pPr>
        <w:pStyle w:val="NormalWeb"/>
        <w:numPr>
          <w:ilvl w:val="0"/>
          <w:numId w:val="9"/>
        </w:numPr>
        <w:rPr>
          <w:b/>
          <w:bCs/>
        </w:rPr>
      </w:pPr>
      <w:r w:rsidRPr="00D0598C">
        <w:rPr>
          <w:rStyle w:val="Strong"/>
          <w:b w:val="0"/>
          <w:bCs w:val="0"/>
        </w:rPr>
        <w:t>Surface Area</w:t>
      </w:r>
      <w:r w:rsidRPr="00D0598C">
        <w:t>: 1747.96 Å²</w:t>
      </w:r>
    </w:p>
    <w:p w14:paraId="05CBDA0C" w14:textId="72D075A7" w:rsidR="005B5237" w:rsidRPr="00D0598C" w:rsidRDefault="005B5237" w:rsidP="005B5237">
      <w:pPr>
        <w:pStyle w:val="NormalWeb"/>
        <w:numPr>
          <w:ilvl w:val="0"/>
          <w:numId w:val="9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Hydrogen Bond Donors/Acceptors</w:t>
      </w:r>
      <w:r w:rsidRPr="00D0598C">
        <w:t>: 53 / 126</w:t>
      </w:r>
    </w:p>
    <w:p w14:paraId="7878C204" w14:textId="56763352" w:rsidR="005B5237" w:rsidRPr="00D0598C" w:rsidRDefault="005B5237" w:rsidP="005B5237">
      <w:pPr>
        <w:pStyle w:val="NormalWeb"/>
        <w:numPr>
          <w:ilvl w:val="0"/>
          <w:numId w:val="9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Hydrophobic Interactions</w:t>
      </w:r>
      <w:r w:rsidRPr="00D0598C">
        <w:t>: 71</w:t>
      </w:r>
    </w:p>
    <w:p w14:paraId="4BB8147B" w14:textId="706859B8" w:rsidR="005B5237" w:rsidRPr="00D0598C" w:rsidRDefault="005B5237" w:rsidP="005B5237">
      <w:pPr>
        <w:pStyle w:val="NormalWeb"/>
        <w:numPr>
          <w:ilvl w:val="0"/>
          <w:numId w:val="9"/>
        </w:numPr>
        <w:rPr>
          <w:b/>
          <w:bCs/>
        </w:rPr>
      </w:pPr>
      <w:r w:rsidRPr="00D0598C">
        <w:rPr>
          <w:rStyle w:val="Strong"/>
          <w:b w:val="0"/>
          <w:bCs w:val="0"/>
        </w:rPr>
        <w:t>Hydrophobicity Ratio</w:t>
      </w:r>
      <w:r w:rsidRPr="00D0598C">
        <w:t>: 0.28</w:t>
      </w:r>
    </w:p>
    <w:p w14:paraId="7E5DD857" w14:textId="77777777" w:rsidR="00CE60C5" w:rsidRPr="00D0598C" w:rsidRDefault="00CE60C5" w:rsidP="005B5237">
      <w:pPr>
        <w:pStyle w:val="NormalWeb"/>
      </w:pPr>
    </w:p>
    <w:p w14:paraId="790C74B8" w14:textId="77777777" w:rsidR="00CE60C5" w:rsidRPr="00D0598C" w:rsidRDefault="00CE60C5" w:rsidP="005B5237">
      <w:pPr>
        <w:pStyle w:val="NormalWeb"/>
      </w:pPr>
    </w:p>
    <w:p w14:paraId="45FAE543" w14:textId="77777777" w:rsidR="00CE60C5" w:rsidRPr="00D0598C" w:rsidRDefault="00CE60C5" w:rsidP="005B5237">
      <w:pPr>
        <w:pStyle w:val="NormalWeb"/>
      </w:pPr>
    </w:p>
    <w:p w14:paraId="61D80589" w14:textId="77777777" w:rsidR="00CE60C5" w:rsidRPr="00D0598C" w:rsidRDefault="00CE60C5" w:rsidP="005B5237">
      <w:pPr>
        <w:pStyle w:val="NormalWeb"/>
      </w:pPr>
    </w:p>
    <w:p w14:paraId="74E8D17A" w14:textId="77777777" w:rsidR="00CE60C5" w:rsidRPr="00D0598C" w:rsidRDefault="00CE60C5" w:rsidP="005B5237">
      <w:pPr>
        <w:pStyle w:val="NormalWeb"/>
      </w:pPr>
    </w:p>
    <w:p w14:paraId="6FF68447" w14:textId="375938E7" w:rsidR="005B5237" w:rsidRPr="00D0598C" w:rsidRDefault="005B5237" w:rsidP="005B5237">
      <w:pPr>
        <w:pStyle w:val="NormalWeb"/>
      </w:pPr>
      <w:r w:rsidRPr="00D0598C">
        <w:t xml:space="preserve">This structure featured a large, accessible pocket with substantial hydrogen bonding potential and favorable dimensions for inhibitor binding. While the hydrophobicity is moderate, the </w:t>
      </w:r>
      <w:r w:rsidRPr="00D0598C">
        <w:rPr>
          <w:rStyle w:val="Strong"/>
          <w:b w:val="0"/>
          <w:bCs w:val="0"/>
        </w:rPr>
        <w:t xml:space="preserve">high </w:t>
      </w:r>
      <w:proofErr w:type="spellStart"/>
      <w:r w:rsidRPr="00D0598C">
        <w:rPr>
          <w:rStyle w:val="Strong"/>
          <w:b w:val="0"/>
          <w:bCs w:val="0"/>
        </w:rPr>
        <w:t>druggability</w:t>
      </w:r>
      <w:proofErr w:type="spellEnd"/>
      <w:r w:rsidRPr="00D0598C">
        <w:rPr>
          <w:rStyle w:val="Strong"/>
          <w:b w:val="0"/>
          <w:bCs w:val="0"/>
        </w:rPr>
        <w:t xml:space="preserve"> score (0.81)</w:t>
      </w:r>
      <w:r w:rsidRPr="00D0598C">
        <w:t xml:space="preserve"> and pocket size make this structure an excellent candidate for broad-spectrum inhibitor development.</w:t>
      </w:r>
    </w:p>
    <w:p w14:paraId="3290CF00" w14:textId="60A43370" w:rsidR="00CE60C5" w:rsidRPr="00A61D45" w:rsidRDefault="005B5237" w:rsidP="00CE60C5">
      <w:pPr>
        <w:pStyle w:val="NormalWeb"/>
      </w:pPr>
      <w:proofErr w:type="spellStart"/>
      <w:r w:rsidRPr="00D0598C">
        <w:t>FabH</w:t>
      </w:r>
      <w:proofErr w:type="spellEnd"/>
      <w:r w:rsidRPr="00D0598C">
        <w:t xml:space="preserve"> from </w:t>
      </w:r>
      <w:r w:rsidRPr="00D0598C">
        <w:rPr>
          <w:rStyle w:val="Emphasis"/>
        </w:rPr>
        <w:t>E. coli</w:t>
      </w:r>
      <w:r w:rsidRPr="00D0598C">
        <w:t xml:space="preserve"> and </w:t>
      </w:r>
      <w:r w:rsidRPr="00D0598C">
        <w:rPr>
          <w:rStyle w:val="Emphasis"/>
        </w:rPr>
        <w:t>P. aeruginosa</w:t>
      </w:r>
      <w:r w:rsidRPr="00D0598C">
        <w:t xml:space="preserve"> possess </w:t>
      </w:r>
      <w:r w:rsidRPr="00D0598C">
        <w:rPr>
          <w:rStyle w:val="Strong"/>
          <w:b w:val="0"/>
          <w:bCs w:val="0"/>
        </w:rPr>
        <w:t>highly druggable active sites</w:t>
      </w:r>
      <w:r w:rsidRPr="00D0598C">
        <w:t xml:space="preserve">, while </w:t>
      </w:r>
      <w:r w:rsidRPr="00D0598C">
        <w:rPr>
          <w:rStyle w:val="Emphasis"/>
        </w:rPr>
        <w:t>S. aureus</w:t>
      </w:r>
      <w:r w:rsidRPr="00D0598C">
        <w:t xml:space="preserve"> shows slightly less favorable characteristics. Despite variability in hydrophobicity and pocket dimensions, all three species exhibit pockets that include </w:t>
      </w:r>
      <w:r w:rsidRPr="00D0598C">
        <w:rPr>
          <w:rStyle w:val="Strong"/>
          <w:b w:val="0"/>
          <w:bCs w:val="0"/>
        </w:rPr>
        <w:t>key catalytic residues</w:t>
      </w:r>
      <w:r w:rsidRPr="00D0598C">
        <w:t xml:space="preserve">, </w:t>
      </w:r>
      <w:r w:rsidR="008A19DF" w:rsidRPr="00D0598C">
        <w:t xml:space="preserve">confirming </w:t>
      </w:r>
      <w:r w:rsidRPr="00D0598C">
        <w:t xml:space="preserve">their relevance for structure-based drug design. These results reinforce </w:t>
      </w:r>
      <w:proofErr w:type="spellStart"/>
      <w:r w:rsidRPr="00D0598C">
        <w:t>FabH’s</w:t>
      </w:r>
      <w:proofErr w:type="spellEnd"/>
      <w:r w:rsidRPr="00D0598C">
        <w:t xml:space="preserve"> viability as a broad-spectrum antibacterial target, with the potential to optimize inhibitors across multiple bacterial pathogens.</w:t>
      </w:r>
    </w:p>
    <w:p w14:paraId="11FB50BF" w14:textId="2A6970DC" w:rsidR="00A61D45" w:rsidRPr="00A61D45" w:rsidRDefault="00A61D45" w:rsidP="00A61D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 and Final Recommendation</w:t>
      </w:r>
    </w:p>
    <w:p w14:paraId="5E44F62B" w14:textId="77777777" w:rsidR="00F2771F" w:rsidRPr="00D0598C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Based on evolutionary and structural analyses,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is a strong candidate for a broad-spectrum antibacterial drug target. </w:t>
      </w:r>
    </w:p>
    <w:p w14:paraId="7155652F" w14:textId="70A753C1" w:rsidR="00A61D45" w:rsidRPr="00A61D45" w:rsidRDefault="00F2771F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0598C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A61D45" w:rsidRPr="00A61D45">
        <w:rPr>
          <w:rFonts w:ascii="Times New Roman" w:eastAsia="Times New Roman" w:hAnsi="Times New Roman" w:cs="Times New Roman"/>
          <w:kern w:val="0"/>
          <w14:ligatures w14:val="none"/>
        </w:rPr>
        <w:t>trengths include:</w:t>
      </w:r>
    </w:p>
    <w:p w14:paraId="7417A5F2" w14:textId="77777777" w:rsidR="00A61D45" w:rsidRPr="00A61D45" w:rsidRDefault="00A61D45" w:rsidP="00A61D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Conserved sequence and structure across major bacterial pathogens</w:t>
      </w:r>
    </w:p>
    <w:p w14:paraId="4A462814" w14:textId="77777777" w:rsidR="00A61D45" w:rsidRPr="00A61D45" w:rsidRDefault="00A61D45" w:rsidP="00A61D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Essential metabolic role in cell survival</w:t>
      </w:r>
    </w:p>
    <w:p w14:paraId="007C6827" w14:textId="2AC20785" w:rsidR="00A61D45" w:rsidRPr="00A61D45" w:rsidRDefault="00A61D45" w:rsidP="00A61D4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Clear divergence from human FASN, minimizing</w:t>
      </w:r>
      <w:r w:rsidR="00F2771F" w:rsidRPr="00D0598C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toxicity </w:t>
      </w:r>
      <w:proofErr w:type="gram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gramEnd"/>
    </w:p>
    <w:p w14:paraId="4B9C500A" w14:textId="77777777" w:rsidR="00E379A7" w:rsidRDefault="00E379A7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B44E53" w14:textId="4395243F" w:rsidR="00A61D45" w:rsidRPr="00A61D45" w:rsidRDefault="00A61D45" w:rsidP="00A61D4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Potential risks:</w:t>
      </w:r>
    </w:p>
    <w:p w14:paraId="032D9BCD" w14:textId="596B054E" w:rsidR="00A61D45" w:rsidRPr="00A61D45" w:rsidRDefault="00A61D45" w:rsidP="00A61D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>Resistance potential via mutation of active site residues</w:t>
      </w:r>
    </w:p>
    <w:p w14:paraId="07BEB7A8" w14:textId="06AAE5C3" w:rsidR="00A61D45" w:rsidRPr="00A61D45" w:rsidRDefault="00A61D45" w:rsidP="00A61D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Minor loop region variability which may affect ligand </w:t>
      </w:r>
      <w:proofErr w:type="gram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binding</w:t>
      </w:r>
      <w:proofErr w:type="gramEnd"/>
    </w:p>
    <w:p w14:paraId="42455180" w14:textId="58DA4DCD" w:rsidR="00F2771F" w:rsidRPr="003F25D0" w:rsidRDefault="00A61D45" w:rsidP="003F25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Overall, these risks are outweighed by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FabH's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unique profile. </w:t>
      </w:r>
      <w:r w:rsidR="00F2771F" w:rsidRPr="00D0598C"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recommend initiating a drug discovery campaign targeting </w:t>
      </w:r>
      <w:proofErr w:type="spellStart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FabH</w:t>
      </w:r>
      <w:proofErr w:type="spellEnd"/>
      <w:r w:rsidRPr="00A61D45">
        <w:rPr>
          <w:rFonts w:ascii="Times New Roman" w:eastAsia="Times New Roman" w:hAnsi="Times New Roman" w:cs="Times New Roman"/>
          <w:kern w:val="0"/>
          <w14:ligatures w14:val="none"/>
        </w:rPr>
        <w:t>, beginning with fragment-based screening and structure-guided lead optimization. The enzyme’s conservation, lack of human homologs, and available crystal structures support</w:t>
      </w:r>
      <w:r w:rsidR="00F2771F" w:rsidRPr="00D0598C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A61D45">
        <w:rPr>
          <w:rFonts w:ascii="Times New Roman" w:eastAsia="Times New Roman" w:hAnsi="Times New Roman" w:cs="Times New Roman"/>
          <w:kern w:val="0"/>
          <w14:ligatures w14:val="none"/>
        </w:rPr>
        <w:t xml:space="preserve"> the feasibility of discovering selective and potent inhibitors.</w:t>
      </w:r>
    </w:p>
    <w:p w14:paraId="5B2EFBE3" w14:textId="1FCC05C1" w:rsidR="00F2771F" w:rsidRPr="00D0598C" w:rsidRDefault="00F2771F" w:rsidP="00F2771F">
      <w:pPr>
        <w:rPr>
          <w:rFonts w:ascii="Times New Roman" w:hAnsi="Times New Roman" w:cs="Times New Roman"/>
          <w:b/>
          <w:bCs/>
        </w:rPr>
      </w:pPr>
    </w:p>
    <w:p w14:paraId="19982639" w14:textId="49E79820" w:rsidR="00F2771F" w:rsidRPr="00D0598C" w:rsidRDefault="00F2771F" w:rsidP="00F2771F">
      <w:pPr>
        <w:rPr>
          <w:rFonts w:ascii="Times New Roman" w:hAnsi="Times New Roman" w:cs="Times New Roman"/>
        </w:rPr>
      </w:pPr>
      <w:r w:rsidRPr="00D0598C">
        <w:rPr>
          <w:rFonts w:ascii="Times New Roman" w:hAnsi="Times New Roman" w:cs="Times New Roman"/>
          <w:b/>
          <w:bCs/>
        </w:rPr>
        <w:t>Citations</w:t>
      </w:r>
      <w:r w:rsidRPr="00D0598C">
        <w:rPr>
          <w:rFonts w:ascii="Times New Roman" w:hAnsi="Times New Roman" w:cs="Times New Roman"/>
        </w:rPr>
        <w:t xml:space="preserve"> </w:t>
      </w:r>
    </w:p>
    <w:p w14:paraId="194C8598" w14:textId="01D14BE6" w:rsidR="00F2771F" w:rsidRPr="00D0598C" w:rsidRDefault="00F2771F" w:rsidP="00F2771F">
      <w:pPr>
        <w:pStyle w:val="NormalWeb"/>
      </w:pPr>
      <w:r w:rsidRPr="00D0598C">
        <w:t>Heath, Robert J., and Charles O. Rock.</w:t>
      </w:r>
      <w:r w:rsidRPr="00D0598C">
        <w:br/>
        <w:t xml:space="preserve">“Roles of the </w:t>
      </w:r>
      <w:proofErr w:type="spellStart"/>
      <w:r w:rsidRPr="00D0598C">
        <w:t>FabA</w:t>
      </w:r>
      <w:proofErr w:type="spellEnd"/>
      <w:r w:rsidRPr="00D0598C">
        <w:t xml:space="preserve"> and </w:t>
      </w:r>
      <w:proofErr w:type="spellStart"/>
      <w:r w:rsidRPr="00D0598C">
        <w:t>FabZ</w:t>
      </w:r>
      <w:proofErr w:type="spellEnd"/>
      <w:r w:rsidRPr="00D0598C">
        <w:t xml:space="preserve"> β-</w:t>
      </w:r>
      <w:proofErr w:type="spellStart"/>
      <w:r w:rsidRPr="00D0598C">
        <w:t>Hydroxyacyl</w:t>
      </w:r>
      <w:proofErr w:type="spellEnd"/>
      <w:r w:rsidRPr="00D0598C">
        <w:t xml:space="preserve">-Acyl Carrier Protein Dehydratases in Escherichia coli Fatty Acid Biosynthesis.” </w:t>
      </w:r>
      <w:r w:rsidRPr="00D0598C">
        <w:rPr>
          <w:rStyle w:val="Emphasis"/>
        </w:rPr>
        <w:t>Journal of Biological Chemistry</w:t>
      </w:r>
      <w:r w:rsidRPr="00D0598C">
        <w:t>, vol. 271, no. 44, 1996, pp. 27795–27801.</w:t>
      </w:r>
      <w:r w:rsidRPr="00D0598C">
        <w:br/>
        <w:t>https://doi.org/10.1074/jbc.271.44.27795</w:t>
      </w:r>
    </w:p>
    <w:p w14:paraId="27ADE865" w14:textId="5559720C" w:rsidR="00F2771F" w:rsidRPr="00D0598C" w:rsidRDefault="00F2771F" w:rsidP="00F2771F">
      <w:pPr>
        <w:pStyle w:val="NormalWeb"/>
      </w:pPr>
      <w:r w:rsidRPr="00D0598C">
        <w:t>Zhang, Yong-Mei, et al.</w:t>
      </w:r>
      <w:r w:rsidRPr="00D0598C">
        <w:br/>
        <w:t xml:space="preserve">“Identification and Analysis of the Acyl Carrier Protein (ACP) Binding Site on β-Ketoacyl-ACP Synthase III.” </w:t>
      </w:r>
      <w:r w:rsidRPr="00D0598C">
        <w:rPr>
          <w:rStyle w:val="Emphasis"/>
        </w:rPr>
        <w:t>Journal of Biological Chemistry</w:t>
      </w:r>
      <w:r w:rsidRPr="00D0598C">
        <w:t>, vol. 276, no. 10, 2001, pp. 8231–8238.</w:t>
      </w:r>
      <w:r w:rsidRPr="00D0598C">
        <w:br/>
        <w:t>https://doi.org/10.1074/jbc.M009059200</w:t>
      </w:r>
    </w:p>
    <w:p w14:paraId="55B92BCE" w14:textId="637918BE" w:rsidR="00F2771F" w:rsidRPr="00D0598C" w:rsidRDefault="00F2771F" w:rsidP="00F2771F">
      <w:pPr>
        <w:pStyle w:val="NormalWeb"/>
      </w:pPr>
      <w:r w:rsidRPr="00D0598C">
        <w:t>Magnuson, Kevin, et al.</w:t>
      </w:r>
      <w:r w:rsidRPr="00D0598C">
        <w:br/>
        <w:t xml:space="preserve">“Regulation of Fatty Acid Biosynthesis in Escherichia coli.” </w:t>
      </w:r>
      <w:r w:rsidRPr="00D0598C">
        <w:rPr>
          <w:rStyle w:val="Emphasis"/>
        </w:rPr>
        <w:t>Microbiological Reviews</w:t>
      </w:r>
      <w:r w:rsidRPr="00D0598C">
        <w:t>, vol. 57, no. 3, 1993, pp. 522–542.</w:t>
      </w:r>
      <w:r w:rsidRPr="00D0598C">
        <w:br/>
      </w:r>
      <w:hyperlink r:id="rId9" w:tgtFrame="_new" w:history="1">
        <w:r w:rsidRPr="00D0598C">
          <w:rPr>
            <w:rStyle w:val="Hyperlink"/>
          </w:rPr>
          <w:t>https://www.ncbi.nlm.nih.gov/pmc/articles/PMC372926/</w:t>
        </w:r>
      </w:hyperlink>
    </w:p>
    <w:p w14:paraId="3BD251C2" w14:textId="37B70E76" w:rsidR="00F2771F" w:rsidRPr="00D0598C" w:rsidRDefault="00F2771F" w:rsidP="00F2771F">
      <w:pPr>
        <w:pStyle w:val="NormalWeb"/>
      </w:pPr>
      <w:r w:rsidRPr="00D0598C">
        <w:t>Kapoor, Mohit, et al.</w:t>
      </w:r>
      <w:r w:rsidRPr="00D0598C">
        <w:br/>
        <w:t>“Crystal Structure of β-Ketoacyl Acyl Carrier Protein Synthase III (</w:t>
      </w:r>
      <w:proofErr w:type="spellStart"/>
      <w:r w:rsidRPr="00D0598C">
        <w:t>FabH</w:t>
      </w:r>
      <w:proofErr w:type="spellEnd"/>
      <w:r w:rsidRPr="00D0598C">
        <w:t xml:space="preserve">) from Staphylococcus aureus at 2.3 Å Resolution.” </w:t>
      </w:r>
      <w:r w:rsidRPr="00D0598C">
        <w:rPr>
          <w:rStyle w:val="Emphasis"/>
        </w:rPr>
        <w:t>Journal of Bacteriology</w:t>
      </w:r>
      <w:r w:rsidRPr="00D0598C">
        <w:t>, vol. 186, no. 12, 2004, pp. 4189–4197.</w:t>
      </w:r>
      <w:r w:rsidRPr="00D0598C">
        <w:br/>
        <w:t>https://doi.org/10.1128/JB.186.12.4189-4197.2004</w:t>
      </w:r>
    </w:p>
    <w:p w14:paraId="0E9743BD" w14:textId="04B28BC1" w:rsidR="00F2771F" w:rsidRPr="00D0598C" w:rsidRDefault="00F2771F" w:rsidP="00F2771F">
      <w:pPr>
        <w:pStyle w:val="NormalWeb"/>
      </w:pPr>
      <w:r w:rsidRPr="00D0598C">
        <w:t xml:space="preserve">Rock, Charles O., and J. D. </w:t>
      </w:r>
      <w:proofErr w:type="spellStart"/>
      <w:r w:rsidRPr="00D0598C">
        <w:t>Cronan</w:t>
      </w:r>
      <w:proofErr w:type="spellEnd"/>
      <w:r w:rsidRPr="00D0598C">
        <w:t xml:space="preserve"> Jr.</w:t>
      </w:r>
      <w:r w:rsidRPr="00D0598C">
        <w:br/>
        <w:t xml:space="preserve">“Escherichia coli as a Model for the Regulation of Synthesis of Unsaturated Fatty Acids.” </w:t>
      </w:r>
      <w:r w:rsidRPr="00D0598C">
        <w:rPr>
          <w:rStyle w:val="Emphasis"/>
        </w:rPr>
        <w:t>Annual Review of Microbiology</w:t>
      </w:r>
      <w:r w:rsidRPr="00D0598C">
        <w:t>, vol. 40, 1986, pp. 191–210.</w:t>
      </w:r>
      <w:r w:rsidRPr="00D0598C">
        <w:br/>
        <w:t>https://doi.org/10.1146/annurev.mi.40.100186.001203</w:t>
      </w:r>
    </w:p>
    <w:p w14:paraId="5C0E6F58" w14:textId="50A81825" w:rsidR="00F2771F" w:rsidRPr="00D0598C" w:rsidRDefault="00F2771F" w:rsidP="00F2771F">
      <w:pPr>
        <w:pStyle w:val="NormalWeb"/>
      </w:pPr>
      <w:r w:rsidRPr="00D0598C">
        <w:t>Smith, Steven.</w:t>
      </w:r>
      <w:r w:rsidRPr="00D0598C">
        <w:br/>
        <w:t xml:space="preserve">“The Animal Fatty Acid Synthase: One Gene, One Polypeptide, Seven Enzymes.” </w:t>
      </w:r>
      <w:r w:rsidRPr="00D0598C">
        <w:rPr>
          <w:rStyle w:val="Emphasis"/>
        </w:rPr>
        <w:t>FASEB Journal</w:t>
      </w:r>
      <w:r w:rsidRPr="00D0598C">
        <w:t>, vol. 8, no. 15, 1994, pp. 1248–1259.</w:t>
      </w:r>
      <w:r w:rsidRPr="00D0598C">
        <w:br/>
        <w:t>https://doi.org/10.1096/fasebj.8.15.7956947</w:t>
      </w:r>
    </w:p>
    <w:p w14:paraId="10D207CA" w14:textId="026B79D7" w:rsidR="00F2771F" w:rsidRPr="00D0598C" w:rsidRDefault="00F2771F" w:rsidP="00F2771F">
      <w:pPr>
        <w:pStyle w:val="NormalWeb"/>
      </w:pPr>
      <w:proofErr w:type="spellStart"/>
      <w:r w:rsidRPr="00D0598C">
        <w:lastRenderedPageBreak/>
        <w:t>PyMOL</w:t>
      </w:r>
      <w:proofErr w:type="spellEnd"/>
      <w:r w:rsidRPr="00D0598C">
        <w:t xml:space="preserve"> Molecular Graphics System, Version 2.5.</w:t>
      </w:r>
      <w:r w:rsidRPr="00D0598C">
        <w:br/>
        <w:t>Schrödinger, LLC. Accessed 10 June 2025.</w:t>
      </w:r>
      <w:r w:rsidRPr="00D0598C">
        <w:br/>
      </w:r>
      <w:hyperlink r:id="rId10" w:tgtFrame="_new" w:history="1">
        <w:r w:rsidRPr="00D0598C">
          <w:rPr>
            <w:rStyle w:val="Hyperlink"/>
          </w:rPr>
          <w:t>https://pymol.org</w:t>
        </w:r>
      </w:hyperlink>
    </w:p>
    <w:p w14:paraId="63B09FA3" w14:textId="3058AD70" w:rsidR="00F2771F" w:rsidRPr="00D0598C" w:rsidRDefault="00B91715" w:rsidP="00A61D45">
      <w:pPr>
        <w:rPr>
          <w:rFonts w:ascii="Times New Roman" w:hAnsi="Times New Roman" w:cs="Times New Roman"/>
        </w:rPr>
      </w:pPr>
      <w:proofErr w:type="spellStart"/>
      <w:r w:rsidRPr="00D0598C">
        <w:rPr>
          <w:rFonts w:ascii="Times New Roman" w:hAnsi="Times New Roman" w:cs="Times New Roman"/>
        </w:rPr>
        <w:t>Volkamer</w:t>
      </w:r>
      <w:proofErr w:type="spellEnd"/>
      <w:r w:rsidRPr="00D0598C">
        <w:rPr>
          <w:rFonts w:ascii="Times New Roman" w:hAnsi="Times New Roman" w:cs="Times New Roman"/>
        </w:rPr>
        <w:t>, Andrea, et al.</w:t>
      </w:r>
      <w:r w:rsidRPr="00D0598C">
        <w:rPr>
          <w:rFonts w:ascii="Times New Roman" w:hAnsi="Times New Roman" w:cs="Times New Roman"/>
        </w:rPr>
        <w:br/>
        <w:t>"</w:t>
      </w:r>
      <w:proofErr w:type="spellStart"/>
      <w:r w:rsidRPr="00D0598C">
        <w:rPr>
          <w:rFonts w:ascii="Times New Roman" w:hAnsi="Times New Roman" w:cs="Times New Roman"/>
        </w:rPr>
        <w:t>DoGSiteScorer</w:t>
      </w:r>
      <w:proofErr w:type="spellEnd"/>
      <w:r w:rsidRPr="00D0598C">
        <w:rPr>
          <w:rFonts w:ascii="Times New Roman" w:hAnsi="Times New Roman" w:cs="Times New Roman"/>
        </w:rPr>
        <w:t xml:space="preserve">: a web server for automatic binding site prediction, analysis and </w:t>
      </w:r>
      <w:proofErr w:type="spellStart"/>
      <w:r w:rsidRPr="00D0598C">
        <w:rPr>
          <w:rFonts w:ascii="Times New Roman" w:hAnsi="Times New Roman" w:cs="Times New Roman"/>
        </w:rPr>
        <w:t>druggability</w:t>
      </w:r>
      <w:proofErr w:type="spellEnd"/>
      <w:r w:rsidRPr="00D0598C">
        <w:rPr>
          <w:rFonts w:ascii="Times New Roman" w:hAnsi="Times New Roman" w:cs="Times New Roman"/>
        </w:rPr>
        <w:t xml:space="preserve"> assessment." </w:t>
      </w:r>
      <w:r w:rsidRPr="00D0598C">
        <w:rPr>
          <w:rFonts w:ascii="Times New Roman" w:hAnsi="Times New Roman" w:cs="Times New Roman"/>
          <w:i/>
          <w:iCs/>
        </w:rPr>
        <w:t>Bioinformatics</w:t>
      </w:r>
      <w:r w:rsidRPr="00D0598C">
        <w:rPr>
          <w:rFonts w:ascii="Times New Roman" w:hAnsi="Times New Roman" w:cs="Times New Roman"/>
        </w:rPr>
        <w:t>, vol. 28, no. 15, 2012, pp. 2074–2075.</w:t>
      </w:r>
      <w:r w:rsidRPr="00D0598C">
        <w:rPr>
          <w:rFonts w:ascii="Times New Roman" w:hAnsi="Times New Roman" w:cs="Times New Roman"/>
        </w:rPr>
        <w:br/>
        <w:t>https:/</w:t>
      </w:r>
      <w:proofErr w:type="gramStart"/>
      <w:r w:rsidRPr="00D0598C">
        <w:rPr>
          <w:rFonts w:ascii="Times New Roman" w:hAnsi="Times New Roman" w:cs="Times New Roman"/>
        </w:rPr>
        <w:t>/</w:t>
      </w:r>
      <w:r w:rsidRPr="00D0598C">
        <w:rPr>
          <w:rFonts w:ascii="Times New Roman" w:hAnsi="Times New Roman" w:cs="Times New Roman"/>
          <w:noProof/>
        </w:rPr>
        <w:t xml:space="preserve"> </w:t>
      </w:r>
      <w:r w:rsidRPr="00D0598C">
        <w:rPr>
          <w:rFonts w:ascii="Times New Roman" w:hAnsi="Times New Roman" w:cs="Times New Roman"/>
        </w:rPr>
        <w:t xml:space="preserve"> </w:t>
      </w:r>
      <w:r w:rsidRPr="00D0598C">
        <w:rPr>
          <w:rFonts w:ascii="Times New Roman" w:hAnsi="Times New Roman" w:cs="Times New Roman"/>
        </w:rPr>
        <w:t>doi.org</w:t>
      </w:r>
      <w:proofErr w:type="gramEnd"/>
      <w:r w:rsidRPr="00D0598C">
        <w:rPr>
          <w:rFonts w:ascii="Times New Roman" w:hAnsi="Times New Roman" w:cs="Times New Roman"/>
        </w:rPr>
        <w:t>/10.1093/bioinformatics/bts310</w:t>
      </w:r>
    </w:p>
    <w:sectPr w:rsidR="00F2771F" w:rsidRPr="00D05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0128"/>
    <w:multiLevelType w:val="multilevel"/>
    <w:tmpl w:val="374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13CE9"/>
    <w:multiLevelType w:val="multilevel"/>
    <w:tmpl w:val="FBC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F5C01"/>
    <w:multiLevelType w:val="multilevel"/>
    <w:tmpl w:val="D62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6401E"/>
    <w:multiLevelType w:val="multilevel"/>
    <w:tmpl w:val="19E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46E7C"/>
    <w:multiLevelType w:val="multilevel"/>
    <w:tmpl w:val="993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740A1"/>
    <w:multiLevelType w:val="multilevel"/>
    <w:tmpl w:val="6908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58F8"/>
    <w:multiLevelType w:val="hybridMultilevel"/>
    <w:tmpl w:val="DE6C6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F92B8F"/>
    <w:multiLevelType w:val="multilevel"/>
    <w:tmpl w:val="90B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F5DD9"/>
    <w:multiLevelType w:val="multilevel"/>
    <w:tmpl w:val="22B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14999">
    <w:abstractNumId w:val="5"/>
  </w:num>
  <w:num w:numId="2" w16cid:durableId="590550022">
    <w:abstractNumId w:val="0"/>
  </w:num>
  <w:num w:numId="3" w16cid:durableId="1290085033">
    <w:abstractNumId w:val="3"/>
  </w:num>
  <w:num w:numId="4" w16cid:durableId="2075473174">
    <w:abstractNumId w:val="7"/>
  </w:num>
  <w:num w:numId="5" w16cid:durableId="30038265">
    <w:abstractNumId w:val="2"/>
  </w:num>
  <w:num w:numId="6" w16cid:durableId="449857112">
    <w:abstractNumId w:val="6"/>
  </w:num>
  <w:num w:numId="7" w16cid:durableId="1373309671">
    <w:abstractNumId w:val="1"/>
  </w:num>
  <w:num w:numId="8" w16cid:durableId="2016305123">
    <w:abstractNumId w:val="8"/>
  </w:num>
  <w:num w:numId="9" w16cid:durableId="298347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45"/>
    <w:rsid w:val="00051DB5"/>
    <w:rsid w:val="00105EEA"/>
    <w:rsid w:val="00372314"/>
    <w:rsid w:val="003F25D0"/>
    <w:rsid w:val="0041122E"/>
    <w:rsid w:val="005B5237"/>
    <w:rsid w:val="008A19DF"/>
    <w:rsid w:val="00A61D45"/>
    <w:rsid w:val="00A85747"/>
    <w:rsid w:val="00B4643E"/>
    <w:rsid w:val="00B91715"/>
    <w:rsid w:val="00C24DA8"/>
    <w:rsid w:val="00CE60C5"/>
    <w:rsid w:val="00D0598C"/>
    <w:rsid w:val="00E379A7"/>
    <w:rsid w:val="00F2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0022"/>
  <w15:chartTrackingRefBased/>
  <w15:docId w15:val="{7936A49A-00A8-BA45-B33B-4582F092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1D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2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1D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1D4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A61D45"/>
    <w:rPr>
      <w:b/>
      <w:bCs/>
    </w:rPr>
  </w:style>
  <w:style w:type="character" w:styleId="Emphasis">
    <w:name w:val="Emphasis"/>
    <w:basedOn w:val="DefaultParagraphFont"/>
    <w:uiPriority w:val="20"/>
    <w:qFormat/>
    <w:rsid w:val="00A61D4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2771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77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B523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ymol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3729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Castillo</dc:creator>
  <cp:keywords/>
  <dc:description/>
  <cp:lastModifiedBy>Andrea Castillo</cp:lastModifiedBy>
  <cp:revision>18</cp:revision>
  <dcterms:created xsi:type="dcterms:W3CDTF">2025-06-11T00:54:00Z</dcterms:created>
  <dcterms:modified xsi:type="dcterms:W3CDTF">2025-06-11T03:40:00Z</dcterms:modified>
</cp:coreProperties>
</file>