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28"/>
        <w:gridCol w:w="492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B59E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RAINNER CUEVA SÁNCHEZ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B59E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B59E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B59E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REINNERCUEVASANCHEZ@GMAIL.COM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B59E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MZ R LOTE 3 URBANIZACIÓN LAS FRESAS - CALLAO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B59E8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980564940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B59E8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22/01/2003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B59E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72877649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B59E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MILAGROS PAOLA SANCHEZ CHALCO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B59E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41906313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B59E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REINNERCUEVASANCHEZ@GMAIL.COM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5B59E8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980564940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9E8" w:rsidRDefault="005B59E8" w:rsidP="00A713B1">
      <w:pPr>
        <w:spacing w:after="0" w:line="240" w:lineRule="auto"/>
      </w:pPr>
      <w:r>
        <w:separator/>
      </w:r>
    </w:p>
  </w:endnote>
  <w:endnote w:type="continuationSeparator" w:id="0">
    <w:p w:rsidR="005B59E8" w:rsidRDefault="005B59E8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9E8" w:rsidRDefault="005B59E8" w:rsidP="00A713B1">
      <w:pPr>
        <w:spacing w:after="0" w:line="240" w:lineRule="auto"/>
      </w:pPr>
      <w:r>
        <w:separator/>
      </w:r>
    </w:p>
  </w:footnote>
  <w:footnote w:type="continuationSeparator" w:id="0">
    <w:p w:rsidR="005B59E8" w:rsidRDefault="005B59E8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B59E8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