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211D40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EC00"/>
                <w:sz w:val="32"/>
              </w:rPr>
              <w:t>MCP-365-S2 · Ficha Proyecto Horizonte</w:t>
            </w:r>
          </w:p>
          <w:p>
            <w:r>
              <w:rPr>
                <w:rFonts w:ascii="Calibri" w:hAnsi="Calibri" w:eastAsia="Calibri"/>
                <w:b w:val="0"/>
                <w:color w:val="FFFFFF"/>
                <w:sz w:val="20"/>
              </w:rPr>
              <w:t>Caso ficticio de práctica · Sin credenciales reales</w:t>
            </w:r>
          </w:p>
        </w:tc>
      </w:tr>
    </w:tbl>
    <w:p/>
    <w:p>
      <w:pPr>
        <w:spacing w:after="200" w:before="0"/>
      </w:pPr>
      <w:r>
        <w:rPr>
          <w:rFonts w:ascii="Calibri" w:hAnsi="Calibri" w:eastAsia="Calibri"/>
          <w:b w:val="0"/>
          <w:color w:val="5A5A72"/>
          <w:sz w:val="20"/>
        </w:rPr>
        <w:t>Formulario de inicio de proyecto. Completar / contrastar en la sesión.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fill="4B3FAA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 del proyecto</w:t>
            </w:r>
          </w:p>
        </w:tc>
        <w:tc>
          <w:tcPr>
            <w:tcW w:type="dxa" w:w="6520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11D40"/>
                <w:sz w:val="20"/>
              </w:rPr>
              <w:t>Proyecto Horizonte</w:t>
            </w:r>
          </w:p>
        </w:tc>
      </w:tr>
      <w:tr>
        <w:tc>
          <w:tcPr>
            <w:tcW w:type="dxa" w:w="2948"/>
            <w:shd w:fill="4B3FAA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6520"/>
            <w:shd w:fill="FFFFFF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11D40"/>
                <w:sz w:val="20"/>
              </w:rPr>
              <w:t>PRJ-HZ-2026-01</w:t>
            </w:r>
          </w:p>
        </w:tc>
      </w:tr>
      <w:tr>
        <w:tc>
          <w:tcPr>
            <w:tcW w:type="dxa" w:w="2948"/>
            <w:shd w:fill="4B3FAA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6520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11D40"/>
                <w:sz w:val="20"/>
              </w:rPr>
              <w:t>Habilitar un flujo piloto de gobernanza documental y control presupuestario para iniciativas de operaciones, con trazabilidad desde el correo de autorización hasta el informe aprobado.</w:t>
            </w:r>
          </w:p>
        </w:tc>
      </w:tr>
      <w:tr>
        <w:tc>
          <w:tcPr>
            <w:tcW w:type="dxa" w:w="2948"/>
            <w:shd w:fill="4B3FAA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Alcance</w:t>
            </w:r>
          </w:p>
        </w:tc>
        <w:tc>
          <w:tcPr>
            <w:tcW w:type="dxa" w:w="6520"/>
            <w:shd w:fill="FFFFFF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11D40"/>
                <w:sz w:val="20"/>
              </w:rPr>
              <w:t>Incluye: registro de recepción, ficha de proyecto, control de presupuesto y riesgos, informe ejecutivo y presentación post-aprobación. Excluye: despliegue productivos, integración con ERP real y datos personales.</w:t>
            </w:r>
          </w:p>
        </w:tc>
      </w:tr>
      <w:tr>
        <w:tc>
          <w:tcPr>
            <w:tcW w:type="dxa" w:w="2948"/>
            <w:shd w:fill="4B3FAA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Patrocinador</w:t>
            </w:r>
          </w:p>
        </w:tc>
        <w:tc>
          <w:tcPr>
            <w:tcW w:type="dxa" w:w="6520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11D40"/>
                <w:sz w:val="20"/>
              </w:rPr>
              <w:t>Dirección de Operaciones</w:t>
            </w:r>
          </w:p>
        </w:tc>
      </w:tr>
      <w:tr>
        <w:tc>
          <w:tcPr>
            <w:tcW w:type="dxa" w:w="2948"/>
            <w:shd w:fill="4B3FAA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Líder de proyecto</w:t>
            </w:r>
          </w:p>
        </w:tc>
        <w:tc>
          <w:tcPr>
            <w:tcW w:type="dxa" w:w="6520"/>
            <w:shd w:fill="FFFFFF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11D40"/>
                <w:sz w:val="20"/>
              </w:rPr>
              <w:t>No especificado</w:t>
            </w:r>
          </w:p>
        </w:tc>
      </w:tr>
      <w:tr>
        <w:tc>
          <w:tcPr>
            <w:tcW w:type="dxa" w:w="2948"/>
            <w:shd w:fill="4B3FAA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 de inicio</w:t>
            </w:r>
          </w:p>
        </w:tc>
        <w:tc>
          <w:tcPr>
            <w:tcW w:type="dxa" w:w="6520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11D40"/>
                <w:sz w:val="20"/>
              </w:rPr>
              <w:t>2026-08-10</w:t>
            </w:r>
          </w:p>
        </w:tc>
      </w:tr>
      <w:tr>
        <w:tc>
          <w:tcPr>
            <w:tcW w:type="dxa" w:w="2948"/>
            <w:shd w:fill="4B3FAA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 de fin (plan)</w:t>
            </w:r>
          </w:p>
        </w:tc>
        <w:tc>
          <w:tcPr>
            <w:tcW w:type="dxa" w:w="6520"/>
            <w:shd w:fill="FFFFFF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11D40"/>
                <w:sz w:val="20"/>
              </w:rPr>
              <w:t>2026-11-30</w:t>
            </w:r>
          </w:p>
        </w:tc>
      </w:tr>
      <w:tr>
        <w:tc>
          <w:tcPr>
            <w:tcW w:type="dxa" w:w="2948"/>
            <w:shd w:fill="4B3FAA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Presupuesto preliminar</w:t>
            </w:r>
          </w:p>
        </w:tc>
        <w:tc>
          <w:tcPr>
            <w:tcW w:type="dxa" w:w="6520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11D40"/>
                <w:sz w:val="20"/>
              </w:rPr>
              <w:t>100 u.m.</w:t>
            </w:r>
          </w:p>
        </w:tc>
      </w:tr>
      <w:tr>
        <w:tc>
          <w:tcPr>
            <w:tcW w:type="dxa" w:w="2948"/>
            <w:shd w:fill="4B3FAA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Entregables</w:t>
            </w:r>
          </w:p>
        </w:tc>
        <w:tc>
          <w:tcPr>
            <w:tcW w:type="dxa" w:w="6520"/>
            <w:shd w:fill="FFFFFF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11D40"/>
                <w:sz w:val="20"/>
              </w:rPr>
              <w:t>1) Ficha de proyecto validada; 2) Libro de control Excel; 3) Informe ejecutivo; 4) Presentación de cierre de fase; 5) Evidencia de aprobación humana.</w:t>
            </w:r>
          </w:p>
        </w:tc>
      </w:tr>
      <w:tr>
        <w:tc>
          <w:tcPr>
            <w:tcW w:type="dxa" w:w="2948"/>
            <w:shd w:fill="4B3FAA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Dependencias</w:t>
            </w:r>
          </w:p>
        </w:tc>
        <w:tc>
          <w:tcPr>
            <w:tcW w:type="dxa" w:w="6520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11D40"/>
                <w:sz w:val="20"/>
              </w:rPr>
              <w:t>Disponibilidad de plantillas MCP-365-S2; acceso al buzón de práctica de la PMO; definición del umbral de aprobación presupuestaria.</w:t>
            </w:r>
          </w:p>
        </w:tc>
      </w:tr>
      <w:tr>
        <w:tc>
          <w:tcPr>
            <w:tcW w:type="dxa" w:w="2948"/>
            <w:shd w:fill="4B3FAA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Restricciones</w:t>
            </w:r>
          </w:p>
        </w:tc>
        <w:tc>
          <w:tcPr>
            <w:tcW w:type="dxa" w:w="6520"/>
            <w:shd w:fill="FFFFFF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11D40"/>
                <w:sz w:val="20"/>
              </w:rPr>
              <w:t>Presupuesto tope 100 u.m.; duración máxima del piloto 16 semanas; sin uso de datos reales de clientes; aprobaciones humanas obligatorias.</w:t>
            </w:r>
          </w:p>
        </w:tc>
      </w:tr>
      <w:tr>
        <w:tc>
          <w:tcPr>
            <w:tcW w:type="dxa" w:w="2948"/>
            <w:shd w:fill="4B3FAA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Riesgos iniciales</w:t>
            </w:r>
          </w:p>
        </w:tc>
        <w:tc>
          <w:tcPr>
            <w:tcW w:type="dxa" w:w="6520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11D40"/>
                <w:sz w:val="20"/>
              </w:rPr>
              <w:t>R1: Campos incompletos en la ficha (p. ej. líder No especificado) retrasan el arranque. R2: Desviación presupuestaria por cifras estimadas. R3: Confusión entre automatización y aprobación humana.</w:t>
            </w:r>
          </w:p>
        </w:tc>
      </w:tr>
      <w:tr>
        <w:tc>
          <w:tcPr>
            <w:tcW w:type="dxa" w:w="2948"/>
            <w:shd w:fill="4B3FAA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Criterios de éxito</w:t>
            </w:r>
          </w:p>
        </w:tc>
        <w:tc>
          <w:tcPr>
            <w:tcW w:type="dxa" w:w="6520"/>
            <w:shd w:fill="FFFFFF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11D40"/>
                <w:sz w:val="20"/>
              </w:rPr>
              <w:t>Cadena de 6 retos operativa; presupuesto y riesgos trazables; informe aprobado por humano (nunca por Copilot); presentación generada solo tras aprobación.</w:t>
            </w:r>
          </w:p>
        </w:tc>
      </w:tr>
      <w:tr>
        <w:tc>
          <w:tcPr>
            <w:tcW w:type="dxa" w:w="2948"/>
            <w:shd w:fill="4B3FAA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Observaciones / notas</w:t>
            </w:r>
          </w:p>
        </w:tc>
        <w:tc>
          <w:tcPr>
            <w:tcW w:type="dxa" w:w="6520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211D40"/>
                <w:sz w:val="20"/>
              </w:rPr>
              <w:t>No especificado</w:t>
            </w:r>
          </w:p>
        </w:tc>
      </w:tr>
    </w:tbl>
    <w:p>
      <w:pPr>
        <w:spacing w:after="80" w:before="0"/>
      </w:pPr>
      <w:r>
        <w:rPr>
          <w:rFonts w:ascii="Calibri" w:hAnsi="Calibri" w:eastAsia="Calibri"/>
          <w:b w:val="0"/>
          <w:color w:val="211D40"/>
          <w:sz w:val="22"/>
        </w:rPr>
      </w:r>
    </w:p>
    <w:p>
      <w:pPr>
        <w:spacing w:after="120" w:before="0"/>
      </w:pPr>
      <w:r>
        <w:rPr>
          <w:rFonts w:ascii="Calibri" w:hAnsi="Calibri" w:eastAsia="Calibri"/>
          <w:b w:val="0"/>
          <w:color w:val="5A5A72"/>
          <w:sz w:val="18"/>
        </w:rPr>
        <w:t>Nota: material didáctico. Usar «No especificado» donde falte evidencia. No inventar credenciales ni datos reales.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