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1BC7204" w14:textId="77777777">
      <w:pPr>
        <w:pBdr/>
        <w:spacing/>
        <w:ind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</w:r>
      <w:r>
        <w:rPr>
          <w:rFonts w:ascii="Arial" w:hAnsi="Arial" w:cs="Arial"/>
          <w:b/>
        </w:rPr>
      </w:r>
      <w:r>
        <w:rPr>
          <w:rFonts w:ascii="Arial" w:hAnsi="Arial" w:cs="Arial"/>
          <w:b/>
        </w:rPr>
      </w:r>
    </w:p>
    <w:p w14:paraId="0D1BC449" w14:textId="55C49607">
      <w:pPr>
        <w:pBdr/>
        <w:spacing/>
        <w:ind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  <w:bCs/>
        </w:rPr>
        <w:t xml:space="preserve">MATRIZ DE PLANEJAMENTO</w:t>
      </w:r>
      <w:r>
        <w:rPr>
          <w:rFonts w:ascii="Arial" w:hAnsi="Arial" w:cs="Arial"/>
          <w:b/>
        </w:rPr>
      </w:r>
    </w:p>
    <w:p w14:paraId="46357FAD" w14:textId="77777777">
      <w:pPr>
        <w:pBdr/>
        <w:spacing/>
        <w:ind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</w:r>
      <w:r>
        <w:rPr>
          <w:rFonts w:ascii="Arial" w:hAnsi="Arial" w:cs="Arial"/>
          <w:b/>
        </w:rPr>
      </w:r>
      <w:r>
        <w:rPr>
          <w:rFonts w:ascii="Arial" w:hAnsi="Arial" w:cs="Arial"/>
          <w:b/>
        </w:rPr>
      </w:r>
    </w:p>
    <w:p w14:paraId="5D2618CF" w14:textId="6C9D6D25">
      <w:pPr>
        <w:pBdr/>
        <w:spacing w:after="200"/>
        <w:ind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QUESTÃO GERAL DE AUDITORIA: Qual é o grau de co</w:t>
      </w:r>
      <w:r>
        <w:rPr>
          <w:rFonts w:ascii="Arial" w:hAnsi="Arial" w:cs="Arial"/>
          <w:b/>
          <w:sz w:val="20"/>
          <w:szCs w:val="20"/>
        </w:rPr>
        <w:t xml:space="preserve">nformidade das 91 prefeituras municipais jurisdicionadas com os requisitos selecionados da Lei nº 13.709/2018 (LGPD) e o nível de cumprimento das decisões proferidas no Processo TCE-RJ nº 217.899-0/2024, considerando a evolução em relação ao ciclo de 2024?</w:t>
      </w:r>
      <w:r>
        <w:rPr>
          <w:rFonts w:ascii="Arial" w:hAnsi="Arial" w:cs="Arial"/>
          <w:sz w:val="20"/>
          <w:szCs w:val="20"/>
        </w:rPr>
      </w:r>
    </w:p>
    <w:tbl>
      <w:tblPr>
        <w:tblStyle w:val="1011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w14:paraId="7D29FCBB" w14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br w:type="page" w:clear="all"/>
            </w:r>
            <w:r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Q1: A organização conduziu iniciativas preparatórias de adequação à LGPD, instituiu programa de governança em privacidade e designou formalmente o Encarregado pelo tratamento de dados pessoais (DPO), divulgando seus contatos em seu portal oficial?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conduziu iniciativas para identificar, planejar e executar medidas preparatórias para adequação à LGPD, formalizando plano de ação ou programa de governança em privacidade?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35A08AD5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highlight w:val="none"/>
              </w:rPr>
              <w:t xml:space="preserve">A organizaç</w:t>
            </w:r>
            <w:r>
              <w:rPr>
                <w:rFonts w:ascii="Arial" w:hAnsi="Arial" w:cs="Arial"/>
                <w:sz w:val="20"/>
                <w:szCs w:val="20"/>
                <w:highlight w:val="none"/>
              </w:rPr>
              <w:t xml:space="preserve">ão considerou em sua iniciativa de adequaç</w:t>
            </w:r>
            <w:r>
              <w:rPr>
                <w:rFonts w:ascii="Arial" w:hAnsi="Arial" w:cs="Arial"/>
                <w:sz w:val="20"/>
                <w:szCs w:val="20"/>
                <w:highlight w:val="none"/>
              </w:rPr>
              <w:t xml:space="preserve">ão </w:t>
            </w:r>
            <w:r>
              <w:rPr>
                <w:rFonts w:ascii="Arial" w:hAnsi="Arial" w:cs="Arial"/>
                <w:sz w:val="20"/>
                <w:szCs w:val="20"/>
                <w:highlight w:val="none"/>
              </w:rPr>
              <w:t xml:space="preserve">à LGPD os encaminhamentos do </w:t>
            </w:r>
            <w:r>
              <w:rPr>
                <w:rFonts w:ascii="Arial" w:hAnsi="Arial" w:cs="Arial"/>
                <w:sz w:val="20"/>
                <w:szCs w:val="20"/>
              </w:rPr>
              <w:t xml:space="preserve">Acórdão nº 3931/2025 </w:t>
            </w:r>
            <w:r/>
            <w:r>
              <w:rPr>
                <w:rFonts w:ascii="Arial" w:hAnsi="Arial" w:cs="Arial"/>
                <w:sz w:val="20"/>
                <w:szCs w:val="20"/>
                <w:highlight w:val="none"/>
              </w:rPr>
            </w:r>
            <w:r>
              <w:rPr>
                <w:rFonts w:ascii="Arial" w:hAnsi="Arial" w:cs="Arial"/>
                <w:sz w:val="20"/>
                <w:szCs w:val="20"/>
                <w:highlight w:val="none"/>
              </w:rPr>
              <w:t xml:space="preserve">?</w:t>
            </w:r>
            <w:r>
              <w:rPr>
                <w:rFonts w:ascii="Arial" w:hAnsi="Arial" w:cs="Arial"/>
                <w:sz w:val="20"/>
                <w:szCs w:val="20"/>
                <w:highlight w:val="none"/>
              </w:rPr>
            </w:r>
            <w:r>
              <w:rPr>
                <w:rFonts w:ascii="Arial" w:hAnsi="Arial" w:cs="Arial"/>
                <w:sz w:val="20"/>
                <w:szCs w:val="20"/>
                <w:highlight w:val="none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nomeou formalmente o Encarregado pelo tratamento de dados pessoais (DPO) e publicou o ato de designação em veículo oficial?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identidade e as informações de contato do Encarregado (nome, e-mail e telefone) estão divulgadas publicamente, em local de fácil acesso, no sítio eletrônico oficial da organização?</w:t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R1.1: Devido à ausência de planejamen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to prévio e de programa estruturado de governança em privacidade, poderá haver inércia ou fragmentação das ações de adequação à LGPD, o que poderá levar ao desperdício de recursos e à desconformidade generalizada, impactando a eficácia da gestão municipal.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R1.2: Devido à ausência de designação formal de Enc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arregado pelo tratamento de dados pessoais (DPO), poderá não haver interlocutor institucional perante a ANPD e os titulares de dados, o que poderá levar ao descumprimento de prazos e deveres legais, impactando a juridicidade e a transparência do município.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R1.3: Devido à falta de divulgação da identidade e dos canais de contato do Enc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arregado no portal oficial, poderá haver restrição indevida ao exercício de direitos pelos cidadãos, o que poderá levar à frustração de garantias fundamentais e a representações perante órgãos de controle, impactando a publicidade dos atos administrativos.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</w:tc>
      </w:tr>
    </w:tbl>
    <w:tbl>
      <w:tblPr>
        <w:tblStyle w:val="1011"/>
        <w:tblW w:w="5000" w:type="pct"/>
        <w:tblBorders/>
        <w:tblLayout w:type="fixed"/>
        <w:tblLook w:val="04A0" w:firstRow="1" w:lastRow="0" w:firstColumn="1" w:lastColumn="0" w:noHBand="0" w:noVBand="1"/>
      </w:tblPr>
      <w:tblGrid>
        <w:gridCol w:w="2259"/>
        <w:gridCol w:w="3172"/>
        <w:gridCol w:w="5471"/>
        <w:gridCol w:w="2684"/>
        <w:gridCol w:w="4080"/>
        <w:gridCol w:w="4702"/>
      </w:tblGrid>
      <w:tr>
        <w:trPr>
          <w:tblHeader/>
        </w:trPr>
        <w:tc>
          <w:tcPr>
            <w:tcBorders/>
            <w:tcW w:w="2259" w:type="dxa"/>
            <w:vAlign w:val="center"/>
          </w:tcPr>
          <w:p w14:paraId="5C2D7232" w14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FONTES DE INFORMAÇÃO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3172" w:type="dxa"/>
            <w:vAlign w:val="center"/>
          </w:tcPr>
          <w:p w14:paraId="7208CA25" w14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INFORMAÇÕES REQUERIDAS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5471" w:type="dxa"/>
            <w:vAlign w:val="center"/>
          </w:tcPr>
          <w:p w14:paraId="563FD7FD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CRITÉRIOS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2684" w:type="dxa"/>
            <w:vAlign w:val="center"/>
          </w:tcPr>
          <w:p w14:paraId="6A4DEA23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PROCEDIMENTO DE AUDITORIA</w:t>
            </w:r>
            <w:r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r>
          </w:p>
        </w:tc>
        <w:tc>
          <w:tcPr>
            <w:tcBorders/>
            <w:tcW w:w="4080" w:type="dxa"/>
            <w:vAlign w:val="center"/>
          </w:tcPr>
          <w:p w14:paraId="4A1C29C4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EVIDÊNCIAS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4702" w:type="dxa"/>
            <w:vAlign w:val="center"/>
          </w:tcPr>
          <w:p w14:paraId="357B1101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ACHADOS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</w:tr>
      <w:tr>
        <w:trPr/>
        <w:tc>
          <w:tcPr>
            <w:tcBorders/>
            <w:tcW w:w="2259" w:type="dxa"/>
            <w:vAlign w:val="center"/>
          </w:tcPr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F1: Respostas ao questionário eletrônico de auditoria da LGPD (itens Q21, Q41[SQ004], Q41[SQ005]).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F2: Evidências documentais e artefatos anexados pelos jurisdicionados (itens Q211, Q212, Q414).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F3: Endereço eletrônico (URL) informado pelo gestor e inspeção do sítio eletrônico oficial do município (item Q415).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3172" w:type="dxa"/>
            <w:vAlign w:val="center"/>
          </w:tcPr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IR1: Resposta e comprovação documental da execução de iniciativas preparatórias, plano de ação e programa de governança em privacidade; [F1, F2, Q21, Q211, Q212]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IR2: Resposta e ato formal de nomeação do Encarregado de Dados publicado em diário oficial; [F1, F2, Q41[SQ004], Q414]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IR3: Informação da URL e comprovação da disponibilização pública dos contatos do Encarregado no sítio eletrônico; [F1, F3, Q41[SQ005], Q415]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5471" w:type="dxa"/>
            <w:vAlign w:val="center"/>
          </w:tcPr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C1: Lei Federal nº 13.709/2018 (LGPD), art. 41, caput — Obrigação expressa do controlador de indicar o encarregado pelo tratamento de dados pessoais.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C2: Lei Federal nº 13.709/2018 (LGPD), art. 41, § 1º — Dever de divulgar publicamente a identidade e as informações de contato do encarregado, de forma clara e objetiva, preferencialmente no sítio eletrônico do controlador.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C3: Resolução CD/ANPD nº 18/2024, arts. 4º e 5º — Regulamento de atuação do encarregado pelo tratamento de dados pessoais, disciplinando a formalização do ato de designação e a ampla divulgação de seus dados de contato nos canais oficiais.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C4: Lei Federal nº 13.709/2018 (LGPD), art. 50, caput e § 2º, I — Implementação de regras de boas práticas e de programa de governança em privacidade que assegure a conformidade das atividades de tratamento de dados pessoais.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C5: Acór</w:t>
            </w:r>
            <w:r>
              <w:rPr>
                <w:bCs/>
                <w:color w:val="auto"/>
                <w:sz w:val="18"/>
                <w:szCs w:val="18"/>
              </w:rPr>
              <w:t xml:space="preserve">dão nº 3931/2025 do Plenário do TCE-RJ (Processo TCE-RJ nº 217.899-0/2024), Voto do Relator, item 1.1 — Determinação aos jurisdicionados para estruturar, em até 60 dias, as medidas de adequação em Plano de Ação formal registrado em processo administrativo.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C6: Acórdão nº 3931/2025 do Plenário do TCE-RJ (Processo TCE-RJ nº 217.899-0/2024), Voto do Relator, item 1.2 — Determinação aos jurisdicionados para nomear o encarregado pelo tratamento de dados pessoais e publicar o ato em veículo de comunicação oficial.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C7: Acórdão nº 3931/2025 do Plenário do TCE-RJ</w:t>
            </w:r>
            <w:r>
              <w:rPr>
                <w:bCs/>
                <w:color w:val="auto"/>
                <w:sz w:val="18"/>
                <w:szCs w:val="18"/>
              </w:rPr>
              <w:t xml:space="preserve"> (Processo TCE-RJ nº 217.899-0/2024), Voto do Relator, item 1.3 — Determinação aos jurisdicionados para publicar em seu portal institucional, de forma clara e objetiva, a identidade e informações de contato do encarregado pelo tratamento de dados pessoais.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</w:tc>
        <w:tc>
          <w:tcPr>
            <w:tcBorders/>
            <w:tcW w:w="2684" w:type="dxa"/>
            <w:vAlign w:val="center"/>
          </w:tcPr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P1: Verificar, por meio das respostas à questão Q21 e da análise dos anexos Q211 e Q212, se a organização elaborou plano de ação ou programa de governança em privacidade para adequação à LGPD; [IR1]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P2: Verificar, por meio da resposta à questão Q41[SQ004] e do documento anexado à Q414, a existência de ato administrativo formal e válido de nomeação do Encarregado de dados publicado em veículo oficial; [IR2]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P3: Inspecionar o endereço eletrônico informado na questão Q415 e a resposta à questão Q41[SQ005] para constatar a divulgação pública e acessível da identidade e canais de contato do DPO; [IR3]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</w:tc>
        <w:tc>
          <w:tcPr>
            <w:tcBorders/>
            <w:tcW w:w="4080" w:type="dxa"/>
            <w:vAlign w:val="center"/>
          </w:tcPr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E1: Resposta negativa ou ausência de documentos comprobatórios de plano de ação ou programa de governança em privacidade; [P1]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E2: Resposta negativa ou ausência de ato publicado de nomeação do Encarregado de dados; [P2]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E3: Ausência de divulgação clara e acessível da identidade e contatos do DPO no portal eletrônico do município; [P3]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4702" w:type="dxa"/>
            <w:vAlign w:val="center"/>
          </w:tcPr>
          <w:p w14:paraId="11118515" w14:textId="02403B9E">
            <w:pPr>
              <w:pBdr/>
              <w:spacing w:after="8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Deficiência na preparação institucional, governança em privacidade incipiente e ausência ou irregularidade na atuação do Encarregado pelo tratamento de dados pessoais.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60"/>
              <w:ind w:left="24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Ausência de plano de ação ou de programa estruturado de governança em privacidade para direcionar a adequação à LGPD. [R1.1, P1, E1, C4, C5];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60"/>
              <w:ind w:left="24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Ausência de designação formal de Encarregado pelo tratamento de dados pessoais (DPO) publicada em veículo oficial. [R1.2, P2, E2, C1, C3, C6];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60"/>
              <w:ind w:left="24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Ausência de divulgação pública da identidade e dos canais de contato do Encarregado no sítio eletrônico oficial. [R1.3, P3, E3, C2, C3, C7, C8];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</w:tr>
    </w:tbl>
    <w:p>
      <w:pPr>
        <w:pBdr/>
        <w:spacing/>
        <w:ind/>
        <w:rPr/>
      </w:pPr>
      <w:r>
        <w:br w:type="page" w:clear="all"/>
      </w:r>
      <w:r/>
    </w:p>
    <w:tbl>
      <w:tblPr>
        <w:tblStyle w:val="1011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w14:paraId="7D29FCBB" w14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Q2: A organização instituiu formalmente políticas de proteção de dados, segurança da informação e classificação da informação, e promoveu capacitação e conscientização periódica de seus colaboradores?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instituiu formalmente e mantém atualizadas sua Política de Proteção de Dados Pessoais, Política de Segurança da Informação (PSI) e Política de Classificação da Informação?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As políticas de classificação da informação contemplam regras específicas sobre dados pessoais sensíveis e dados de crianças e de adolescentes?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possui plano de capacitação e realizou ações de treinamento em proteção de dados pessoais para seus colaboradores, abordando de forma integrada a transparência da gestão (LAI)?</w:t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R2.1: Devido à ausência de políticas institucionais formalizadas (p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roteção de dados, PSI e classificação), poderá não haver diretrizes operacionais claras para os servidores, o que poderá levar a práticas inadequadas de tratamento e manuseio indevido de dados, impactando a conformidade legal e a integridade informacional.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R2.2: Devido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à omissão de regras de classificação sobre dados pessoais sensíveis e de crianças/adolescentes, poderá haver exposição indevida de dados hipervulneráveis, o que poderá levar a graves violações de direitos, impactando a responsabilidade civil do município.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R2.3: Devido à falta de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capacitação periódica e conscientização dos colaboradores, poderá haver erros operacionais no manuseio diário de dados de cidadãos, o que poderá levar a incidentes de segurança e vazamentos acidentais, impactando a confiança da sociedade na gestão pública.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</w:tc>
      </w:tr>
    </w:tbl>
    <w:tbl>
      <w:tblPr>
        <w:tblStyle w:val="1011"/>
        <w:tblW w:w="5000" w:type="pct"/>
        <w:tblBorders/>
        <w:tblLayout w:type="fixed"/>
        <w:tblLook w:val="04A0" w:firstRow="1" w:lastRow="0" w:firstColumn="1" w:lastColumn="0" w:noHBand="0" w:noVBand="1"/>
      </w:tblPr>
      <w:tblGrid>
        <w:gridCol w:w="2259"/>
        <w:gridCol w:w="2832"/>
        <w:gridCol w:w="6236"/>
        <w:gridCol w:w="2259"/>
        <w:gridCol w:w="4080"/>
        <w:gridCol w:w="4702"/>
      </w:tblGrid>
      <w:tr>
        <w:trPr>
          <w:tblHeader/>
        </w:trPr>
        <w:tc>
          <w:tcPr>
            <w:tcBorders/>
            <w:tcW w:w="2259" w:type="dxa"/>
            <w:vAlign w:val="center"/>
          </w:tcPr>
          <w:p w14:paraId="5C2D7232" w14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FONTES DE INFORMAÇÃO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2832" w:type="dxa"/>
            <w:vAlign w:val="center"/>
          </w:tcPr>
          <w:p w14:paraId="7208CA25" w14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INFORMAÇÕES REQUERIDAS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6236" w:type="dxa"/>
            <w:vAlign w:val="center"/>
          </w:tcPr>
          <w:p w14:paraId="563FD7FD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CRITÉRIOS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2259" w:type="dxa"/>
            <w:vAlign w:val="center"/>
          </w:tcPr>
          <w:p w14:paraId="6A4DEA23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PROCEDIMENTO DE AUDITORIA</w:t>
            </w:r>
            <w:r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r>
          </w:p>
        </w:tc>
        <w:tc>
          <w:tcPr>
            <w:tcBorders/>
            <w:tcW w:w="4080" w:type="dxa"/>
            <w:vAlign w:val="center"/>
          </w:tcPr>
          <w:p w14:paraId="4A1C29C4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EVIDÊNCIAS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4702" w:type="dxa"/>
            <w:vAlign w:val="center"/>
          </w:tcPr>
          <w:p w14:paraId="357B1101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ACHADOS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</w:tr>
      <w:tr>
        <w:trPr/>
        <w:tc>
          <w:tcPr>
            <w:tcBorders/>
            <w:tcW w:w="2259" w:type="dxa"/>
            <w:vAlign w:val="center"/>
          </w:tcPr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F1: Respostas ao questionário eletrônico de auditoria da LGPD (itens Q41[SQ001], Q41[SQ002], Q41[SQ003], Q51, Q52).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F2: Evidências documentais anexadas (itens Q411, Q412, Q413, Q511).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2832" w:type="dxa"/>
            <w:vAlign w:val="center"/>
          </w:tcPr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IR1: Resposta e ato formal comprobatório da Política de Proteção de Dados Pessoais; [F1, F2, Q41[SQ003], Q411]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IR2: Resposta e atos formais comprobatórios da PSI e da Política de Classificação da Informação; [F1, F2, Q41[SQ001], Q41[SQ002], Q412, Q413]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IR3: Resposta, declaração de maturidade e Plano de Capacitação em proteção de dados e LAI; [F1, F2, Q51, Q511, Q52]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6236" w:type="dxa"/>
            <w:vAlign w:val="center"/>
          </w:tcPr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C1: Lei Federal nº 13.709/2018 (LGPD), art. 50, § 2º, I, "a" — Formulação de regras de boas práticas e de governança que contemplem políticas institucionais de proteção de dados pessoais.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C2: Lei Federal nº 13.709/2018 (LGPD), arts. 46 e 47 — Dever dos agentes de tratamento de adotar medidas de segurança, técnicas e administrativas aptas a proteger dados pessoais, expedindo normas internas de segurança e governança.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C3: Lei Federal nº 13.709/2018 (LGPD), art. 50, § 2º, I, "c" — Realização de ações educativas, mecanismos internos de supervisão e capacitação permanente de colaboradores sobre proteção de dados pessoais.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C4: Acórdão nº 3931/2025 do Plenário do TCE-RJ (Processo TCE-RJ nº</w:t>
            </w:r>
            <w:r>
              <w:rPr>
                <w:bCs/>
                <w:color w:val="auto"/>
                <w:sz w:val="18"/>
                <w:szCs w:val="18"/>
              </w:rPr>
              <w:t xml:space="preserve"> 217.899-0/2024), Voto do Relator, item 1.6 — Determinação aos jurisdicionados para elaborar, aprovar e publicar sua Política de Proteção de Dados Pessoais (PPDP), observando as melhores práticas do PPSI do Governo Federal e da ABNT NBR ISO/IEC 27701:2019.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C5: Acórdão nº 3931/2025 do Plenário do TCE-RJ (Processo TCE-R</w:t>
            </w:r>
            <w:r>
              <w:rPr>
                <w:bCs/>
                <w:color w:val="auto"/>
                <w:sz w:val="18"/>
                <w:szCs w:val="18"/>
              </w:rPr>
              <w:t xml:space="preserve">J nº 217.899-0/2024), Voto do Relator, item 1.5 — Determinação aos jurisdicionados para elaborar, aprovar e publicar a Política de Segurança da Informação (PSI), dispondo de princípios, diretrizes, procedimentos, responsabilidades e controles de segurança.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C6: Acórdão nº 3931/2025 do Plenário do TC</w:t>
            </w:r>
            <w:r>
              <w:rPr>
                <w:bCs/>
                <w:color w:val="auto"/>
                <w:sz w:val="18"/>
                <w:szCs w:val="18"/>
              </w:rPr>
              <w:t xml:space="preserve">E-RJ (Processo TCE-RJ nº 217.899-0/2024), Voto do Relator, item 1.14 — Recomendação aos jurisdicionados para instituir formalmente e manter atualizada Política de Classificação da Informação que aborde dados sensíveis e dados de crianças e de adolescentes.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C7: Acórdão nº 3931/2025 do Plenário do TCE-RJ (Processo TC</w:t>
            </w:r>
            <w:r>
              <w:rPr>
                <w:bCs/>
                <w:color w:val="auto"/>
                <w:sz w:val="18"/>
                <w:szCs w:val="18"/>
              </w:rPr>
              <w:t xml:space="preserve">E-RJ nº 217.899-0/2024), Voto do Relator, item 1.13 — Recomendação aos jurisdicionados para avaliar a oportunidade e conveniência de elaborar plano de capacitação e desenvolver ações contínuas de capacitação e conscientização em proteção de dados pessoais.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C8: ABNT NBR ISO/IEC 27001:2022 e 27002:2022 — Diretrizes para elaboração de Políticas de Segurança da Informação, classificação de ativos informacionais e capacitação contínua em segurança.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C9: ABNT NBR ISO/IEC 27701:2019 — Sistema de Gestão da Privacidade da Informação: diretrizes e controles para implementação de políticas de privacidade nas organizações.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</w:tc>
        <w:tc>
          <w:tcPr>
            <w:tcBorders/>
            <w:tcW w:w="2259" w:type="dxa"/>
            <w:vAlign w:val="center"/>
          </w:tcPr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P1: Verificar, por meio da resposta à questão Q41[SQ003] e do anexo Q411, se a organização formalizou sua Política de Proteção de Dados Pessoais; [IR1]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P2: Verificar, por meio das respostas às questões Q41[SQ001] e Q41[SQ002] e dos anexos Q412 e Q413, a instituição da PSI e da Política de Classificação da Informação; [IR2]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P3: Analisar, por meio das questões Q51, Q511 e Q52, a existência de plano de capacitação e a realização efetiva de treinamentos de servidores que integrem proteção de dados e transparência; [IR3]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</w:tc>
        <w:tc>
          <w:tcPr>
            <w:tcBorders/>
            <w:tcW w:w="4080" w:type="dxa"/>
            <w:vAlign w:val="center"/>
          </w:tcPr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E1: Inexistência ou falta de comprovação de Política de Proteção de Dados Pessoais formalizada; [P1]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E2: Inexistência de Política de Segurança da Informação (PSI) ou de Política de Classificação da Informação; [P2]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E3: Ausência de plano de capacitação ou inexistência de treinamentos ministrados aos colaboradores sobre proteção de dados e LAI; [P3]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4702" w:type="dxa"/>
            <w:vAlign w:val="center"/>
          </w:tcPr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8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Inexistência ou insuficiência de políticas normativas institucionais e carência de capacitação periódica de servidores em proteção de dados pessoais.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60"/>
              <w:ind w:left="24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• Ausência de formalização e publicação de Política de Proteção de Dados Pessoais no âmbito da administração municipal. [R2.1, P1, E1, C1, C4, C9];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60"/>
              <w:ind w:left="24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• Inexistência de Política de Segurança da Informação (PSI) ou de Política de Classificação da Informação formalmente instituídas. [R2.1, R2.2, P2, E2, C2, C5, C6, C8];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60"/>
              <w:ind w:left="24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• Ausência de plano de capacitação e de ações periódicas de conscientização de servidores em proteção de dados pessoais e transparência pública. [R2.3, P3, E3, C3, C7, C8];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</w:tr>
    </w:tbl>
    <w:p>
      <w:pPr>
        <w:pBdr/>
        <w:spacing/>
        <w:ind/>
        <w:rPr/>
      </w:pPr>
      <w:r>
        <w:br w:type="page" w:clear="all"/>
      </w:r>
      <w:r/>
    </w:p>
    <w:tbl>
      <w:tblPr>
        <w:tblStyle w:val="1011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w14:paraId="7D29FCBB" w14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Q3: A organização identificou seus processos de negócio com dados pessoais, documentou finalidades e bases legais e instituiu Inventário de Dados Pessoais e Registro das Operações de Tratamento (ROPA)?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realizou levantamento dos processos de negócio que realizam tratamento de dados pessoais, identificando dados tratados, responsáveis e locais de armazenamento?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identificou e documentou as finalidades públicas legítimas e as bases legais que autorizam cada operação de tratamento de dados pessoais?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instituiu e mantém atualizado Inventário de Dados Pessoais abrangendo suas principais atividades de tratamento?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mantém Registro das Operações de Tratamento de Dados Pessoais (ROPA), na forma exigida pelo art. 37 da LGPD?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avaliou se a coleta de dados pessoais e o tempo de retenção/armazenamento estão limitados ao estritamente necessário (princípios da necessidade e minimização)?</w:t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R3.1: Devido à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falta de mapeamento dos processos de negócio e dos locais de armazenamento, a organização desconhecerá o ciclo de vida das informações, o que poderá levar ao extravio de dados ou acessos indevidos, impactando o controle patrimonial da informação municipal.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R3.2: Devi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do à ausência de enquadramento formal nas bases legais da LGPD, poderão ocorrer operações ilegítimas de tratamento de dados de cidadãos, o que poderá levar à anulação de atos administrativos e à responsabilização do gestor, impactando a segurança jurídica.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R3.3: Devido à inexistência de Inv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entário de Dados Pessoais e de Registro das Operações (ROPA), a prefeitura não demonstrará conformidade à fiscalização e descumprirá dever legal expresso, o que poderá levar a sanções regulatórias da ANPD e determinações do TCE-RJ, impactando a governança.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R3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.4: Devido à inobservância dos princípios da minimização e limitação de retenção, poderá haver acúmulo desnecessário de dados obsoletos, o que poderá levar ao aumento desnecessário da superfície de risco de vazamentos, impactando a segurança institucional.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</w:tc>
      </w:tr>
    </w:tbl>
    <w:tbl>
      <w:tblPr>
        <w:tblStyle w:val="1011"/>
        <w:tblW w:w="5000" w:type="pct"/>
        <w:tblBorders/>
        <w:tblLayout w:type="fixed"/>
        <w:tblLook w:val="04A0" w:firstRow="1" w:lastRow="0" w:firstColumn="1" w:lastColumn="0" w:noHBand="0" w:noVBand="1"/>
      </w:tblPr>
      <w:tblGrid>
        <w:gridCol w:w="2259"/>
        <w:gridCol w:w="3172"/>
        <w:gridCol w:w="3912"/>
        <w:gridCol w:w="4243"/>
        <w:gridCol w:w="4080"/>
        <w:gridCol w:w="4702"/>
      </w:tblGrid>
      <w:tr>
        <w:trPr>
          <w:tblHeader/>
        </w:trPr>
        <w:tc>
          <w:tcPr>
            <w:tcBorders/>
            <w:tcW w:w="2259" w:type="dxa"/>
            <w:vAlign w:val="center"/>
          </w:tcPr>
          <w:p w14:paraId="5C2D7232" w14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FONTES DE INFORMAÇÃO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3172" w:type="dxa"/>
            <w:vAlign w:val="center"/>
          </w:tcPr>
          <w:p w14:paraId="7208CA25" w14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INFORMAÇÕES REQUERIDAS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3912" w:type="dxa"/>
            <w:vAlign w:val="center"/>
          </w:tcPr>
          <w:p w14:paraId="563FD7FD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CRITÉRIOS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4243" w:type="dxa"/>
            <w:vAlign w:val="center"/>
          </w:tcPr>
          <w:p w14:paraId="6A4DEA23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PROCEDIMENTO DE AUDITORIA</w:t>
            </w:r>
            <w:r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r>
          </w:p>
        </w:tc>
        <w:tc>
          <w:tcPr>
            <w:tcBorders/>
            <w:tcW w:w="4080" w:type="dxa"/>
            <w:vAlign w:val="center"/>
          </w:tcPr>
          <w:p w14:paraId="4A1C29C4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EVIDÊNCIAS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4702" w:type="dxa"/>
            <w:vAlign w:val="center"/>
          </w:tcPr>
          <w:p w14:paraId="357B1101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ACHADOS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</w:tr>
      <w:tr>
        <w:trPr/>
        <w:tc>
          <w:tcPr>
            <w:tcBorders/>
            <w:tcW w:w="2259" w:type="dxa"/>
            <w:vAlign w:val="center"/>
          </w:tcPr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F1: Respostas ao questionário eletrônico de auditoria da LGPD (itens Q31[SQ006], Q31[SQ007], Q31[SQ008], Q61[SQ001] a Q61[SQ007]).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F2: Evidências documentais anexadas (item Q612 - Inventário de Dados Pessoais).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3172" w:type="dxa"/>
            <w:vAlign w:val="center"/>
          </w:tcPr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IR1: Resposta sobre iniciativas de identificação de processos, dados tratados e locais de armazenamento; [F1, Q31[SQ006], Q31[SQ007], Q31[SQ008]]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IR2: Resposta sobre documentação de finalidades, minimização, retenção e bases legais; [F1, Q61[SQ001], Q61[SQ002], Q61[SQ003], Q61[SQ004]]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IR3: Resposta e documento comprobatório do Inventário de Dados Pessoais; [F1, F2, Q61[SQ005], Q61[SQ006], Q612]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IR4: Resposta sobre a manutenção de Registro das Operações de Tratamento (ROPA); [F1, Q61[SQ007]]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3912" w:type="dxa"/>
            <w:vAlign w:val="center"/>
          </w:tcPr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C1: Lei Federal nº 13.709/2018 (LGPD), art. 37 — Obrigação legal do controlador e do operador de manter registro das operações de tratamento de dados pessoais que realizarem (ROPA).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C2: Lei Federal nº</w:t>
            </w:r>
            <w:r>
              <w:rPr>
                <w:bCs/>
                <w:color w:val="auto"/>
                <w:sz w:val="18"/>
                <w:szCs w:val="18"/>
              </w:rPr>
              <w:t xml:space="preserve"> 13.709/2018 (LGPD), arts. 6º, I e III, 7º, III, e 11, II, "b" — Princípios da finalidade e da necessidade (minimização), e hipóteses legais que autorizam o tratamento pelo poder público para execução de políticas públicas e cumprimento de obrigação legal.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C3: Lei Federal nº 13.709/2018 (LGPD), art. 50, § 2º, I — Programa de governança em privacidade que assegure a conformidade e a estruturação de inventários de dados e registros operacionais.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C4: Acórdão nº 3931/2025 do Plenário do TCE-RJ (Processo TCE-RJ nº 217.899-0/2024), Voto do Relator, item 1.4 — Determinação aos jurisdiciona</w:t>
            </w:r>
            <w:r>
              <w:rPr>
                <w:bCs/>
                <w:color w:val="auto"/>
                <w:sz w:val="18"/>
                <w:szCs w:val="18"/>
              </w:rPr>
              <w:t xml:space="preserve">dos para elaborar e manter Inventário de Dados Pessoais constando minimamente: serviços/processos de negócio; encarregado e agentes; finalidades, hipóteses de tratamento e previsões legais; categorias de dados e titulares; e compartilhamento com terceiros.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</w:tc>
        <w:tc>
          <w:tcPr>
            <w:tcBorders/>
            <w:tcW w:w="4243" w:type="dxa"/>
            <w:vAlign w:val="center"/>
          </w:tcPr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P1: Verificar, por meio das respostas aos itens Q31[SQ006], Q31[SQ007] e Q31[SQ008], se a organização identificou processos, dados tratados e locais de armazenamento; [IR1]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P2: Verificar, por meio das respostas aos itens Q61[SQ001] a Q61[SQ004], a documentação das finalidades públicas, das bases legais e a avaliação da minimização e tempo de retenção; [IR2]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P3: Analisar, por meio dos itens Q61[SQ005], Q61[SQ006] e do anexo Q612, a existência e a abrangência do Inventário de Dados Pessoais; [IR3]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P4: Verificar, por meio da resposta ao item Q61[SQ007], a manutenção formal do Registro das Operações de Tratamento (ROPA); [IR4]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</w:tc>
        <w:tc>
          <w:tcPr>
            <w:tcBorders/>
            <w:tcW w:w="4080" w:type="dxa"/>
            <w:vAlign w:val="center"/>
          </w:tcPr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E1: Resposta negativa quanto à identificação de processos, dados tratados e locais de armazenamento; [P1]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E2: Ausência de identificação e documentação formal das finalidades públicas e das bases legais para as operações de tratamento; [P2]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E3: Inexistência de Inventário de Dados Pessoais ou anexo comprobatório ausente/insuficiente; [P3]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E4: Ausência de Registro das Operações de Tratamento de Dados Pessoais (ROPA); [P4]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4702" w:type="dxa"/>
            <w:vAlign w:val="center"/>
          </w:tcPr>
          <w:p w14:paraId="11118515" w14:textId="02403B9E">
            <w:pPr>
              <w:pBdr/>
              <w:spacing w:after="8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Ausência de mapeamento das atividades de tratamento, inexistência de Inventário de Dados Pessoais e descumprimento da manutenção do Registro das Operações (ROPA).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60"/>
              <w:ind w:left="24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• Inexistência de Inventário de Dados Pessoais instituído para consolidar as características das atividades de tratamento. [R3.1, R3.3, P1, P3, E1, E3, C3, C4];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60"/>
              <w:ind w:left="24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• Ausência de identificação e documentação das finalidades e das bases legais para as atividades de tratamento de dados pessoais. [R3.2, P2, E2, C2, C4];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60"/>
              <w:ind w:left="24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• Ausência de manutenção de Registro das Operações de Tratamento de Dados Pessoais (ROPA), em descumprimento ao art. 37 da LGPD. [R3.3, P4, E4, C1, C4];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</w:tr>
    </w:tbl>
    <w:p>
      <w:pPr>
        <w:pBdr/>
        <w:spacing/>
        <w:ind/>
        <w:rPr/>
      </w:pPr>
      <w:r>
        <w:br w:type="page" w:clear="all"/>
      </w:r>
      <w:r/>
    </w:p>
    <w:tbl>
      <w:tblPr>
        <w:tblStyle w:val="1011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w14:paraId="7D29FCBB" w14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Q4: A organização avaliou os riscos aos processos de tratamento e elaborou Relatório de Impacto à Proteção de Dados Pessoais (RIPD)?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conduziu iniciativas para identificar e avaliar os riscos associados aos processos de tratamento de dados pessoais?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elaborou Relatório de Impacto à Proteção de Dados Pessoais (RIPD), nos termos do art. 5º, XVII, e art. 38 da LGPD?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Foram implementados controles mitigadores para os riscos identificados por meio da elaboração do RIPD?</w:t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4.1: Devido à ausência de identificação e avaliação de riscos aos processos de tratamento, vulnerabilidades críticas permanecerão ocultas, o que poderá levar à materialização de incidentes graves, impactando a continuidade dos serviços públicos municipais.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R4.2: Devido à falta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de elaboração de Relatório de Impacto à Proteção de Dados (RIPD), tratamentos de alto risco e dados sensíveis serão executados sem salvaguardas adequadas, o que poderá levar a sanções por descumprimento ao art. 38 da LGPD, impactando a conformidade legal.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R4.3: Devido à não implementação de controles mitigadores dos riscos identificados no RIPD, as análises de risco restarão inócuas, o que poderá levar à repetição de falhas conhecidas, impactando a proteção efetiva dos titulares.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R4.4: Devido à não observância de diretrizes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de Privacy by Design e Privacy by Default na aquisição ou desenvolvimento de novos sistemas, as soluções municipais já nascerão em desconformidade, o que poderá levar a custos elevados de retrabalho e adaptações a posteriori, impactando o erário municipal.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</w:tc>
      </w:tr>
    </w:tbl>
    <w:tbl>
      <w:tblPr>
        <w:tblStyle w:val="1011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505" w:type="pct"/>
            <w:vAlign w:val="center"/>
          </w:tcPr>
          <w:p w14:paraId="5C2D7232" w14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FONTES DE INFORMAÇÃO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709" w:type="pct"/>
            <w:vAlign w:val="center"/>
          </w:tcPr>
          <w:p w14:paraId="7208CA25" w14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INFORMAÇÕES REQUERIDAS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810" w:type="pct"/>
            <w:vAlign w:val="center"/>
          </w:tcPr>
          <w:p w14:paraId="563FD7FD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CRITÉRIOS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1013" w:type="pct"/>
            <w:vAlign w:val="center"/>
          </w:tcPr>
          <w:p w14:paraId="6A4DEA23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PROCEDIMENTO DE AUDITORIA</w:t>
            </w:r>
            <w:r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r>
          </w:p>
        </w:tc>
        <w:tc>
          <w:tcPr>
            <w:tcBorders/>
            <w:tcW w:w="912" w:type="pct"/>
            <w:vAlign w:val="center"/>
          </w:tcPr>
          <w:p w14:paraId="4A1C29C4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EVIDÊNCIAS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1051" w:type="pct"/>
            <w:vAlign w:val="center"/>
          </w:tcPr>
          <w:p w14:paraId="357B1101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ACHADOS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</w:tr>
      <w:tr>
        <w:trPr/>
        <w:tc>
          <w:tcPr>
            <w:tcBorders/>
            <w:tcW w:w="505" w:type="pct"/>
            <w:vAlign w:val="center"/>
          </w:tcPr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F1: Respostas ao questionário eletrônico de auditoria da LGPD (itens Q31[SQ009], Q61[SQ008], Q61[SQ009], Q101[SQ008]).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F2: Evidências documentais anexadas (item Q611 - Relatório de Impacto à Proteção de Dados Pessoais).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709" w:type="pct"/>
            <w:vAlign w:val="center"/>
          </w:tcPr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IR1: Resposta sobre a condução de iniciativas de identificação e avaliação de riscos a processos de tratamento; [F1, Q31[SQ009]]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IR2: Resposta e documento comprobatório de Relatório de Impacto à Proteção de Dados Pessoais (RIPD); [F1, F2, Q61[SQ008], Q611]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IR3: Resposta sobre a implementação de controles para mitigar riscos identificados no RIPD; [F1, Q61[SQ009]]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IR4: Resposta sobre a adoção de medidas de Privacy by Design e Privacy by Default; [F1, Q101[SQ008]]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810" w:type="pct"/>
            <w:vAlign w:val="center"/>
          </w:tcPr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C1: Lei Federal nº 13.709/2018 (LGP</w:t>
            </w:r>
            <w:r>
              <w:rPr>
                <w:bCs/>
                <w:color w:val="auto"/>
                <w:sz w:val="18"/>
                <w:szCs w:val="18"/>
              </w:rPr>
              <w:t xml:space="preserve">D), art. 5º, XVII, e art. 38, parágrafo único — Definição e obrigatoriedade de elaboração do Relatório de Impacto à Proteção de Dados Pessoais (RIPD) para operações de tratamento de dados que possam gerar riscos às liberdades civis e direitos fundamentais.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C2: Lei Federal nº 13.709/2018 (LGPD), art. 46, § 2º — As medidas de segurança e governança deverão ser observadas desde a fase de concepção do produto ou do serviço até a sua execução (Privacy by Design e Privacy by Default).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C3: Lei Federal nº 13.709/2018 (LGPD), art. 50, caput — Governança e gerenciamento contínuo de riscos no tratamento de dados pessoais.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C4: Acórdão nº 3931/2025 do Plenário do TCE-RJ (Processo TCE-RJ nº 217.899-0/2024), Voto do Relator, item 1.9 —</w:t>
            </w:r>
            <w:r>
              <w:rPr>
                <w:bCs/>
                <w:color w:val="auto"/>
                <w:sz w:val="18"/>
                <w:szCs w:val="18"/>
              </w:rPr>
              <w:t xml:space="preserve"> Determinação aos jurisdicionados para elaborar Relatório de Impacto à Proteção de Dados Pessoais (RIPD), conforme disposto no art. 5º, XVII, e art. 38, parágrafo único, da LGPD, em consonância com as atividades registradas no Inventário de Dados Pessoais.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C5: ABNT NBR ISO/IEC 27701:2019 — Gestão da privacidade da informação: sistemática de avaliação de impacto à privacidade (PIA/RIPD) e estabelecimento de controles mitigadores de riscos.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</w:tc>
        <w:tc>
          <w:tcPr>
            <w:tcBorders/>
            <w:tcW w:w="1013" w:type="pct"/>
            <w:vAlign w:val="center"/>
          </w:tcPr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P1: Verificar, por meio da resposta à questão Q31[SQ009], se a organização identificou e avaliou os riscos associados aos processos de tratamento de dados; [IR1]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P2: Analisar, por meio da resposta à questão Q61[SQ008] e do documento anexado à Q611, a existência e a consistência do RIPD; [IR2]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P3: Verificar, por meio da resposta à questão Q61[SQ009], a implementação efetiva de controles para mitigar os riscos apontados no RIPD; [IR3]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P4: Verificar, por meio da resposta à questão Q101[SQ008], a aplicação de medidas de Privacy by Design e Privacy by Default nos sistemas municipais; [IR4]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</w:tc>
        <w:tc>
          <w:tcPr>
            <w:tcBorders/>
            <w:tcW w:w="912" w:type="pct"/>
            <w:vAlign w:val="center"/>
          </w:tcPr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E1: Resposta negativa quanto à condução de iniciativas de identificação e avaliação de riscos a processos de tratamento; [P1]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E2: Inexistência de Relatório de Impacto à Proteção de Dados Pessoais (RIPD) ou anexo ausente/inválido; [P2]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E3: Ausência de implementação de controles mitigadores dos riscos identificados; [P3]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E4: Resposta negativa quanto à adoção de Privacy by Design e Privacy by Default; [P4]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1051" w:type="pct"/>
            <w:vAlign w:val="center"/>
          </w:tcPr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8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Fragilidade na gestão de riscos à privacidade, ausência de elaboração de RIPD e inobservância de diretrizes de Privacy by Design.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60"/>
              <w:ind w:left="24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• Ausência de iniciativas formais para identificação e avaliação dos riscos associados aos processos de tratamento de dados pessoais. [R4.1, P1, E1, C3, C5];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60"/>
              <w:ind w:left="24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• Ausência de elaboração de Relatório de Impacto à Proteção de Dados Pessoais (RIPD) para as atividades de tratamento cabíveis. [R4.2, R4.3, P2, P3, E2, E3, C1, C4, C5];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60"/>
              <w:ind w:left="24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• Inexistência de adoção de diretrizes de Privacy by Design e Privacy by Default na concepção de processos e sistemas. [R4.4, P4, E4, C2, C5];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</w:tr>
    </w:tbl>
    <w:p>
      <w:pPr>
        <w:pBdr/>
        <w:spacing/>
        <w:ind/>
        <w:rPr/>
      </w:pPr>
      <w:r>
        <w:br w:type="page" w:clear="all"/>
      </w:r>
      <w:r/>
    </w:p>
    <w:tbl>
      <w:tblPr>
        <w:tblStyle w:val="1011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w14:paraId="7D29FCBB" w14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Q5: A organização elaborou e divulga Política de Privacidade em seu sítio oficial e implementou mecanismos eficazes para atender aos direitos dos titulares de dados pessoais?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elaborou e divulga em seu sítio eletrônico institucional Política de Privacidade (ou instrumento similar) clara e acessível?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Foram implementados mecanismos e procedimentos operacionais para atender os direitos dos titulares previstos nos arts. 9º e 18 da LGPD aplicáveis à organização?</w:t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R5.1: Devido à falta de publicação de Pol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ítica ou Aviso de Privacidade nos canais eletrônicos, os titulares de dados desconhecerão as finalidades e regras de tratamento, o que poderá levar à violação do princípio da transparência pública, impactando a publicidade dos serviços digitais municipais.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R5.2: Devido à inexistência de mecanismos formais de at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endimento às requisições dos titulares, os cidadãos enfrentarão obstáculos para exercer seus direitos fundamentais (acesso, retificação, eliminação), o que poderá levar a representações judiciais e perante a ANPD, impactando a segurança jurídica municipal.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</w:tc>
      </w:tr>
    </w:tbl>
    <w:tbl>
      <w:tblPr>
        <w:tblStyle w:val="1011"/>
        <w:tblW w:w="5000" w:type="pct"/>
        <w:tblBorders/>
        <w:tblLayout w:type="fixed"/>
        <w:tblLook w:val="04A0" w:firstRow="1" w:lastRow="0" w:firstColumn="1" w:lastColumn="0" w:noHBand="0" w:noVBand="1"/>
      </w:tblPr>
      <w:tblGrid>
        <w:gridCol w:w="2259"/>
        <w:gridCol w:w="3172"/>
        <w:gridCol w:w="4337"/>
        <w:gridCol w:w="3818"/>
        <w:gridCol w:w="4080"/>
        <w:gridCol w:w="4702"/>
      </w:tblGrid>
      <w:tr>
        <w:trPr>
          <w:tblHeader/>
        </w:trPr>
        <w:tc>
          <w:tcPr>
            <w:tcBorders/>
            <w:tcW w:w="2259" w:type="dxa"/>
            <w:vAlign w:val="center"/>
          </w:tcPr>
          <w:p w14:paraId="5C2D7232" w14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FONTES DE INFORMAÇÃO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3172" w:type="dxa"/>
            <w:vAlign w:val="center"/>
          </w:tcPr>
          <w:p w14:paraId="7208CA25" w14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INFORMAÇÕES REQUERIDAS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4337" w:type="dxa"/>
            <w:vAlign w:val="center"/>
          </w:tcPr>
          <w:p w14:paraId="563FD7FD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CRITÉRIOS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3818" w:type="dxa"/>
            <w:vAlign w:val="center"/>
          </w:tcPr>
          <w:p w14:paraId="6A4DEA23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PROCEDIMENTO DE AUDITORIA</w:t>
            </w:r>
            <w:r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r>
          </w:p>
        </w:tc>
        <w:tc>
          <w:tcPr>
            <w:tcBorders/>
            <w:tcW w:w="4080" w:type="dxa"/>
            <w:vAlign w:val="center"/>
          </w:tcPr>
          <w:p w14:paraId="4A1C29C4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EVIDÊNCIAS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4702" w:type="dxa"/>
            <w:vAlign w:val="center"/>
          </w:tcPr>
          <w:p w14:paraId="357B1101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ACHADOS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</w:tr>
      <w:tr>
        <w:trPr/>
        <w:tc>
          <w:tcPr>
            <w:tcBorders/>
            <w:tcW w:w="2259" w:type="dxa"/>
            <w:vAlign w:val="center"/>
          </w:tcPr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F1: Respostas ao questionário eletrônico de auditoria da LGPD (itens Q71, Q72).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F2: Evidências documentais anexadas (item Q711 - Política de Privacidade).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F3: Comentários e endereços (URLs) informados no formulário (itens Q71[comment], Q72[comment]).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3172" w:type="dxa"/>
            <w:vAlign w:val="center"/>
          </w:tcPr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IR1: Resposta, declaração de divulgação e documento anexado da Política de Privacidade; [F1, F2, F3, Q71, Q71[comment], Q711]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IR2: Resposta e detalhamento dos mecanismos implementados para atender aos direitos dos titulares; [F1, F3, Q72, Q72[comment]]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4337" w:type="dxa"/>
            <w:vAlign w:val="center"/>
          </w:tcPr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C1: Lei Federal nº </w:t>
            </w:r>
            <w:r>
              <w:rPr>
                <w:bCs/>
                <w:color w:val="auto"/>
                <w:sz w:val="18"/>
                <w:szCs w:val="18"/>
              </w:rPr>
              <w:t xml:space="preserve">13.709/2018 (LGPD), art. 6º, VI, e art. 9º — Princípio da transparência e direito do titular ao acesso facilitado e claro sobre as informações de tratamento de dados (finalidades, forma e duração, identificação do controlador, compartilhamento e direitos).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C2: Lei Federal nº 13.709/2018 (LGPD), art. 18 — Rol de direitos dos titulares de dados pessoais e dever de atendimento facilitado, gratuito e em prazo razoável pelo controlador.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C3: Acórdão nº 3931/2025 do Plenário do TCE-RJ (Processo TCE-RJ nº 217.899-0/2024), Voto do Relator, item 1.7 —</w:t>
            </w:r>
            <w:r>
              <w:rPr>
                <w:bCs/>
                <w:color w:val="auto"/>
                <w:sz w:val="18"/>
                <w:szCs w:val="18"/>
              </w:rPr>
              <w:t xml:space="preserve"> Determinação aos jurisdicionados para instituir formalmente, manter atualizada e divulgar em seu portal institucional sua Política de Privacidade, contemplando finalidades, duração, dados de contato do controlador, compartilhamentos e direitos do titular.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C4: Acórdão nº 3931/2025 do Plenário do TCE-RJ (Processo TCE-RJ nº 217.899-0/2024), Voto do Relator, item 1.8 — Determinação aos jurisdicionados para implementar mecanismos para atender a todos os direitos dos titulares relacionados no art. 18 da LGPD.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</w:tc>
        <w:tc>
          <w:tcPr>
            <w:tcBorders/>
            <w:tcW w:w="3818" w:type="dxa"/>
            <w:vAlign w:val="center"/>
          </w:tcPr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P1: Analisar, por meio da resposta à questão Q71 e da evidência anexada à Q711, a elaboração e a divulgação efetiva da Política de Privacidade no sítio eletrônico da prefeitura; [IR1]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P2: Verificar, por meio da resposta e comentários prestados à questão Q72, a implementação de mecanismos para atendimento aos direitos dos titulares previstos nos arts. 9º e 18 da LGPD; [IR2]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</w:tc>
        <w:tc>
          <w:tcPr>
            <w:tcBorders/>
            <w:tcW w:w="4080" w:type="dxa"/>
            <w:vAlign w:val="center"/>
          </w:tcPr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E1: Resposta indicando ausência de elaboração ou falta de divulgação da Política de Privacidade no sítio oficial; [P1]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E2: Resposta indicando inexistência ou incompletude de mecanismos implementados para atendimento aos direitos dos titulares; [P2]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4702" w:type="dxa"/>
            <w:vAlign w:val="center"/>
          </w:tcPr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8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Falta de transparência ativa em privacidade e ausência ou precariedade de mecanismos para atendimento aos direitos dos titulares de dados pessoais.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60"/>
              <w:ind w:left="24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• Ausência de elaboração ou falta de divulgação pública de Política de Privacidade no sítio eletrônico institucional da prefeitura. [R5.1, P1, E1, C1, C3, C5];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60"/>
              <w:ind w:left="24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• Ausência ou incompletude de mecanismos implementados para atendimento às requisições e direitos dos titulares de dados pessoais. [R5.2, P2, E2, C2, C4];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</w:tr>
    </w:tbl>
    <w:p>
      <w:pPr>
        <w:pBdr/>
        <w:spacing/>
        <w:ind/>
        <w:rPr/>
      </w:pPr>
      <w:r>
        <w:br w:type="page" w:clear="all"/>
      </w:r>
      <w:r/>
    </w:p>
    <w:tbl>
      <w:tblPr>
        <w:tblStyle w:val="1011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w14:paraId="7D29FCBB" w14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Q6: A organização implementou medidas t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écnicas e administrativas a fim de assegurar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a segurança da informação e privacidade?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implementou processo formal de registro, cancelamento e provisionamento de usuários?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utiliza criptografia de ponta a ponta (dados em trânsito)?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elaborou e mantém atualizado Plano de Resposta a Incidentes de Segurança com violação de dados pessoais e estabeleceu procedimentos para comunicar à ANPD e aos titulares?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adequou seus instrumentos contratuais com operadores de TI e provedores de computação em nuvem, prevendo salvaguardas de sigilo e responsabilidades pela proteção de dados?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avaliou a conformidade dos compartilhamentos de dados pessoais com terceiros e observa os critérios legais para transferências internacionais de dados?</w:t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R6.1: Devido à f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alta de controle formal de acessos e ausência de logs de auditoria, acessos indevidos passarão despercebidos, o que poderá levar ao vazamento e alteração ilícita de dados de cidadãos, impactando a confidencialidade e a integridade da administração pública.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R6.2: Devido à inexistência de Plano de Resposta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a Incidentes e fluxo de comunicação formal, violações de segurança não serão contidas tempestivamente, o que poderá levar à ampliação dos danos causados aos titulares e a severas penalidades administrativas, impactando a continuidade dos serviços públicos.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R6.3: Devido à ausência de cláusulas de proteção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de dados em contratos com operadores terceirizados de TI e provedores de computação em nuvem, o ente público perderá o controle sobre seus ativos informacionais, o que poderá levar ao uso indevido de dados por terceiros, impactando a governança contratual.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</w:tc>
      </w:tr>
    </w:tbl>
    <w:tbl>
      <w:tblPr>
        <w:tblStyle w:val="1011"/>
        <w:tblW w:w="5000" w:type="pct"/>
        <w:tblBorders/>
        <w:tblLayout w:type="fixed"/>
        <w:tblLook w:val="04A0" w:firstRow="1" w:lastRow="0" w:firstColumn="1" w:lastColumn="0" w:noHBand="0" w:noVBand="1"/>
      </w:tblPr>
      <w:tblGrid>
        <w:gridCol w:w="2259"/>
        <w:gridCol w:w="3115"/>
        <w:gridCol w:w="6661"/>
        <w:gridCol w:w="3260"/>
        <w:gridCol w:w="2976"/>
        <w:gridCol w:w="4096"/>
      </w:tblGrid>
      <w:tr>
        <w:trPr>
          <w:tblHeader/>
        </w:trPr>
        <w:tc>
          <w:tcPr>
            <w:tcBorders/>
            <w:tcW w:w="2259" w:type="dxa"/>
            <w:vAlign w:val="center"/>
          </w:tcPr>
          <w:p w14:paraId="5C2D7232" w14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FONTES DE INFORMAÇÃO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3115" w:type="dxa"/>
            <w:vAlign w:val="center"/>
          </w:tcPr>
          <w:p w14:paraId="7208CA25" w14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INFORMAÇÕES REQUERIDAS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6661" w:type="dxa"/>
            <w:vAlign w:val="center"/>
          </w:tcPr>
          <w:p w14:paraId="563FD7FD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CRITÉRIOS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3260" w:type="dxa"/>
            <w:vAlign w:val="center"/>
          </w:tcPr>
          <w:p w14:paraId="6A4DEA23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PROCEDIMENTO DE AUDITORIA</w:t>
            </w:r>
            <w:r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r>
          </w:p>
        </w:tc>
        <w:tc>
          <w:tcPr>
            <w:tcBorders/>
            <w:tcW w:w="2976" w:type="dxa"/>
            <w:vAlign w:val="center"/>
          </w:tcPr>
          <w:p w14:paraId="4A1C29C4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EVIDÊNCIAS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4096" w:type="dxa"/>
            <w:vAlign w:val="center"/>
          </w:tcPr>
          <w:p w14:paraId="357B1101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ACHADOS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</w:tr>
      <w:tr>
        <w:trPr/>
        <w:tc>
          <w:tcPr>
            <w:tcBorders/>
            <w:tcW w:w="2259" w:type="dxa"/>
            <w:vAlign w:val="center"/>
          </w:tcPr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F1: Respostas ao questionário eletrônico de auditoria da LGPD (itens Q31[SQ005], Q81, Q811, Q8111, Q812, Q91, Q101).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F2: Evidências documentais anexadas (item Q911 - Plano de Resposta a Incidentes).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3115" w:type="dxa"/>
            <w:vAlign w:val="center"/>
          </w:tcPr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IR1: Resposta sobre processo formal de concessão de acessos, logs e uso de criptografia; [F1, Q101[SQ002], Q101[SQ003], Q101[SQ004], Q101[SQ005]]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IR2: Resposta e documento do Plano de Resposta a Incidentes de Segurança com dados pessoais; [F1, F2, Q91[SQ001], Q911]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IR3: Resposta sobre procedimento de notificação de incidentes à ANPD e aos titulares; [F1, Q91[SQ005]]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IR4: Resposta sobre adequação contratual com operadores de TI e provedores de nuvem; [F1, Q31[SQ005], Q812[SQ001], Q812[SQ004]]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IR5: Resposta sobre avaliação de compartilhamento com terceiros e transferência internacional; [F1, Q81, Q811, Q8111]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6661" w:type="dxa"/>
            <w:vAlign w:val="center"/>
          </w:tcPr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C1: Lei Federal nº 13.709/2018 (LGPD), art. 46 — Adoção de medidas de segurança, técnicas e administrativas aptas a proteger os dados pessoais de acessos não autorizados e de situações acidentais ou ilícitas.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C2: Lei Federal nº 13.709/2018 (LGPD), art. 48 — Comunicação obrigatória à ANPD e aos titulares sobre a ocorrência de incidentes de segurança que possam acarretar risco ou dano relevante.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C3: Resolução CD/ANPD nº 15/2024, arts. 3º a 7º — Regulamento de Comunicação de Incidentes de Segurança, disciplinando prazos regulamentares (3 dias úteis), requisitos e obrigações do controlador na notificação à ANPD e aos titulares afetados.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C4: Lei Federal nº 13.709/2018 (LGPD), art. 50, § 2º, I, "g" — Plano de resposta a incidentes e remediação como componente obrigatório do programa de governança em privacidade.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C5: Lei Federal nº 13.709/2018 (LGPD), arts. 39 e 42 — Responsabilidades legais do operador e dever de observância às instruções e salvaguardas contratuais pactuadas com o controlador.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C7: Lei Federal nº 13.709/2018 (LGPD), arts. 26, 27 e 33 — Condições vinculantes para o compartilhamento de dados pelo Poder Público e requisitos restritivos para transferências internacionais de dados pessoais.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C8: Acórdão nº 3931/2025 do Ple</w:t>
            </w:r>
            <w:r>
              <w:rPr>
                <w:bCs/>
                <w:color w:val="auto"/>
                <w:sz w:val="18"/>
                <w:szCs w:val="18"/>
              </w:rPr>
              <w:t xml:space="preserve">nário do TCE-RJ (Processo TCE-RJ nº 217.899-0/2024), Voto do Relator, item 1.10 — Determinação aos jurisdicionados para instituir formalmente e manter atualizado Plano de Resposta a Incidentes, conforme disposto no art. 48 e art. 50, § 2º, I, "g", da LGPD.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C9: Acórdão nº 3931/2025 do Plenário do TCE-RJ (Processo TCE-RJ nº 217.899-0/2024), Voto</w:t>
            </w:r>
            <w:r>
              <w:rPr>
                <w:bCs/>
                <w:color w:val="auto"/>
                <w:sz w:val="18"/>
                <w:szCs w:val="18"/>
              </w:rPr>
              <w:t xml:space="preserve"> do Relator, item 1.11 — Determinação aos jurisdicionados para estabelecer procedimento alinhado ao Plano de Resposta a Incidentes para comunicar violações de dados à ANPD e aos titulares, em atendimento ao art. 48 da LGPD e à Resolução CD/ANPD nº 15/2024.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C10: Acórdão nº 3931/2025 do Plenário do T</w:t>
            </w:r>
            <w:r>
              <w:rPr>
                <w:bCs/>
                <w:color w:val="auto"/>
                <w:sz w:val="18"/>
                <w:szCs w:val="18"/>
              </w:rPr>
              <w:t xml:space="preserve">CE-RJ (Processo TCE-RJ nº 217.899-0/2024), Voto do Relator, item 1.15 — Recomendação aos jurisdicionados para adoção de medidas técnicas e administrativas de segurança (gestão de acessos, criptografia TLS/HTTPS e repouso, firewall e proteção de perímetro).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C11: ABNT NBR ISO/IEC 27001:2022 e 27002:2022 — Controles normativos de gestão de acessos de usuários, logs de auditoria, criptografia e tratamento de incidentes de segurança da informação.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</w:tc>
        <w:tc>
          <w:tcPr>
            <w:tcBorders/>
            <w:tcW w:w="3260" w:type="dxa"/>
            <w:vAlign w:val="center"/>
          </w:tcPr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P1: Verificar, por meio das respostas aos itens Q101[SQ002] a Q101[SQ005], a existência de processo formal de concessão de acessos e uso de criptografia; [IR1]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P2: Analisar, por meio da resposta ao item Q91[SQ001] e do anexo Q911, a formalização do Plano de Resposta a Incidentes de Segurança com violação de dados; [IR2]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P3: Verificar, por meio do item Q91[SQ005], se a organização possui procedimentos padronizados para notificar a ANPD e os titulares em caso de incidentes relevantes; [IR3]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P4: Analisar, por meio dos itens Q31[SQ005] e Q812[SQ004], a adequação dos contratos firmados com operadores de TI e provedores de computação em nuvem; [IR4]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P5: Analisar, por meio dos itens Q81, Q811 e Q8111, a regularidade dos compartilhamentos de dados com terceiros e das transferências internacionais; [IR5]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</w:tc>
        <w:tc>
          <w:tcPr>
            <w:tcBorders/>
            <w:tcW w:w="2976" w:type="dxa"/>
            <w:vAlign w:val="center"/>
          </w:tcPr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E1: Fragilidade ou ausência de controle formal de acessos e falta de logs de auditoria em sistemas com dados pessoais; [P1]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E2: Inexistência de Plano de Resposta a Incidentes de Segurança com dados pessoais; [P2]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E3: Ausência de procedimento padronizado para notificação de incidentes à ANPD e aos titulares; [P3]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E4: Contratos com operadores de TI e provedores de nuvem sem cláusulas expressas de proteção de dados e sigilo; [P4]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E5: Compartilhamentos com terceiros não avaliados ou transferências internacionais sem observância aos preceitos da LGPD; [P5]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4096" w:type="dxa"/>
            <w:vAlign w:val="center"/>
          </w:tcPr>
          <w:p w14:paraId="11118515" w14:textId="02403B9E">
            <w:pPr>
              <w:pBdr/>
              <w:spacing w:after="80"/>
              <w:ind w:firstLine="0" w:left="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Vulnerabilidade nos controles de segurança da informação, ausência de plano de resposta a incidentes e desproteção em contratos com operadores e compartilhamentos de dados.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60"/>
              <w:ind w:left="24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Deficiência nos controles formais de acesso e inexistência de rastreabilidade (logs) em sistemas municipais. [R6.1, P1, E1, C1, C10, C11];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60"/>
              <w:ind w:left="24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• Inexistência de Plano de Resposta a Incidentes de Segurança da Informação envolvendo dados pessoais. [R6.2, P2, E2, C1, C4, C8];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60"/>
              <w:ind w:left="24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• Ausência de procedimento padronizado para comunicação tempestiva de incidentes de segurança à ANPD e aos titulares. [R6.2, P3, E3, C2, C3, C9];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60"/>
              <w:ind w:left="24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• Inexistência de cláusulas de proteção de dados e salvaguardas nos contratos firmados com operadores de TI e provedores de nuvem. [R6.3, P4, E4, C5, C6];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</w:tr>
    </w:tbl>
    <w:p>
      <w:pPr>
        <w:pBdr/>
        <w:spacing/>
        <w:ind/>
        <w:rPr/>
      </w:pPr>
      <w:r>
        <w:br w:type="page" w:clear="all"/>
      </w:r>
      <w:r/>
    </w:p>
    <w:tbl>
      <w:tblPr>
        <w:tblStyle w:val="1011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w14:paraId="7D29FCBB" w14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QT1: Qual é o grau de cumprimento, pelas prefeituras municipais, das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decisões proferidas pelo TCE-RJ no Processo nº 217.899-0/2024 (Acórdão nº 3931/2025), e quais são as causas específicas associadas ao não cumprimento de determinações e recomendações?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Os municípios implementaram as determinações e recomendações formuladas no </w:t>
            </w:r>
            <w:r>
              <w:rPr>
                <w:rFonts w:ascii="Arial" w:hAnsi="Arial" w:cs="Arial"/>
                <w:sz w:val="20"/>
                <w:szCs w:val="20"/>
              </w:rPr>
              <w:t xml:space="preserve">Acórdão nº 3931/2025 </w:t>
            </w:r>
            <w:r/>
            <w:r>
              <w:rPr>
                <w:rFonts w:ascii="Arial" w:hAnsi="Arial" w:cs="Arial"/>
                <w:sz w:val="20"/>
                <w:szCs w:val="20"/>
              </w:rPr>
              <w:t xml:space="preserve">no âmbito do Processo TCE-RJ nº 217.899-0/2024?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Quais prefeitu</w:t>
            </w:r>
            <w:r>
              <w:rPr>
                <w:rFonts w:ascii="Arial" w:hAnsi="Arial" w:cs="Arial"/>
                <w:sz w:val="20"/>
                <w:szCs w:val="20"/>
              </w:rPr>
              <w:t xml:space="preserve">ras reincidiram na ausência de controles específicos objeto de deliberação prévia, confrontando as respostas do questionário de 2026 com o baseline de encaminhamentos individualizados de 2024 (tabela_encaminhamentos.xlsx e tabela_situacao_encontrada.xlsx)?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Quais foram as causas e justificativas declaradas pelos ges</w:t>
            </w:r>
            <w:r>
              <w:rPr>
                <w:rFonts w:ascii="Arial" w:hAnsi="Arial" w:cs="Arial"/>
                <w:sz w:val="20"/>
                <w:szCs w:val="20"/>
              </w:rPr>
              <w:t xml:space="preserve">tores para o não atendimento de cada deliberação?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Como se distribuem as causas de descumprimento entre os 12 temas de controle monitorados (Encarregado/DPO, divulgação do DPO no portal, PSI, Política de </w:t>
            </w:r>
            <w:r>
              <w:rPr>
                <w:rFonts w:ascii="Arial" w:hAnsi="Arial" w:cs="Arial"/>
                <w:sz w:val="20"/>
                <w:szCs w:val="20"/>
              </w:rPr>
              <w:t xml:space="preserve">Classificação da Informação, Política de Proteção de Dados, Plano de Capacitação, Inventário de Dados Pessoais, RIPD, Política de Privacidade no portal, Mecanismos para Direitos dos Titulares, Plano de Resposta a Incidentes e Notificação à ANPD/titulares)?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Os planos de ação municipais foram tempestiva e integralmente executados?</w:t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Não se aplica: questão de levantamento, sem formulação de risco de achado.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</w:tc>
      </w:tr>
    </w:tbl>
    <w:tbl>
      <w:tblPr>
        <w:tblStyle w:val="1011"/>
        <w:tblW w:w="5000" w:type="pct"/>
        <w:tblBorders/>
        <w:tblLook w:val="04A0" w:firstRow="1" w:lastRow="0" w:firstColumn="1" w:lastColumn="0" w:noHBand="0" w:noVBand="1"/>
      </w:tblPr>
      <w:tblGrid>
        <w:gridCol w:w="2888"/>
        <w:gridCol w:w="3148"/>
        <w:gridCol w:w="4412"/>
        <w:gridCol w:w="3952"/>
        <w:gridCol w:w="4495"/>
      </w:tblGrid>
      <w:tr>
        <w:trPr>
          <w:tblHeader/>
        </w:trPr>
        <w:tc>
          <w:tcPr>
            <w:tcBorders/>
            <w:tcW w:w="2888" w:type="dxa"/>
            <w:vAlign w:val="center"/>
          </w:tcPr>
          <w:p w14:paraId="5C2D7232" w14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FONTES DE INFORMAÇÃO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3148" w:type="dxa"/>
            <w:vAlign w:val="center"/>
          </w:tcPr>
          <w:p w14:paraId="7208CA25" w14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INFORMAÇÕES REQUERIDAS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4412" w:type="dxa"/>
            <w:vAlign w:val="center"/>
          </w:tcPr>
          <w:p w14:paraId="6A4DEA23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PROCEDIMENTO DE AUDITORIA</w:t>
            </w:r>
            <w:r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r>
          </w:p>
        </w:tc>
        <w:tc>
          <w:tcPr>
            <w:tcBorders/>
            <w:tcW w:w="3952" w:type="dxa"/>
            <w:vAlign w:val="center"/>
          </w:tcPr>
          <w:p w14:paraId="4A1C29C4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EVIDÊNCIAS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4495" w:type="dxa"/>
            <w:vAlign w:val="center"/>
          </w:tcPr>
          <w:p w14:paraId="357B1101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ANÁLISE / RESULTADOS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</w:tr>
      <w:tr>
        <w:trPr/>
        <w:tc>
          <w:tcPr>
            <w:tcBorders/>
            <w:tcW w:w="2888" w:type="dxa"/>
            <w:vAlign w:val="center"/>
          </w:tcPr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F1: Respostas ao questionário eletrônico de auditoria da LGPD 2026 (itens gerais de controle Q21 a Q101 e módulo estendido de questões dinâmicas/condicionais Q703 sobre causas de não cumprimento).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F2: Base de dados consolidada de situações encontradas e encaminhamentos individualizados da fiscalização anterior (tabela_encaminhamentos.xlsx e tabela_situacao_encontrada.xlsx, geradas em 99-Scripts/02-gera_achados/resultados).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F3: Processo TCE-RJ nº 217.899-0/2024 (Acórdão nº 3931/2025).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F4: Documentos comprobatórios da execução superveniente das medidas corretivas municipais (item Q701evi).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3148" w:type="dxa"/>
            <w:vAlign w:val="center"/>
          </w:tcPr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IR1: Baseline de deliberações e controles esperados por município estabelecido a partir da tabela_encaminhamentos.xlsx e da tabela_situacao_encontrada.xlsx da fiscalização de 2024; [F2, F3]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IR2: Respostas fornecidas pelas prefeituras no questionário de 2026 indicando a manutenção ou saneamento das omissões anteriormente apontadas; [F1, Q21 a Q101]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IR3: Justificativas, fatores limitadores e causas de descumprimento capturados dinamicamente pelo survey para cada controle pendente objeto de encaminhamento anterior; [F1, Q703]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IR4: Situação declarada e percentual de execução dos planos de ação municipais protocolados no TCE-RJ; [F1, F3, Q702]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IR5: Documentos comprobatórios da implementação superveniente das medidas corretivas determinadas pelo Tribunal; [F1, F4, Q701evi]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4412" w:type="dxa"/>
            <w:vAlign w:val="center"/>
          </w:tcPr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P1: Mapear a matriz de deliberações anteriores importando a tabela_encaminhamentos.xlsx e a tabela_situacao_encontrada.xlsx de 2024 para parametrizar a aplicação de regras dinâmicas e o baseline de controles de cada prefeitura; [IR1]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P2: Confrontar as declarações de controle do questionário de 2026 com o baseline individualizado para identificar situações de reincidência e pendência no atendimento às deliberações; [IR2]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P3: Tabular e categorizar as manifestações coletadas pelas questões dinâmicas/condicionais do survey, classificando as caus</w:t>
            </w:r>
            <w:r>
              <w:rPr>
                <w:color w:val="auto"/>
                <w:sz w:val="18"/>
                <w:szCs w:val="18"/>
              </w:rPr>
              <w:t xml:space="preserve">as de descumprimento alegadas em eixos analíticos (orçamentárias/financeiras, escassez de equipe técnica de TI, entraves licitatórios/contratuais, descontinuidade administrativa/transição de governo e ausência de priorização pela alta administração); [IR3]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P4: Avaliar o status de execução dos planos de ação formalizados pelas prefeituras e conferir as evidências documentais anexadas; [IR4, IR5]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</w:tc>
        <w:tc>
          <w:tcPr>
            <w:tcBorders/>
            <w:tcW w:w="3952" w:type="dxa"/>
            <w:vAlign w:val="center"/>
          </w:tcPr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E1: Matriz comparativa de cumprimento/reincidência por deliberação monitorada e por prefeitura (cruzamento do baseline 2024 com o survey 2026); [P1, P2]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E2: Painel diagnóstico das causas de não cumprimento mapeadas dinamicamente pelo questionário, estratificadas por dimensão temática de controle e por tipologia de entrave alegada pelos gestores; [P3]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E3: Relatório analítico sobre o grau de aderência e execução dos planos de ação municipais protocolados no Tribunal; [P4]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4495" w:type="dxa"/>
            <w:vAlign w:val="center"/>
          </w:tcPr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Não se aplica: questão de levantamento, sem geração de achado individual.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O que a análise permite dizer: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O percentual consolidado e individualizado de cumprimento das 12 deliberações do Acórdão nº 3931/2025 pelas 91 prefeituras fluminenses.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A ide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ntificação empírica e discriminada das causas reais que impediram a implementação dos controles exigidos, permitindo distinguir entre omissão injustificada e entraves estruturais legítimos (como restrições fiscais ou carência de pessoal qualificado de TI).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O grau de comprometimento e efetividade das administrações municipais na condução dos planos de ação protocolados perante a Corte de Contas.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Elementos fáticos e técnicos substa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nciais para orientar a deliberação definitiva do Plenário do TCE-RJ no monitoramento, subsidiando a eventual aplicação de sanções legais em casos de inércia contumaz ou a concessão de novos prazos e medidas orientativas focadas nos entraves reais mapeados.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Limitações e cautelas: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As causas de não cumprimento capturadas nas questões dinâmicas decorrem de manifestação autodeclarada dos gestores, devendo ser analisadas à luz da consistência das evidências fornecidas e dos indicadores de capacidade técnica do município.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A análise deste levantamento subsidia o processo de monitoramento sem substituir o julgamento plenário definitivo do cumprimento das deliberações.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</w:tr>
    </w:tbl>
    <w:p>
      <w:pPr>
        <w:pBdr/>
        <w:spacing/>
        <w:ind/>
        <w:rPr/>
      </w:pPr>
      <w:r>
        <w:br w:type="page" w:clear="all"/>
      </w:r>
      <w:r/>
    </w:p>
    <w:tbl>
      <w:tblPr>
        <w:tblStyle w:val="1011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w14:paraId="7D29FCBB" w14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QT2: Qual é o perfil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de maturidade em proteção de dados pessoais das 91 prefeituras segundo o índice iLGPD 2026, qual a evolução observada desde 2024 e qual é a avaliação dos gestores sobre a efetividade do material didático "Os 6 passos para adequação à LGPD"? (levantamento)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Qual é o nível de maturidade (inicial, básico, intermediário ou aprimorado) alcançado por cada município no iLGPD 2026?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Houve avanço, estagnação ou retrocesso das práticas municipais entre 2024 e 2026 nos indicadores comparáveis?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Em que medida os municípios contrataram consultorias ou soluções tecnológicas de terceiros para suporte à adequação à LGPD?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material didático orientativo elaborado pela equipe de auditoria do TCE-RJ no ciclo anterior ("Os 6 passos para adequação à LGPD" - Anexo 07 do Relatório da Fiscalização nº 60/2024) foi conhecido e utilizado pelas equipes municipais?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Em que medida o guia "Os 6 passos para adequação à LGPD" contribuiu concretamente para nortear e impulsionar o processo de adequação das prefeituras, e quais passos apresentaram maior facilidade ou dificuldade de implementação prática?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Quais opini</w:t>
            </w:r>
            <w:r>
              <w:rPr>
                <w:rFonts w:ascii="Arial" w:hAnsi="Arial" w:cs="Arial"/>
                <w:sz w:val="20"/>
                <w:szCs w:val="20"/>
              </w:rPr>
              <w:t xml:space="preserve">ões, críticas e sugestões de melhoria (ex.: novos modelos, guias temáticos específicos, minutas contratuais, aprofundamento técnico) foram apresentadas pelos gestores para aprimorar os materiais orientativos e elevar a efetividade da fiscalização corrente?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Quais são os principais desafios, deficiências estruturais e pontos de atenção relatados abertamente pelos jurisdicionados?</w:t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Não se aplica: questão de levantamento, sem formulação de risco de achado.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</w:tc>
      </w:tr>
    </w:tbl>
    <w:tbl>
      <w:tblPr>
        <w:tblStyle w:val="1011"/>
        <w:tblW w:w="5000" w:type="pct"/>
        <w:tblBorders/>
        <w:tblLook w:val="04A0" w:firstRow="1" w:lastRow="0" w:firstColumn="1" w:lastColumn="0" w:noHBand="0" w:noVBand="1"/>
      </w:tblPr>
      <w:tblGrid>
        <w:gridCol w:w="2259"/>
        <w:gridCol w:w="3172"/>
        <w:gridCol w:w="4532"/>
        <w:gridCol w:w="4080"/>
        <w:gridCol w:w="4702"/>
      </w:tblGrid>
      <w:tr>
        <w:trPr>
          <w:tblHeader/>
        </w:trPr>
        <w:tc>
          <w:tcPr>
            <w:tcBorders/>
            <w:tcW w:w="2259" w:type="dxa"/>
            <w:vAlign w:val="center"/>
          </w:tcPr>
          <w:p w14:paraId="5C2D7232" w14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FONTES DE INFORMAÇÃO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3172" w:type="dxa"/>
            <w:vAlign w:val="center"/>
          </w:tcPr>
          <w:p w14:paraId="7208CA25" w14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INFORMAÇÕES REQUERIDAS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4532" w:type="dxa"/>
            <w:vAlign w:val="center"/>
          </w:tcPr>
          <w:p w14:paraId="6A4DEA23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PROCEDIMENTO DE AUDITORIA</w:t>
            </w:r>
            <w:r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r>
          </w:p>
        </w:tc>
        <w:tc>
          <w:tcPr>
            <w:tcBorders/>
            <w:tcW w:w="4080" w:type="dxa"/>
            <w:vAlign w:val="center"/>
          </w:tcPr>
          <w:p w14:paraId="4A1C29C4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EVIDÊNCIAS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4702" w:type="dxa"/>
            <w:vAlign w:val="center"/>
          </w:tcPr>
          <w:p w14:paraId="357B1101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ANÁLISE / RESULTADOS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</w:tr>
      <w:tr>
        <w:trPr/>
        <w:tc>
          <w:tcPr>
            <w:tcBorders/>
            <w:tcW w:w="2259" w:type="dxa"/>
            <w:vAlign w:val="center"/>
          </w:tcPr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F1: Base de dados consolidada das respostas ao questionário eletrônico de 2026 (todos os 11 grupos temáticos).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F2: Base histórica de respostas e pontuações da fiscalização temática de 2024 (Processo nº 217.899-0/2024, arquivo results-survey832871.xlsx).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F3: Módulos estendidos do questionário (contratações de suporte de TI Q801, avaliação do guia "Os 6 passos" Q802 e considerações abertas Q112).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F4: Documento didático de referência do TCE-RJ ("Os 6 passos para adequação à LGPD", Anexo 07 do Relatório da Fiscalização nº 60/2024).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3172" w:type="dxa"/>
            <w:vAlign w:val="center"/>
          </w:tcPr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IR1: Pontuações por dimensão temática e índice geral iLGPD 2026 calculadas para as 91 prefeituras; [F1]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IR2: Indicadores comparáveis e histórico de notas do questionário de 2024; [F2]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IR3: Informações prestadas sobre contratação de consultorias especializadas e soluções de software para LGPD; [F1, F3, Q801]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IR4: Respostas quantitativas e qualitativas sobre o conhecimento, grau de utilização, utilidade prática e efetividade do guia "Os 6 passos para adequação à LGPD" no processo de adequação municipal; [F1, F3, F4, Q802]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IR5: Opiniões, críticas e propostas de aprimoramento sugeridas pelos auditados para futuros guias e materiais didáticos do Tribunal; [F1, F3, Q802]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IR6: Relatos abertos registrados pelos jurisdicionados sobre os principais desafios e deficiências para a conformidade à LGPD; [F1, Q112]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4532" w:type="dxa"/>
            <w:vAlign w:val="center"/>
          </w:tcPr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P1: Calcular o índice iLGPD 2026 para os 91 municípios aplicando a metodologia ponderada do Tribunal; [IR1]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P2: Confrontar os índices de 2026 com os resultados históricos de 2024 para mensurar a variação percentual agregada e individual; [IR2]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P3: Consolidar os dados relativos a contratações de serviços de terceiros e soluções tecnológicas voltadas à LGPD; [IR3]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P4: Tabular e analisar qualitativamente a avaliação dos gestores e Encarregados de dados sobre o guia "Os 6 passos para adequação à LGPD", mensurando seu índice de utilização, relevância percebida e gargalos enfrentados na execução de cada passo; [IR4]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P5: Compilar e classificar as propostas de melhoria, críticas e demandas formuladas pelos auditados para subsidiar o aprimoramento pedagógico do Tribunal e potencializar os impactos da fiscalização corrente; [IR5]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P6: Mapear e categorizar tematicamente as manifestações abertas registradas pelos gestores no item Q112; [IR6]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</w:tc>
        <w:tc>
          <w:tcPr>
            <w:tcBorders/>
            <w:tcW w:w="4080" w:type="dxa"/>
            <w:vAlign w:val="center"/>
          </w:tcPr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E1: Tabela de escores, ranking e distribuição dos níveis de maturidade no índice iLGPD 2026; [P1]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E2: Gráficos e painéis de evolução comparativa 2024–2026 por dimensão de privacidade; [P2]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E3: Relatório analítico sobre o panorama de contratações de consultorias e soluções tecnológicas municipais; [P3]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E4: Painel diagnóstico de avaliação do guia pedagógico "Os 6 passos para adequação à LGPD", contendo notas de utilidade, gargalos metodológicos apontados e índice de conhecimento prévio pelos gestores; [P4]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E5: Caderno de propostas e oportunidades de melhoria sugeridas pelos auditados para o aperfeiçoamento das ações indutoras do Tribunal de Contas; [P5]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E6: Matriz temática de desafios práticos e gargalos estruturais compilados a partir dos relatos livres dos jurisdicionados; [P6]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4702" w:type="dxa"/>
            <w:vAlign w:val="center"/>
          </w:tcPr>
          <w:p w14:paraId="11118515" w14:textId="02403B9E">
            <w:pPr>
              <w:pBdr/>
              <w:spacing w:after="120"/>
              <w:ind w:firstLine="0" w:left="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O que a análise permite dizer: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O panorama atualizado e comparativo do grau de conformidade e maturidade das administrações municipais em relação às exigências da LGPD.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A mensuração do impacto pedagógico e orientador da atuação prévia do TCE-RJ por meio do guia "Os 6 passos para adequação à LGPD", identificando em que medida o material serviu de suporte prático aos municípios e quais foram seus pontos fortes e limitações.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As principais carências, desafios técnicos e demandas relatadas pelos municípios, orientando futuras ações capacitadoras, notas técnicas e materiais instrucionais da Corte de Contas.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1012"/>
              <w:numPr>
                <w:ilvl w:val="0"/>
                <w:numId w:val="11"/>
              </w:num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O mapeamento do ecossistema de contratações públicas de consultorias e soluções tecnológicas no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âmbito municipal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voltadas à governança em privacidade.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</w:tr>
    </w:tbl>
    <w:p>
      <w:pPr>
        <w:pBdr/>
        <w:spacing/>
        <w:ind/>
        <w:rPr/>
      </w:pPr>
      <w:r/>
      <w:r/>
    </w:p>
    <w:tbl>
      <w:tblPr>
        <w:tblStyle w:val="1011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1873"/>
        <w:gridCol w:w="10495"/>
      </w:tblGrid>
      <w:tr>
        <w:trPr/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654" w:type="pct"/>
          </w:tcPr>
          <w:p w14:paraId="27086525" w14:textId="5BC84706">
            <w:pPr>
              <w:pBdr/>
              <w:spacing w:line="276" w:lineRule="auto"/>
              <w:ind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br w:type="page" w:clear="all"/>
            </w:r>
            <w:r>
              <w:rPr>
                <w:rFonts w:ascii="Arial" w:hAnsi="Arial" w:cs="Arial"/>
                <w:b/>
                <w:bCs/>
              </w:rPr>
              <w:t xml:space="preserve">Equipe de Auditoria</w:t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</w:p>
        </w:tc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346" w:type="pct"/>
          </w:tcPr>
          <w:p w14:paraId="081D154F" w14:textId="77777777">
            <w:pPr>
              <w:pBdr/>
              <w:spacing w:line="276" w:lineRule="auto"/>
              <w:ind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Supervisor</w:t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</w:p>
        </w:tc>
      </w:tr>
      <w:tr>
        <w:trPr/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654" w:type="pct"/>
          </w:tcPr>
          <w:p w14:paraId="1C42D2D4" w14:textId="44C819D1">
            <w:pPr>
              <w:pBdr/>
              <w:spacing w:line="276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212529"/>
                <w:shd w:val="clear" w:color="auto" w:fill="ffffff"/>
              </w:rPr>
              <w:t xml:space="preserve">Augusto César Benvenuto de Almeida</w:t>
            </w:r>
            <w:r>
              <w:rPr>
                <w:rFonts w:ascii="Arial" w:hAnsi="Arial" w:cs="Arial"/>
                <w:color w:val="212529"/>
                <w:shd w:val="clear" w:color="auto" w:fill="ffffff"/>
              </w:rPr>
              <w:t xml:space="preserve"> - 02/4</w:t>
            </w:r>
            <w:r>
              <w:rPr>
                <w:rFonts w:ascii="Arial" w:hAnsi="Arial" w:cs="Arial"/>
                <w:color w:val="212529"/>
                <w:shd w:val="clear" w:color="auto" w:fill="ffffff"/>
              </w:rPr>
              <w:t xml:space="preserve">823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346" w:type="pct"/>
          </w:tcPr>
          <w:p w14:paraId="4A9ED85F" w14:textId="2B0DC6CF">
            <w:pPr>
              <w:pBdr/>
              <w:spacing w:line="276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eastAsia="en-US"/>
              </w:rPr>
              <w:t xml:space="preserve">Bruno Mattos Souza de Souza Melo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– 02/42</w:t>
            </w:r>
            <w:r>
              <w:rPr>
                <w:rFonts w:ascii="Arial" w:hAnsi="Arial" w:cs="Arial"/>
              </w:rPr>
              <w:t xml:space="preserve">5</w:t>
            </w:r>
            <w:r>
              <w:rPr>
                <w:rFonts w:ascii="Arial" w:hAnsi="Arial" w:cs="Arial"/>
              </w:rPr>
              <w:t xml:space="preserve">8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/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654" w:type="pct"/>
          </w:tcPr>
          <w:p w14:paraId="477C9695" w14:textId="261A00B8">
            <w:pPr>
              <w:pBdr/>
              <w:spacing w:line="276" w:lineRule="auto"/>
              <w:ind/>
              <w:rPr>
                <w:rFonts w:ascii="Arial" w:hAnsi="Arial" w:cs="Arial"/>
                <w:color w:val="212529"/>
                <w:shd w:val="clear" w:color="auto" w:fill="ffffff"/>
              </w:rPr>
            </w:pPr>
            <w:r>
              <w:rPr>
                <w:rFonts w:ascii="Arial" w:hAnsi="Arial" w:cs="Arial"/>
                <w:color w:val="212529"/>
                <w:shd w:val="clear" w:color="auto" w:fill="ffffff"/>
              </w:rPr>
              <w:t xml:space="preserve">Fábio Souza Lima</w:t>
            </w:r>
            <w:r>
              <w:rPr>
                <w:rFonts w:ascii="Arial" w:hAnsi="Arial" w:cs="Arial"/>
                <w:color w:val="212529"/>
                <w:shd w:val="clear" w:color="auto" w:fill="ffffff"/>
              </w:rPr>
              <w:t xml:space="preserve"> -</w:t>
            </w:r>
            <w:r>
              <w:rPr>
                <w:rFonts w:ascii="Arial" w:hAnsi="Arial" w:cs="Arial"/>
                <w:color w:val="212529"/>
                <w:shd w:val="clear" w:color="auto" w:fill="ffffff"/>
              </w:rPr>
              <w:t xml:space="preserve"> 02/4822</w:t>
            </w:r>
            <w:r>
              <w:rPr>
                <w:rFonts w:ascii="Arial" w:hAnsi="Arial" w:cs="Arial"/>
                <w:color w:val="212529"/>
                <w:shd w:val="clear" w:color="auto" w:fill="ffffff"/>
              </w:rPr>
            </w:r>
            <w:r>
              <w:rPr>
                <w:rFonts w:ascii="Arial" w:hAnsi="Arial" w:cs="Arial"/>
                <w:color w:val="212529"/>
                <w:shd w:val="clear" w:color="auto" w:fill="ffffff"/>
              </w:rPr>
            </w:r>
          </w:p>
        </w:tc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346" w:type="pct"/>
          </w:tcPr>
          <w:p w14:paraId="11A9A3E1" w14:textId="77777777">
            <w:pPr>
              <w:pBdr/>
              <w:spacing w:line="276" w:lineRule="auto"/>
              <w:ind/>
              <w:rPr>
                <w:rFonts w:ascii="Arial" w:hAnsi="Arial" w:cs="Arial"/>
                <w:lang w:eastAsia="en-US"/>
              </w:rPr>
            </w:pPr>
            <w:r>
              <w:rPr>
                <w:rFonts w:ascii="Arial" w:hAnsi="Arial" w:cs="Arial"/>
                <w:lang w:eastAsia="en-US"/>
              </w:rPr>
            </w:r>
            <w:r>
              <w:rPr>
                <w:rFonts w:ascii="Arial" w:hAnsi="Arial" w:cs="Arial"/>
                <w:lang w:eastAsia="en-US"/>
              </w:rPr>
            </w:r>
            <w:r>
              <w:rPr>
                <w:rFonts w:ascii="Arial" w:hAnsi="Arial" w:cs="Arial"/>
                <w:lang w:eastAsia="en-US"/>
              </w:rPr>
            </w:r>
          </w:p>
        </w:tc>
      </w:tr>
      <w:tr>
        <w:trPr/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654" w:type="pct"/>
          </w:tcPr>
          <w:p w14:paraId="7C650FE0" w14:textId="156A8C0C">
            <w:pPr>
              <w:pBdr/>
              <w:spacing w:line="276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João Paulo </w:t>
            </w:r>
            <w:r>
              <w:rPr>
                <w:rFonts w:ascii="Arial" w:hAnsi="Arial" w:cs="Arial"/>
              </w:rPr>
              <w:t xml:space="preserve">de </w:t>
            </w:r>
            <w:r>
              <w:rPr>
                <w:rFonts w:ascii="Arial" w:hAnsi="Arial" w:cs="Arial"/>
              </w:rPr>
              <w:t xml:space="preserve">Freitas Ramirez</w:t>
            </w:r>
            <w:r>
              <w:rPr>
                <w:rFonts w:ascii="Arial" w:hAnsi="Arial" w:cs="Arial"/>
              </w:rPr>
              <w:t xml:space="preserve"> - 02/482</w:t>
            </w:r>
            <w:r>
              <w:rPr>
                <w:rFonts w:ascii="Arial" w:hAnsi="Arial" w:cs="Arial"/>
              </w:rPr>
              <w:t xml:space="preserve">0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346" w:type="pct"/>
          </w:tcPr>
          <w:p w14:paraId="4C1EF345" w14:textId="77777777">
            <w:pPr>
              <w:pBdr/>
              <w:spacing w:line="276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</w:tbl>
    <w:p w14:paraId="1569AD8A">
      <w:pPr>
        <w:pBdr/>
        <w:spacing/>
        <w:ind/>
        <w:rPr/>
      </w:pPr>
      <w:r/>
    </w:p>
    <w:sectPr>
      <w:headerReference w:type="default" r:id="rId9"/>
      <w:footnotePr/>
      <w:endnotePr/>
      <w:type w:val="nextPage"/>
      <w:pgSz w:h="16840" w:orient="landscape" w:w="23808"/>
      <w:pgMar w:top="720" w:right="720" w:bottom="720" w:left="720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858211D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3475EB2F" w14:textId="77777777">
      <w:pPr>
        <w:pBdr/>
        <w:spacing/>
        <w:ind/>
        <w:rPr/>
      </w:pPr>
      <w:r>
        <w:continuationSeparator/>
      </w:r>
      <w:r/>
    </w:p>
  </w:endnote>
  <w:endnote w:type="continuationNotice" w:id="1">
    <w:p w14:paraId="7A504E6D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 MT">
    <w:panose1 w:val="020B06040202020202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NewRoman">
    <w:panose1 w:val="02020603050405020304"/>
  </w:font>
  <w:font w:name="Segoe UI">
    <w:panose1 w:val="020B0502040404020203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86B9FD3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3DE19FB1" w14:textId="77777777">
      <w:pPr>
        <w:pBdr/>
        <w:spacing/>
        <w:ind/>
        <w:rPr/>
      </w:pPr>
      <w:r>
        <w:continuationSeparator/>
      </w:r>
      <w:r/>
    </w:p>
  </w:footnote>
  <w:footnote w:type="continuationNotice" w:id="1">
    <w:p w14:paraId="16EFF2DF" w14:textId="77777777">
      <w:pPr>
        <w:pBdr/>
        <w:spacing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011"/>
      <w:tblW w:w="22397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1838"/>
      <w:gridCol w:w="7093"/>
      <w:gridCol w:w="13466"/>
    </w:tblGrid>
    <w:tr>
      <w:trPr/>
      <w:tc>
        <w:tcPr>
          <w:tcBorders/>
          <w:tcW w:w="1838" w:type="dxa"/>
        </w:tcPr>
        <w:p w14:paraId="4885B09B" w14:textId="42238352">
          <w:pPr>
            <w:pStyle w:val="1008"/>
            <w:pBdr/>
            <w:spacing w:before="0"/>
            <w:ind w:left="0"/>
            <w:rPr/>
          </w:pPr>
          <w:r/>
          <w:r/>
        </w:p>
      </w:tc>
      <w:tc>
        <w:tcPr>
          <w:tcBorders/>
          <w:tcW w:w="7093" w:type="dxa"/>
        </w:tcPr>
        <w:p w14:paraId="7692314E" w14:textId="7732243A">
          <w:pPr>
            <w:pStyle w:val="1004"/>
            <w:pBdr/>
            <w:spacing/>
            <w:ind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SECRETARIA-GERAL</w:t>
          </w:r>
          <w:r>
            <w:rPr>
              <w:rFonts w:ascii="Arial" w:hAnsi="Arial" w:cs="Arial"/>
              <w:spacing w:val="-2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sz w:val="16"/>
              <w:szCs w:val="16"/>
            </w:rPr>
            <w:t xml:space="preserve">DE</w:t>
          </w:r>
          <w:r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sz w:val="16"/>
              <w:szCs w:val="16"/>
            </w:rPr>
            <w:t xml:space="preserve">CONTROLE</w:t>
          </w:r>
          <w:r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sz w:val="16"/>
              <w:szCs w:val="16"/>
            </w:rPr>
            <w:t xml:space="preserve">EXTERNO</w:t>
          </w:r>
          <w:r>
            <w:rPr>
              <w:rFonts w:ascii="Arial" w:hAnsi="Arial" w:cs="Arial"/>
              <w:sz w:val="16"/>
              <w:szCs w:val="16"/>
            </w:rPr>
          </w:r>
          <w:r>
            <w:rPr>
              <w:rFonts w:ascii="Arial" w:hAnsi="Arial" w:cs="Arial"/>
              <w:sz w:val="16"/>
              <w:szCs w:val="16"/>
            </w:rPr>
          </w:r>
        </w:p>
        <w:p w14:paraId="617A7E23" w14:textId="59A4ABCC">
          <w:pPr>
            <w:pStyle w:val="1008"/>
            <w:pBdr/>
            <w:tabs>
              <w:tab w:val="left" w:leader="none" w:pos="6105"/>
            </w:tabs>
            <w:spacing w:before="0"/>
            <w:ind w:left="0"/>
            <w:jc w:val="left"/>
            <w:rPr>
              <w:rFonts w:eastAsia="Arial MT"/>
              <w:b w:val="0"/>
              <w:bCs w:val="0"/>
              <w:sz w:val="16"/>
              <w:szCs w:val="16"/>
            </w:rPr>
          </w:pPr>
          <w:r>
            <w:rPr>
              <w:rFonts w:eastAsia="Arial MT"/>
              <w:b w:val="0"/>
              <w:bCs w:val="0"/>
              <w:sz w:val="16"/>
              <w:szCs w:val="16"/>
            </w:rPr>
            <w:t xml:space="preserve">SUBSECRETARIA DE CONTROLE DE POLÍTICAS DE CIDADANIA</w:t>
          </w:r>
          <w:r>
            <w:rPr>
              <w:rFonts w:eastAsia="Arial MT"/>
              <w:b w:val="0"/>
              <w:bCs w:val="0"/>
              <w:sz w:val="16"/>
              <w:szCs w:val="16"/>
            </w:rPr>
          </w:r>
          <w:r>
            <w:rPr>
              <w:rFonts w:eastAsia="Arial MT"/>
              <w:b w:val="0"/>
              <w:bCs w:val="0"/>
              <w:sz w:val="16"/>
              <w:szCs w:val="16"/>
            </w:rPr>
          </w:r>
        </w:p>
        <w:p w14:paraId="4BD4FB4E" w14:textId="3216BC59">
          <w:pPr>
            <w:pStyle w:val="1008"/>
            <w:pBdr/>
            <w:spacing w:before="0"/>
            <w:ind w:left="0"/>
            <w:jc w:val="left"/>
            <w:rPr>
              <w:sz w:val="16"/>
              <w:szCs w:val="16"/>
            </w:rPr>
          </w:pPr>
          <w:r>
            <w:rPr>
              <w:rFonts w:eastAsia="Arial MT"/>
              <w:b w:val="0"/>
              <w:bCs w:val="0"/>
              <w:sz w:val="16"/>
              <w:szCs w:val="16"/>
            </w:rPr>
            <w:t xml:space="preserve">COORDENADORIA DE AUDITORIA DE POLÍTICAS EM TECNOLOGIA DA INFORMAÇÃO</w:t>
          </w:r>
          <w:r>
            <w:rPr>
              <w:sz w:val="16"/>
              <w:szCs w:val="16"/>
            </w:rPr>
          </w:r>
          <w:r>
            <w:rPr>
              <w:sz w:val="16"/>
              <w:szCs w:val="16"/>
            </w:rPr>
          </w:r>
        </w:p>
      </w:tc>
      <w:tc>
        <w:tcPr>
          <w:tcBorders/>
          <w:tcW w:w="13466" w:type="dxa"/>
        </w:tcPr>
        <w:p w14:paraId="17267BE2" w14:textId="617A7088">
          <w:pPr>
            <w:pBdr/>
            <w:tabs>
              <w:tab w:val="left" w:leader="none" w:pos="2142"/>
              <w:tab w:val="right" w:leader="none" w:pos="14034"/>
            </w:tabs>
            <w:spacing w:after="120"/>
            <w:ind w:firstLine="386" w:left="-386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 xml:space="preserve">FISCALIZAÇÃO</w:t>
          </w:r>
          <w:r>
            <w:rPr>
              <w:rFonts w:ascii="Arial" w:hAnsi="Arial" w:cs="Arial"/>
              <w:sz w:val="18"/>
              <w:szCs w:val="18"/>
            </w:rPr>
            <w:t xml:space="preserve">: 22</w:t>
          </w:r>
          <w:r>
            <w:rPr>
              <w:rFonts w:ascii="Arial" w:hAnsi="Arial" w:cs="Arial"/>
              <w:sz w:val="18"/>
              <w:szCs w:val="18"/>
            </w:rPr>
            <w:t xml:space="preserve">/202</w:t>
          </w:r>
          <w:r>
            <w:rPr>
              <w:rFonts w:ascii="Arial" w:hAnsi="Arial" w:cs="Arial"/>
              <w:sz w:val="18"/>
              <w:szCs w:val="18"/>
            </w:rPr>
            <w:t xml:space="preserve">6</w:t>
          </w:r>
          <w:r>
            <w:rPr>
              <w:rFonts w:ascii="Arial" w:hAnsi="Arial" w:cs="Arial"/>
              <w:sz w:val="18"/>
              <w:szCs w:val="18"/>
            </w:rPr>
          </w:r>
          <w:r>
            <w:rPr>
              <w:rFonts w:ascii="Arial" w:hAnsi="Arial" w:cs="Arial"/>
              <w:sz w:val="18"/>
              <w:szCs w:val="18"/>
            </w:rPr>
            <w:tab/>
          </w:r>
          <w:r>
            <w:rPr>
              <w:rFonts w:ascii="Arial" w:hAnsi="Arial" w:cs="Arial"/>
              <w:sz w:val="18"/>
              <w:szCs w:val="18"/>
            </w:rPr>
          </w:r>
        </w:p>
        <w:p w14:paraId="3A6B45F9" w14:textId="6FCBAC11">
          <w:pPr>
            <w:pBdr/>
            <w:spacing w:after="120"/>
            <w:ind/>
            <w:jc w:val="both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 xml:space="preserve">JURISDICIONADOS</w:t>
          </w:r>
          <w:r>
            <w:rPr>
              <w:rFonts w:ascii="Arial" w:hAnsi="Arial" w:cs="Arial"/>
              <w:sz w:val="18"/>
              <w:szCs w:val="18"/>
            </w:rPr>
            <w:t xml:space="preserve">: 91 prefeituras municipais jurisdicionadas do Estado do Rio de Janeiro</w:t>
          </w:r>
          <w:r>
            <w:rPr>
              <w:rFonts w:ascii="Arial" w:hAnsi="Arial" w:cs="Arial"/>
              <w:sz w:val="18"/>
              <w:szCs w:val="18"/>
            </w:rPr>
          </w:r>
        </w:p>
        <w:p w14:paraId="44B9C6BD" w14:textId="61CE63E0">
          <w:pPr>
            <w:pStyle w:val="1027"/>
            <w:pBdr/>
            <w:spacing w:after="120"/>
            <w:ind/>
            <w:rPr>
              <w:rFonts w:ascii="Arial" w:hAnsi="Arial" w:cs="Arial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 xml:space="preserve">OBJETIVO DA AUDITORIA</w:t>
          </w:r>
          <w:r>
            <w:rPr>
              <w:rFonts w:ascii="Arial" w:hAnsi="Arial" w:cs="Arial"/>
              <w:sz w:val="18"/>
              <w:szCs w:val="18"/>
            </w:rPr>
            <w:t xml:space="preserve">: </w:t>
          </w:r>
          <w:r>
            <w:rPr>
              <w:rFonts w:ascii="Arial" w:hAnsi="Arial" w:cs="Arial"/>
              <w:sz w:val="18"/>
              <w:szCs w:val="18"/>
            </w:rPr>
            <w:t xml:space="preserve">Verificar a conformidade das prefeituras municipais jurisdicionadas à Lei 13.709/2018 (Lei Geral de Proteção aos Dados – LGPD), bem como monitorar o cumprimento das decisões do processo TCE-RJ nº 217.899-0/2024</w:t>
          </w:r>
          <w:r>
            <w:rPr>
              <w:rFonts w:ascii="Arial" w:hAnsi="Arial" w:cs="Arial"/>
              <w:sz w:val="18"/>
              <w:szCs w:val="18"/>
            </w:rPr>
            <w:t xml:space="preserve">.</w:t>
          </w:r>
          <w:r>
            <w:rPr>
              <w:rFonts w:ascii="Arial" w:hAnsi="Arial" w:cs="Arial"/>
            </w:rPr>
          </w:r>
        </w:p>
      </w:tc>
    </w:tr>
  </w:tbl>
  <w:p w14:paraId="3AB268CB" w14:textId="77777777">
    <w:pPr>
      <w:pBdr/>
      <w:spacing/>
      <w:ind/>
      <w:jc w:val="center"/>
      <w:rPr>
        <w:bCs/>
        <w:sz w:val="12"/>
        <w:szCs w:val="12"/>
      </w:rPr>
    </w:pPr>
    <w:r>
      <w:rPr>
        <w:bCs/>
        <w:sz w:val="12"/>
        <w:szCs w:val="12"/>
      </w:rPr>
    </w:r>
    <w:r>
      <w:rPr>
        <w:bCs/>
        <w:sz w:val="12"/>
        <w:szCs w:val="12"/>
      </w:rPr>
    </w:r>
    <w:r>
      <w:rPr>
        <w:bCs/>
        <w:sz w:val="12"/>
        <w:szCs w:val="12"/>
      </w:rPr>
    </w:r>
  </w:p>
  <w:p w14:paraId="10951264" w14:textId="77777777">
    <w:pPr>
      <w:pStyle w:val="1004"/>
      <w:pBdr/>
      <w:spacing/>
      <w:ind/>
      <w:rPr>
        <w:sz w:val="2"/>
        <w:szCs w:val="2"/>
      </w:rPr>
    </w:pPr>
    <w:r>
      <w:rPr>
        <w:sz w:val="2"/>
        <w:szCs w:val="2"/>
      </w:rPr>
    </w:r>
    <w:r>
      <w:rPr>
        <w:sz w:val="2"/>
        <w:szCs w:val="2"/>
      </w:rPr>
    </w:r>
    <w:r>
      <w:rPr>
        <w:sz w:val="2"/>
        <w:szCs w:val="2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6A245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20FF090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24CD138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FD831B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3398136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52BE16D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578F57F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5D4027F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72F56DB6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9">
    <w:nsid w:val="76AC7162"/>
    <w:lvl w:ilvl="0">
      <w:isLgl w:val="false"/>
      <w:lvlJc w:val="left"/>
      <w:lvlText w:val="C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0">
    <w:nsid w:val="7E4D28B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7F38510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0B6A245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0B6A245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0B6A245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1"/>
  </w:num>
  <w:num w:numId="2">
    <w:abstractNumId w:val="11"/>
  </w:num>
  <w:num w:numId="3">
    <w:abstractNumId w:val="10"/>
  </w:num>
  <w:num w:numId="4">
    <w:abstractNumId w:val="0"/>
  </w:num>
  <w:num w:numId="5">
    <w:abstractNumId w:val="7"/>
  </w:num>
  <w:num w:numId="6">
    <w:abstractNumId w:val="3"/>
  </w:num>
  <w:num w:numId="7">
    <w:abstractNumId w:val="6"/>
  </w:num>
  <w:num w:numId="8">
    <w:abstractNumId w:val="5"/>
  </w:num>
  <w:num w:numId="9">
    <w:abstractNumId w:val="4"/>
  </w:num>
  <w:num w:numId="10">
    <w:abstractNumId w:val="2"/>
  </w:num>
  <w:num w:numId="11">
    <w:abstractNumId w:val="8"/>
  </w:num>
  <w:num w:numId="12">
    <w:abstractNumId w:val="9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23">
    <w:name w:val="Table Grid Light"/>
    <w:basedOn w:val="10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Plain Table 1"/>
    <w:basedOn w:val="10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Plain Table 2"/>
    <w:basedOn w:val="10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Plain Table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Plain Table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Plain Table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1 Light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1 Light 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1 Light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1 Light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1 Light 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1 Light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1 Light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2 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2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2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2 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2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2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3 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3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3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3 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3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3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4"/>
    <w:basedOn w:val="1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4 - Accent 1"/>
    <w:basedOn w:val="1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4 - Accent 2"/>
    <w:basedOn w:val="1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4 - Accent 3"/>
    <w:basedOn w:val="1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4 - Accent 4"/>
    <w:basedOn w:val="1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4 - Accent 5"/>
    <w:basedOn w:val="1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4 - Accent 6"/>
    <w:basedOn w:val="1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5 Dark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5 Dark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5 Dark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5 Dark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5 Dark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5 Dark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5 Dark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6 Colorful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6 Colorful 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6 Colorful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6 Colorful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6 Colorful 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6 Colorful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6 Colorful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7 Colorful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7 Colorful 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7 Colorful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7 Colorful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7 Colorful 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7 Colorful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7 Colorful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1 Light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1 Light 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1 Light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1 Light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1 Light 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1 Light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1 Light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2 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2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2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2 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2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2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3 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3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3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3 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3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3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4 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4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4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4 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4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4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5 Dark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5 Dark 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5 Dark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5 Dark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5 Dark 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5 Dark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5 Dark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6 Colorful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6 Colorful 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6 Colorful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6 Colorful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6 Colorful 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6 Colorful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6 Colorful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7 Colorful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7 Colorful 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7 Colorful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7 Colorful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7 Colorful 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7 Colorful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7 Colorful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ned - Accent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ned - Accent 1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ned - Accent 2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ned - Accent 3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ned - Accent 4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ned - Accent 5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ned - Accent 6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Bordered &amp; Lined - Accent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Bordered &amp; Lined - Accent 1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Bordered &amp; Lined - Accent 2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Bordered &amp; Lined - Accent 3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Bordered &amp; Lined - Accent 4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Bordered &amp; Lined - Accent 5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Bordered &amp; Lined - Accent 6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Bordered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Bordered 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Bordered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Bordered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Bordered 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Bordered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Bordered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8">
    <w:name w:val="Heading 1"/>
    <w:basedOn w:val="1000"/>
    <w:next w:val="1000"/>
    <w:link w:val="95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49">
    <w:name w:val="Heading 2"/>
    <w:basedOn w:val="1000"/>
    <w:next w:val="1000"/>
    <w:link w:val="95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50">
    <w:name w:val="Heading 3"/>
    <w:basedOn w:val="1000"/>
    <w:next w:val="1000"/>
    <w:link w:val="95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51">
    <w:name w:val="Heading 4"/>
    <w:basedOn w:val="1000"/>
    <w:next w:val="1000"/>
    <w:link w:val="96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52">
    <w:name w:val="Heading 5"/>
    <w:basedOn w:val="1000"/>
    <w:next w:val="1000"/>
    <w:link w:val="96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53">
    <w:name w:val="Heading 6"/>
    <w:basedOn w:val="1000"/>
    <w:next w:val="1000"/>
    <w:link w:val="96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54">
    <w:name w:val="Heading 7"/>
    <w:basedOn w:val="1000"/>
    <w:next w:val="1000"/>
    <w:link w:val="96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55">
    <w:name w:val="Heading 8"/>
    <w:basedOn w:val="1000"/>
    <w:next w:val="1000"/>
    <w:link w:val="96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56">
    <w:name w:val="Heading 9"/>
    <w:basedOn w:val="1000"/>
    <w:next w:val="1000"/>
    <w:link w:val="96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57">
    <w:name w:val="Heading 1 Char"/>
    <w:basedOn w:val="1001"/>
    <w:link w:val="9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58">
    <w:name w:val="Heading 2 Char"/>
    <w:basedOn w:val="1001"/>
    <w:link w:val="9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59">
    <w:name w:val="Heading 3 Char"/>
    <w:basedOn w:val="1001"/>
    <w:link w:val="9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60">
    <w:name w:val="Heading 4 Char"/>
    <w:basedOn w:val="1001"/>
    <w:link w:val="95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61">
    <w:name w:val="Heading 5 Char"/>
    <w:basedOn w:val="1001"/>
    <w:link w:val="9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62">
    <w:name w:val="Heading 6 Char"/>
    <w:basedOn w:val="1001"/>
    <w:link w:val="95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63">
    <w:name w:val="Heading 7 Char"/>
    <w:basedOn w:val="1001"/>
    <w:link w:val="95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64">
    <w:name w:val="Heading 8 Char"/>
    <w:basedOn w:val="1001"/>
    <w:link w:val="9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65">
    <w:name w:val="Heading 9 Char"/>
    <w:basedOn w:val="1001"/>
    <w:link w:val="95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66">
    <w:name w:val="Title Char"/>
    <w:basedOn w:val="1001"/>
    <w:link w:val="100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67">
    <w:name w:val="Subtitle"/>
    <w:basedOn w:val="1000"/>
    <w:next w:val="1000"/>
    <w:link w:val="96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68">
    <w:name w:val="Subtitle Char"/>
    <w:basedOn w:val="1001"/>
    <w:link w:val="96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69">
    <w:name w:val="Quote"/>
    <w:basedOn w:val="1000"/>
    <w:next w:val="1000"/>
    <w:link w:val="9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70">
    <w:name w:val="Quote Char"/>
    <w:basedOn w:val="1001"/>
    <w:link w:val="96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71">
    <w:name w:val="Intense Emphasis"/>
    <w:basedOn w:val="100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72">
    <w:name w:val="Intense Quote"/>
    <w:basedOn w:val="1000"/>
    <w:next w:val="1000"/>
    <w:link w:val="97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73">
    <w:name w:val="Intense Quote Char"/>
    <w:basedOn w:val="1001"/>
    <w:link w:val="97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74">
    <w:name w:val="Intense Reference"/>
    <w:basedOn w:val="100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75">
    <w:name w:val="No Spacing"/>
    <w:basedOn w:val="1000"/>
    <w:uiPriority w:val="1"/>
    <w:qFormat/>
    <w:pPr>
      <w:pBdr/>
      <w:spacing w:after="0" w:line="240" w:lineRule="auto"/>
      <w:ind/>
    </w:pPr>
  </w:style>
  <w:style w:type="character" w:styleId="976">
    <w:name w:val="Subtle Emphasis"/>
    <w:basedOn w:val="100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77">
    <w:name w:val="Emphasis"/>
    <w:basedOn w:val="1001"/>
    <w:uiPriority w:val="20"/>
    <w:qFormat/>
    <w:pPr>
      <w:pBdr/>
      <w:spacing/>
      <w:ind/>
    </w:pPr>
    <w:rPr>
      <w:i/>
      <w:iCs/>
    </w:rPr>
  </w:style>
  <w:style w:type="character" w:styleId="978">
    <w:name w:val="Strong"/>
    <w:basedOn w:val="1001"/>
    <w:uiPriority w:val="22"/>
    <w:qFormat/>
    <w:pPr>
      <w:pBdr/>
      <w:spacing/>
      <w:ind/>
    </w:pPr>
    <w:rPr>
      <w:b/>
      <w:bCs/>
    </w:rPr>
  </w:style>
  <w:style w:type="character" w:styleId="979">
    <w:name w:val="Subtle Reference"/>
    <w:basedOn w:val="100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80">
    <w:name w:val="Book Title"/>
    <w:basedOn w:val="100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81">
    <w:name w:val="Header Char"/>
    <w:basedOn w:val="1001"/>
    <w:link w:val="1004"/>
    <w:uiPriority w:val="99"/>
    <w:pPr>
      <w:pBdr/>
      <w:spacing/>
      <w:ind/>
    </w:pPr>
  </w:style>
  <w:style w:type="character" w:styleId="982">
    <w:name w:val="Footer Char"/>
    <w:basedOn w:val="1001"/>
    <w:link w:val="1006"/>
    <w:uiPriority w:val="99"/>
    <w:pPr>
      <w:pBdr/>
      <w:spacing/>
      <w:ind/>
    </w:pPr>
  </w:style>
  <w:style w:type="paragraph" w:styleId="983">
    <w:name w:val="Caption"/>
    <w:basedOn w:val="1000"/>
    <w:next w:val="100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984">
    <w:name w:val="Footnote Text Char"/>
    <w:basedOn w:val="1001"/>
    <w:link w:val="1018"/>
    <w:uiPriority w:val="99"/>
    <w:semiHidden/>
    <w:pPr>
      <w:pBdr/>
      <w:spacing/>
      <w:ind/>
    </w:pPr>
    <w:rPr>
      <w:sz w:val="20"/>
      <w:szCs w:val="20"/>
    </w:rPr>
  </w:style>
  <w:style w:type="paragraph" w:styleId="985">
    <w:name w:val="endnote text"/>
    <w:basedOn w:val="1000"/>
    <w:link w:val="9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86">
    <w:name w:val="Endnote Text Char"/>
    <w:basedOn w:val="1001"/>
    <w:link w:val="985"/>
    <w:uiPriority w:val="99"/>
    <w:semiHidden/>
    <w:pPr>
      <w:pBdr/>
      <w:spacing/>
      <w:ind/>
    </w:pPr>
    <w:rPr>
      <w:sz w:val="20"/>
      <w:szCs w:val="20"/>
    </w:rPr>
  </w:style>
  <w:style w:type="character" w:styleId="987">
    <w:name w:val="endnote reference"/>
    <w:basedOn w:val="1001"/>
    <w:uiPriority w:val="99"/>
    <w:semiHidden/>
    <w:unhideWhenUsed/>
    <w:pPr>
      <w:pBdr/>
      <w:spacing/>
      <w:ind/>
    </w:pPr>
    <w:rPr>
      <w:vertAlign w:val="superscript"/>
    </w:rPr>
  </w:style>
  <w:style w:type="paragraph" w:styleId="988">
    <w:name w:val="toc 1"/>
    <w:basedOn w:val="1000"/>
    <w:next w:val="1000"/>
    <w:uiPriority w:val="39"/>
    <w:unhideWhenUsed/>
    <w:pPr>
      <w:pBdr/>
      <w:spacing w:after="100"/>
      <w:ind/>
    </w:pPr>
  </w:style>
  <w:style w:type="paragraph" w:styleId="989">
    <w:name w:val="toc 2"/>
    <w:basedOn w:val="1000"/>
    <w:next w:val="1000"/>
    <w:uiPriority w:val="39"/>
    <w:unhideWhenUsed/>
    <w:pPr>
      <w:pBdr/>
      <w:spacing w:after="100"/>
      <w:ind w:left="220"/>
    </w:pPr>
  </w:style>
  <w:style w:type="paragraph" w:styleId="990">
    <w:name w:val="toc 3"/>
    <w:basedOn w:val="1000"/>
    <w:next w:val="1000"/>
    <w:uiPriority w:val="39"/>
    <w:unhideWhenUsed/>
    <w:pPr>
      <w:pBdr/>
      <w:spacing w:after="100"/>
      <w:ind w:left="440"/>
    </w:pPr>
  </w:style>
  <w:style w:type="paragraph" w:styleId="991">
    <w:name w:val="toc 4"/>
    <w:basedOn w:val="1000"/>
    <w:next w:val="1000"/>
    <w:uiPriority w:val="39"/>
    <w:unhideWhenUsed/>
    <w:pPr>
      <w:pBdr/>
      <w:spacing w:after="100"/>
      <w:ind w:left="660"/>
    </w:pPr>
  </w:style>
  <w:style w:type="paragraph" w:styleId="992">
    <w:name w:val="toc 5"/>
    <w:basedOn w:val="1000"/>
    <w:next w:val="1000"/>
    <w:uiPriority w:val="39"/>
    <w:unhideWhenUsed/>
    <w:pPr>
      <w:pBdr/>
      <w:spacing w:after="100"/>
      <w:ind w:left="880"/>
    </w:pPr>
  </w:style>
  <w:style w:type="paragraph" w:styleId="993">
    <w:name w:val="toc 6"/>
    <w:basedOn w:val="1000"/>
    <w:next w:val="1000"/>
    <w:uiPriority w:val="39"/>
    <w:unhideWhenUsed/>
    <w:pPr>
      <w:pBdr/>
      <w:spacing w:after="100"/>
      <w:ind w:left="1100"/>
    </w:pPr>
  </w:style>
  <w:style w:type="paragraph" w:styleId="994">
    <w:name w:val="toc 7"/>
    <w:basedOn w:val="1000"/>
    <w:next w:val="1000"/>
    <w:uiPriority w:val="39"/>
    <w:unhideWhenUsed/>
    <w:pPr>
      <w:pBdr/>
      <w:spacing w:after="100"/>
      <w:ind w:left="1320"/>
    </w:pPr>
  </w:style>
  <w:style w:type="paragraph" w:styleId="995">
    <w:name w:val="toc 8"/>
    <w:basedOn w:val="1000"/>
    <w:next w:val="1000"/>
    <w:uiPriority w:val="39"/>
    <w:unhideWhenUsed/>
    <w:pPr>
      <w:pBdr/>
      <w:spacing w:after="100"/>
      <w:ind w:left="1540"/>
    </w:pPr>
  </w:style>
  <w:style w:type="paragraph" w:styleId="996">
    <w:name w:val="toc 9"/>
    <w:basedOn w:val="1000"/>
    <w:next w:val="1000"/>
    <w:uiPriority w:val="39"/>
    <w:unhideWhenUsed/>
    <w:pPr>
      <w:pBdr/>
      <w:spacing w:after="100"/>
      <w:ind w:left="1760"/>
    </w:pPr>
  </w:style>
  <w:style w:type="character" w:styleId="997">
    <w:name w:val="Placeholder Text"/>
    <w:basedOn w:val="1001"/>
    <w:uiPriority w:val="99"/>
    <w:semiHidden/>
    <w:pPr>
      <w:pBdr/>
      <w:spacing/>
      <w:ind/>
    </w:pPr>
    <w:rPr>
      <w:color w:val="666666"/>
    </w:rPr>
  </w:style>
  <w:style w:type="paragraph" w:styleId="998">
    <w:name w:val="TOC Heading"/>
    <w:uiPriority w:val="39"/>
    <w:unhideWhenUsed/>
    <w:pPr>
      <w:pBdr/>
      <w:spacing/>
      <w:ind/>
    </w:pPr>
  </w:style>
  <w:style w:type="paragraph" w:styleId="999">
    <w:name w:val="table of figures"/>
    <w:basedOn w:val="1000"/>
    <w:next w:val="1000"/>
    <w:uiPriority w:val="99"/>
    <w:unhideWhenUsed/>
    <w:pPr>
      <w:pBdr/>
      <w:spacing w:after="0" w:afterAutospacing="0"/>
      <w:ind/>
    </w:pPr>
  </w:style>
  <w:style w:type="paragraph" w:styleId="1000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character" w:styleId="1001" w:default="1">
    <w:name w:val="Default Paragraph Font"/>
    <w:uiPriority w:val="1"/>
    <w:semiHidden/>
    <w:unhideWhenUsed/>
    <w:pPr>
      <w:pBdr/>
      <w:spacing/>
      <w:ind/>
    </w:pPr>
  </w:style>
  <w:style w:type="table" w:styleId="100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03" w:default="1">
    <w:name w:val="No List"/>
    <w:uiPriority w:val="99"/>
    <w:semiHidden/>
    <w:unhideWhenUsed/>
    <w:pPr>
      <w:pBdr/>
      <w:spacing/>
      <w:ind/>
    </w:pPr>
  </w:style>
  <w:style w:type="paragraph" w:styleId="1004">
    <w:name w:val="Header"/>
    <w:basedOn w:val="1000"/>
    <w:link w:val="1005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  <w:rPr>
      <w:rFonts w:asciiTheme="minorHAnsi" w:hAnsiTheme="minorHAnsi" w:eastAsiaTheme="minorHAnsi" w:cstheme="minorBidi"/>
      <w:sz w:val="22"/>
      <w:szCs w:val="22"/>
      <w:lang w:eastAsia="en-US"/>
    </w:rPr>
  </w:style>
  <w:style w:type="character" w:styleId="1005" w:customStyle="1">
    <w:name w:val="Cabeçalho Char"/>
    <w:basedOn w:val="1001"/>
    <w:link w:val="1004"/>
    <w:uiPriority w:val="99"/>
    <w:pPr>
      <w:pBdr/>
      <w:spacing/>
      <w:ind/>
    </w:pPr>
  </w:style>
  <w:style w:type="paragraph" w:styleId="1006">
    <w:name w:val="Footer"/>
    <w:basedOn w:val="1000"/>
    <w:link w:val="1007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  <w:rPr>
      <w:rFonts w:asciiTheme="minorHAnsi" w:hAnsiTheme="minorHAnsi" w:eastAsiaTheme="minorHAnsi" w:cstheme="minorBidi"/>
      <w:sz w:val="22"/>
      <w:szCs w:val="22"/>
      <w:lang w:eastAsia="en-US"/>
    </w:rPr>
  </w:style>
  <w:style w:type="character" w:styleId="1007" w:customStyle="1">
    <w:name w:val="Rodapé Char"/>
    <w:basedOn w:val="1001"/>
    <w:link w:val="1006"/>
    <w:uiPriority w:val="99"/>
    <w:pPr>
      <w:pBdr/>
      <w:spacing/>
      <w:ind/>
    </w:pPr>
  </w:style>
  <w:style w:type="paragraph" w:styleId="1008">
    <w:name w:val="Title"/>
    <w:basedOn w:val="1000"/>
    <w:link w:val="1009"/>
    <w:uiPriority w:val="10"/>
    <w:qFormat/>
    <w:pPr>
      <w:widowControl w:val="false"/>
      <w:pBdr/>
      <w:spacing w:before="83"/>
      <w:ind w:right="310" w:left="277"/>
      <w:jc w:val="center"/>
    </w:pPr>
    <w:rPr>
      <w:rFonts w:ascii="Arial" w:hAnsi="Arial" w:eastAsia="Arial" w:cs="Arial"/>
      <w:b/>
      <w:bCs/>
      <w:sz w:val="23"/>
      <w:szCs w:val="23"/>
      <w:lang w:val="pt-PT" w:eastAsia="en-US"/>
    </w:rPr>
  </w:style>
  <w:style w:type="character" w:styleId="1009" w:customStyle="1">
    <w:name w:val="Título Char"/>
    <w:basedOn w:val="1001"/>
    <w:link w:val="1008"/>
    <w:uiPriority w:val="10"/>
    <w:pPr>
      <w:pBdr/>
      <w:spacing/>
      <w:ind/>
    </w:pPr>
    <w:rPr>
      <w:rFonts w:ascii="Arial" w:hAnsi="Arial" w:eastAsia="Arial" w:cs="Arial"/>
      <w:b/>
      <w:bCs/>
      <w:sz w:val="23"/>
      <w:szCs w:val="23"/>
      <w:lang w:val="pt-PT"/>
    </w:rPr>
  </w:style>
  <w:style w:type="paragraph" w:styleId="1010" w:customStyle="1">
    <w:name w:val="Default"/>
    <w:pPr>
      <w:pBdr/>
      <w:spacing w:after="0" w:line="240" w:lineRule="auto"/>
      <w:ind/>
    </w:pPr>
    <w:rPr>
      <w:rFonts w:ascii="Arial" w:hAnsi="Arial" w:eastAsia="Times New Roman" w:cs="Arial"/>
      <w:color w:val="000000"/>
      <w:sz w:val="24"/>
      <w:szCs w:val="24"/>
      <w:lang w:eastAsia="pt-BR"/>
    </w:rPr>
  </w:style>
  <w:style w:type="table" w:styleId="1011">
    <w:name w:val="Table Grid"/>
    <w:basedOn w:val="1002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12">
    <w:name w:val="List Paragraph"/>
    <w:basedOn w:val="1000"/>
    <w:uiPriority w:val="34"/>
    <w:qFormat/>
    <w:pPr>
      <w:pBdr/>
      <w:spacing/>
      <w:ind w:left="720"/>
      <w:contextualSpacing w:val="true"/>
    </w:pPr>
  </w:style>
  <w:style w:type="character" w:styleId="1013">
    <w:name w:val="annotation reference"/>
    <w:basedOn w:val="1001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014">
    <w:name w:val="annotation text"/>
    <w:basedOn w:val="1000"/>
    <w:link w:val="1015"/>
    <w:uiPriority w:val="99"/>
    <w:unhideWhenUsed/>
    <w:pPr>
      <w:pBdr/>
      <w:spacing/>
      <w:ind/>
    </w:pPr>
    <w:rPr>
      <w:sz w:val="20"/>
      <w:szCs w:val="20"/>
    </w:rPr>
  </w:style>
  <w:style w:type="character" w:styleId="1015" w:customStyle="1">
    <w:name w:val="Texto de comentário Char"/>
    <w:basedOn w:val="1001"/>
    <w:link w:val="1014"/>
    <w:uiPriority w:val="99"/>
    <w:pPr>
      <w:pBdr/>
      <w:spacing/>
      <w:ind/>
    </w:pPr>
    <w:rPr>
      <w:rFonts w:ascii="Times New Roman" w:hAnsi="Times New Roman" w:eastAsia="Times New Roman" w:cs="Times New Roman"/>
      <w:sz w:val="20"/>
      <w:szCs w:val="20"/>
      <w:lang w:eastAsia="pt-BR"/>
    </w:rPr>
  </w:style>
  <w:style w:type="paragraph" w:styleId="1016">
    <w:name w:val="annotation subject"/>
    <w:basedOn w:val="1014"/>
    <w:next w:val="1014"/>
    <w:link w:val="1017"/>
    <w:uiPriority w:val="99"/>
    <w:semiHidden/>
    <w:unhideWhenUsed/>
    <w:pPr>
      <w:pBdr/>
      <w:spacing/>
      <w:ind/>
    </w:pPr>
    <w:rPr>
      <w:b/>
      <w:bCs/>
    </w:rPr>
  </w:style>
  <w:style w:type="character" w:styleId="1017" w:customStyle="1">
    <w:name w:val="Assunto do comentário Char"/>
    <w:basedOn w:val="1015"/>
    <w:link w:val="1016"/>
    <w:uiPriority w:val="99"/>
    <w:semiHidden/>
    <w:pPr>
      <w:pBdr/>
      <w:spacing/>
      <w:ind/>
    </w:pPr>
    <w:rPr>
      <w:rFonts w:ascii="Times New Roman" w:hAnsi="Times New Roman" w:eastAsia="Times New Roman" w:cs="Times New Roman"/>
      <w:b/>
      <w:bCs/>
      <w:sz w:val="20"/>
      <w:szCs w:val="20"/>
      <w:lang w:eastAsia="pt-BR"/>
    </w:rPr>
  </w:style>
  <w:style w:type="paragraph" w:styleId="1018">
    <w:name w:val="footnote text"/>
    <w:basedOn w:val="1000"/>
    <w:link w:val="1019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1019" w:customStyle="1">
    <w:name w:val="Texto de nota de rodapé Char"/>
    <w:basedOn w:val="1001"/>
    <w:link w:val="1018"/>
    <w:uiPriority w:val="99"/>
    <w:semiHidden/>
    <w:pPr>
      <w:pBdr/>
      <w:spacing/>
      <w:ind/>
    </w:pPr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1020">
    <w:name w:val="footnote reference"/>
    <w:basedOn w:val="1001"/>
    <w:uiPriority w:val="99"/>
    <w:unhideWhenUsed/>
    <w:pPr>
      <w:pBdr/>
      <w:spacing/>
      <w:ind/>
    </w:pPr>
    <w:rPr>
      <w:vertAlign w:val="superscript"/>
    </w:rPr>
  </w:style>
  <w:style w:type="character" w:styleId="1021">
    <w:name w:val="Hyperlink"/>
    <w:basedOn w:val="100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22">
    <w:name w:val="Unresolved Mention"/>
    <w:basedOn w:val="1001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1023">
    <w:name w:val="FollowedHyperlink"/>
    <w:basedOn w:val="100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24">
    <w:name w:val="Balloon Text"/>
    <w:basedOn w:val="1000"/>
    <w:link w:val="1025"/>
    <w:uiPriority w:val="99"/>
    <w:semiHidden/>
    <w:unhideWhenUsed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1025" w:customStyle="1">
    <w:name w:val="Texto de balão Char"/>
    <w:basedOn w:val="1001"/>
    <w:link w:val="1024"/>
    <w:uiPriority w:val="99"/>
    <w:semiHidden/>
    <w:pPr>
      <w:pBdr/>
      <w:spacing/>
      <w:ind/>
    </w:pPr>
    <w:rPr>
      <w:rFonts w:ascii="Segoe UI" w:hAnsi="Segoe UI" w:eastAsia="Times New Roman" w:cs="Segoe UI"/>
      <w:sz w:val="18"/>
      <w:szCs w:val="18"/>
      <w:lang w:eastAsia="pt-BR"/>
    </w:rPr>
  </w:style>
  <w:style w:type="paragraph" w:styleId="1026">
    <w:name w:val="Revision"/>
    <w:hidden/>
    <w:uiPriority w:val="99"/>
    <w:semiHidden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paragraph" w:styleId="1027">
    <w:name w:val="Body Text"/>
    <w:basedOn w:val="1000"/>
    <w:link w:val="1028"/>
    <w:pPr>
      <w:pBdr/>
      <w:spacing/>
      <w:ind/>
      <w:jc w:val="both"/>
    </w:pPr>
    <w:rPr>
      <w:rFonts w:ascii="TimesNewRoman" w:hAnsi="TimesNewRoman"/>
      <w:sz w:val="19"/>
      <w:szCs w:val="19"/>
    </w:rPr>
  </w:style>
  <w:style w:type="character" w:styleId="1028" w:customStyle="1">
    <w:name w:val="Corpo de texto Char"/>
    <w:basedOn w:val="1001"/>
    <w:link w:val="1027"/>
    <w:pPr>
      <w:pBdr/>
      <w:spacing/>
      <w:ind/>
    </w:pPr>
    <w:rPr>
      <w:rFonts w:ascii="TimesNewRoman" w:hAnsi="TimesNewRoman" w:eastAsia="Times New Roman" w:cs="Times New Roman"/>
      <w:sz w:val="19"/>
      <w:szCs w:val="19"/>
      <w:lang w:eastAsia="pt-BR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customXml" Target="../customXml/item1.xml" /><Relationship Id="rId11" Type="http://schemas.openxmlformats.org/officeDocument/2006/relationships/customXml" Target="../customXml/item2.xml" /><Relationship Id="rId12" Type="http://schemas.openxmlformats.org/officeDocument/2006/relationships/customXml" Target="../customXml/item3.xml" /><Relationship Id="rId13" Type="http://schemas.openxmlformats.org/officeDocument/2006/relationships/customXml" Target="../customXml/item4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2c24b4c-a19a-4093-bf78-d5942ee237c3" xsi:nil="true"/>
    <lcf76f155ced4ddcb4097134ff3c332f xmlns="fdb186c7-7373-495f-878c-f0f79ab36130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A0C7017C8683A4E8D8838A33F67DDC9" ma:contentTypeVersion="10" ma:contentTypeDescription="Crie um novo documento." ma:contentTypeScope="" ma:versionID="40418b09319f9a2ee1ad34ac94a4982c">
  <xsd:schema xmlns:xsd="http://www.w3.org/2001/XMLSchema" xmlns:xs="http://www.w3.org/2001/XMLSchema" xmlns:p="http://schemas.microsoft.com/office/2006/metadata/properties" xmlns:ns2="fdb186c7-7373-495f-878c-f0f79ab36130" xmlns:ns3="a2c24b4c-a19a-4093-bf78-d5942ee237c3" targetNamespace="http://schemas.microsoft.com/office/2006/metadata/properties" ma:root="true" ma:fieldsID="279706ca315d76014cd459137316f840" ns2:_="" ns3:_="">
    <xsd:import namespace="fdb186c7-7373-495f-878c-f0f79ab36130"/>
    <xsd:import namespace="a2c24b4c-a19a-4093-bf78-d5942ee237c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b186c7-7373-495f-878c-f0f79ab361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b94074d8-97da-4deb-a367-6d65a6a9ab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c24b4c-a19a-4093-bf78-d5942ee237c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7689da7-651f-49aa-89b2-0746064c56a5}" ma:internalName="TaxCatchAll" ma:showField="CatchAllData" ma:web="a2c24b4c-a19a-4093-bf78-d5942ee237c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FBFA4F3B-2708-4731-A0D3-85F4C0631F4E">
  <ds:schemaRefs>
    <ds:schemaRef ds:uri="http://schemas.microsoft.com/office/2006/metadata/properties"/>
    <ds:schemaRef ds:uri="http://schemas.microsoft.com/office/infopath/2007/PartnerControls"/>
    <ds:schemaRef ds:uri="a2c24b4c-a19a-4093-bf78-d5942ee237c3"/>
    <ds:schemaRef ds:uri="fdb186c7-7373-495f-878c-f0f79ab36130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09CE5C4D-344E-4B9A-BACC-B692E5F42C94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9B3B699C-58A5-4E30-B28D-A0EBD2730770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C460D41C-4D86-48AB-A742-517920900E3B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db186c7-7373-495f-878c-f0f79ab36130"/>
    <ds:schemaRef ds:uri="a2c24b4c-a19a-4093-bf78-d5942ee237c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Souza Lima</dc:creator>
  <cp:keywords/>
  <dc:description/>
  <cp:revision>3058</cp:revision>
  <dcterms:created xsi:type="dcterms:W3CDTF">2023-08-10T03:29:00Z</dcterms:created>
  <dcterms:modified xsi:type="dcterms:W3CDTF">2026-09-11T21:20:15Z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0x0101005A0C7017C8683A4E8D8838A33F67DDC9</vt:lpwstr>
  </property>
  <property fmtid="{D5CDD505-2E9C-101B-9397-08002B2CF9AE}" pid="3" name="Order">
    <vt:r8>61100.000000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MediaServiceImageTags">
    <vt:lpwstr/>
  </property>
  <property fmtid="{D5CDD505-2E9C-101B-9397-08002B2CF9AE}" pid="11" name="docLang">
    <vt:lpwstr>pt</vt:lpwstr>
  </property>
</Properties>
</file>