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numbering.xml" ContentType="application/vnd.openxmlformats-officedocument.wordprocessingml.numbering+xml"/>
  <Override PartName="/word/footnotes.xml" ContentType="application/vnd.openxmlformats-officedocument.wordprocessingml.footnotes+xml"/>
  <Override PartName="/customXml/itemProps4.xml" ContentType="application/vnd.openxmlformats-officedocument.customXml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word/document.xml" ContentType="application/vnd.openxmlformats-officedocument.wordprocessingml.document.main+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r="http://schemas.openxmlformats.org/officeDocument/2006/relationships" xmlns:w="http://schemas.openxmlformats.org/wordprocessingml/2006/main" ns1:Ignorable="w14 w15 w16se w16cid w16 w16cex w16sdtdh wp14">
  <w:body>
    <w:p ns2:paraId="71BC7204" ns2:textId="77777777">
      <w:pPr>
        <w:pBdr/>
        <w:spacing/>
        <w:ind/>
        <w:jc w:val="center"/>
        <w:rPr>
          <w:rFonts w:ascii="Arial" w:hAnsi="Arial" w:cs="Arial"/>
          <w:b/>
        </w:rPr>
      </w:pPr>
      <w:r>
        <w:rPr>
          <w:rFonts w:ascii="Arial" w:hAnsi="Arial" w:cs="Arial"/>
          <w:b/>
        </w:rPr>
      </w:r>
      <w:r>
        <w:rPr>
          <w:rFonts w:ascii="Arial" w:hAnsi="Arial" w:cs="Arial"/>
          <w:b/>
        </w:rPr>
      </w:r>
      <w:r>
        <w:rPr>
          <w:rFonts w:ascii="Arial" w:hAnsi="Arial" w:cs="Arial"/>
          <w:b/>
        </w:rPr>
      </w:r>
    </w:p>
    <w:p ns2:paraId="0D1BC449" ns2:textId="55C49607">
      <w:pPr>
        <w:pBdr/>
        <w:spacing/>
        <w:ind/>
        <w:jc w:val="center"/>
        <w:rPr>
          <w:rFonts w:ascii="Arial" w:hAnsi="Arial" w:cs="Arial"/>
          <w:b/>
        </w:rPr>
      </w:pPr>
      <w:r>
        <w:rPr>
          <w:rFonts w:ascii="Arial" w:hAnsi="Arial" w:cs="Arial"/>
          <w:b/>
          <w:bCs/>
        </w:rPr>
        <w:t>MATRIZ DE PLANEJAMENTO</w:t>
      </w:r>
    </w:p>
    <w:p ns2:paraId="46357FAD" ns2:textId="77777777">
      <w:pPr>
        <w:pBdr/>
        <w:spacing/>
        <w:ind/>
        <w:jc w:val="center"/>
        <w:rPr>
          <w:rFonts w:ascii="Arial" w:hAnsi="Arial" w:cs="Arial"/>
          <w:b/>
        </w:rPr>
      </w:pPr>
      <w:r>
        <w:rPr>
          <w:rFonts w:ascii="Arial" w:hAnsi="Arial" w:cs="Arial"/>
          <w:b/>
        </w:rPr>
      </w:r>
      <w:r>
        <w:rPr>
          <w:rFonts w:ascii="Arial" w:hAnsi="Arial" w:cs="Arial"/>
          <w:b/>
        </w:rPr>
      </w:r>
      <w:r>
        <w:rPr>
          <w:rFonts w:ascii="Arial" w:hAnsi="Arial" w:cs="Arial"/>
          <w:b/>
        </w:rPr>
      </w:r>
    </w:p>
    <w:p ns2:paraId="5D2618CF" ns2:textId="6C9D6D25">
      <w:pPr>
        <w:pBdr/>
        <w:spacing w:after="200"/>
        <w:ind/>
        <w:jc w:val="center"/>
        <w:rPr>
          <w:rFonts w:ascii="Arial" w:hAnsi="Arial" w:cs="Arial"/>
          <w:sz w:val="20"/>
          <w:szCs w:val="20"/>
        </w:rPr>
      </w:pPr>
      <w:r>
        <w:rPr>
          <w:rFonts w:ascii="Arial" w:hAnsi="Arial" w:cs="Arial"/>
          <w:b/>
          <w:sz w:val="20"/>
          <w:szCs w:val="20"/>
        </w:rPr>
        <w:t>QUESTÃO GERAL DE AUDITORIA: Qual é o grau de conformidade das 91 prefeituras municipais jurisdicionadas com os requisitos selecionados da Lei nº 13.709/2018 (LGPD) e o nível de cumprimento das decisões proferidas no Processo TCE-RJ nº 217.899-0/2024, considerando a evolução em relação ao ciclo de 2024?</w:t>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Q1: A organização conduziu iniciativas preparatórias de adequação à LGPD, instituiu programa de governança em privacidade e designou formalmente o Encarregado pelo tratamento de dados pessoais (DPO), divulgando seus contatos em seu portal oficial?</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conduziu iniciativas para identificar, planejar e executar medidas preparatórias para adequação à LGPD, formalizando plano de ação ou programa de governança em privacidade?</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considerou em sua iniciativa de adequação à LGPD os encaminhamentos do Acórdão nº 3931/2025?</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nomeou formalmente o Encarregado pelo tratamento de dados pessoais (DPO) e publicou o ato de designação em veículo oficial?</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identidade e as informações de contato do Encarregado (nome, e-mail e telefone) estão divulgadas publicamente, em local de fácil acesso, no sítio eletrônico oficial da organização?</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R1.1: Devido à ausência de planejamento prévio e de programa estruturado de governança em privacidade, poderá haver inércia ou fragmentação das ações de adequação à LGPD, o que poderá levar ao desperdício de recursos e à desconformidade generalizada, impactando a eficácia da gestão municipal.</w:t>
            </w:r>
          </w:p>
          <w:p ns2:paraId="63566D7E" ns2:textId="69F154AC">
            <w:pPr>
              <w:pBdr/>
              <w:spacing w:after="120"/>
              <w:ind/>
              <w:jc w:val="both"/>
              <w:rPr>
                <w:rFonts w:ascii="Arial" w:hAnsi="Arial" w:cs="Arial"/>
                <w:b/>
                <w:sz w:val="20"/>
                <w:szCs w:val="20"/>
              </w:rPr>
            </w:pPr>
            <w:r>
              <w:rPr>
                <w:rFonts w:ascii="Arial" w:hAnsi="Arial" w:cs="Arial"/>
                <w:b/>
                <w:sz w:val="20"/>
                <w:szCs w:val="20"/>
              </w:rPr>
              <w:t>R1.2: Devido à ausência de designação formal de Encarregado pelo tratamento de dados pessoais (DPO), poderá não haver interlocutor institucional perante a ANPD e os titulares de dados, o que poderá levar ao descumprimento de prazos e deveres legais, impactando a juridicidade e a transparência do município.</w:t>
            </w:r>
          </w:p>
          <w:p ns2:paraId="63566D7E" ns2:textId="69F154AC">
            <w:pPr>
              <w:pBdr/>
              <w:spacing w:after="120"/>
              <w:ind/>
              <w:jc w:val="both"/>
              <w:rPr>
                <w:rFonts w:ascii="Arial" w:hAnsi="Arial" w:cs="Arial"/>
                <w:b/>
                <w:sz w:val="20"/>
                <w:szCs w:val="20"/>
              </w:rPr>
            </w:pPr>
            <w:r>
              <w:rPr>
                <w:rFonts w:ascii="Arial" w:hAnsi="Arial" w:cs="Arial"/>
                <w:b/>
                <w:sz w:val="20"/>
                <w:szCs w:val="20"/>
              </w:rPr>
              <w:t>R1.3: Devido à falta de divulgação da identidade e dos canais de contato do Encarregado no portal oficial, poderá haver restrição indevida ao exercício de direitos pelos cidadãos, o que poderá levar à frustração de garantias fundamentais e a representações perante órgãos de controle, impactando a publicidade dos atos administrativos.</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POSSÍVEIS ACHADOS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Gestores municipais responsáveis pela governança em privacidade e pelo preenchimento do questionário eletrônico de auditoria da LGPD.</w:t>
            </w:r>
          </w:p>
          <w:p ns2:paraId="07477FA7" ns2:textId="4BBAC042">
            <w:pPr>
              <w:pBdr/>
              <w:spacing w:after="120"/>
              <w:ind/>
              <w:jc w:val="both"/>
              <w:rPr>
                <w:rFonts w:ascii="Arial" w:hAnsi="Arial" w:cs="Arial"/>
                <w:sz w:val="18"/>
                <w:szCs w:val="18"/>
              </w:rPr>
            </w:pPr>
            <w:r>
              <w:rPr>
                <w:rFonts w:ascii="Arial" w:hAnsi="Arial" w:cs="Arial"/>
                <w:sz w:val="18"/>
                <w:szCs w:val="18"/>
              </w:rPr>
              <w:t>F2: Unidades administrativas das prefeituras responsáveis pela governança em privacidade e pela gestão dos atos de designação do Encarregado.</w:t>
            </w:r>
          </w:p>
          <w:p ns2:paraId="07477FA7" ns2:textId="4BBAC042">
            <w:pPr>
              <w:pBdr/>
              <w:spacing w:after="120"/>
              <w:ind/>
              <w:jc w:val="both"/>
              <w:rPr>
                <w:rFonts w:ascii="Arial" w:hAnsi="Arial" w:cs="Arial"/>
                <w:sz w:val="18"/>
                <w:szCs w:val="18"/>
              </w:rPr>
            </w:pPr>
            <w:r>
              <w:rPr>
                <w:rFonts w:ascii="Arial" w:hAnsi="Arial" w:cs="Arial"/>
                <w:sz w:val="18"/>
                <w:szCs w:val="18"/>
              </w:rPr>
              <w:t>F3: Portal institucional oficial de cada prefeitura municipal.</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Resposta sobre a execução de iniciativas preparatórias e a consideração dos encaminhamentos do Acórdão nº 3931/2025, acompanhada da comprovação documental do plano de ação e do programa de governança em privacidade; [F1, F2, Q21, Q21[comment], Q23, Q23[comment], Q211, Q212]</w:t>
            </w:r>
          </w:p>
          <w:p ns2:paraId="1DD0E491" ns2:textId="77777777">
            <w:pPr>
              <w:pBdr/>
              <w:spacing w:after="120"/>
              <w:ind/>
              <w:jc w:val="both"/>
              <w:rPr>
                <w:rFonts w:ascii="Arial" w:hAnsi="Arial" w:cs="Arial"/>
                <w:b/>
                <w:bCs/>
                <w:sz w:val="18"/>
                <w:szCs w:val="18"/>
              </w:rPr>
            </w:pPr>
            <w:r>
              <w:rPr>
                <w:rFonts w:ascii="Arial" w:hAnsi="Arial" w:cs="Arial"/>
                <w:sz w:val="18"/>
                <w:szCs w:val="18"/>
              </w:rPr>
              <w:t>IR2: Resposta e ato formal de nomeação do Encarregado de Dados publicado em diário oficial; [F1, F2, Q41[SQ004], Q414]</w:t>
            </w:r>
          </w:p>
          <w:p ns2:paraId="1DD0E491" ns2:textId="77777777">
            <w:pPr>
              <w:pBdr/>
              <w:spacing w:after="120"/>
              <w:ind/>
              <w:jc w:val="both"/>
              <w:rPr>
                <w:rFonts w:ascii="Arial" w:hAnsi="Arial" w:cs="Arial"/>
                <w:b/>
                <w:bCs/>
                <w:sz w:val="18"/>
                <w:szCs w:val="18"/>
              </w:rPr>
            </w:pPr>
            <w:r>
              <w:rPr>
                <w:rFonts w:ascii="Arial" w:hAnsi="Arial" w:cs="Arial"/>
                <w:sz w:val="18"/>
                <w:szCs w:val="18"/>
              </w:rPr>
              <w:t>IR3: Informação da URL e comprovação da disponibilização pública dos contatos do Encarregado no sítio eletrônico; [F1, F3, Q41[SQ005], Q415]</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C1: Lei Federal nº 13.709/2018 (LGPD), art. 41, caput — Obrigação expressa do controlador de indicar o encarregado pelo tratamento de dados pessoais.</w:t>
            </w:r>
          </w:p>
          <w:p ns2:paraId="2667BB09" ns2:textId="2C1623C1">
            <w:pPr>
              <w:pStyle w:val="1010"/>
              <w:pBdr/>
              <w:spacing w:after="120"/>
              <w:ind/>
              <w:jc w:val="both"/>
              <w:rPr>
                <w:bCs/>
                <w:color w:val="auto"/>
                <w:sz w:val="18"/>
                <w:szCs w:val="18"/>
                <w:vertAlign w:val="superscript"/>
              </w:rPr>
            </w:pPr>
            <w:r>
              <w:rPr>
                <w:bCs/>
                <w:color w:val="auto"/>
                <w:sz w:val="18"/>
                <w:szCs w:val="18"/>
              </w:rPr>
              <w:t>C2: Lei Federal nº 13.709/2018 (LGPD), art. 41, § 1º — Dever de divulgar publicamente a identidade e as informações de contato do encarregado, de forma clara e objetiva, preferencialmente no sítio eletrônico do controlador.</w:t>
            </w:r>
          </w:p>
          <w:p ns2:paraId="2667BB09" ns2:textId="2C1623C1">
            <w:pPr>
              <w:pStyle w:val="1010"/>
              <w:pBdr/>
              <w:spacing w:after="120"/>
              <w:ind/>
              <w:jc w:val="both"/>
              <w:rPr>
                <w:bCs/>
                <w:color w:val="auto"/>
                <w:sz w:val="18"/>
                <w:szCs w:val="18"/>
                <w:vertAlign w:val="superscript"/>
              </w:rPr>
            </w:pPr>
            <w:r>
              <w:rPr>
                <w:bCs/>
                <w:color w:val="auto"/>
                <w:sz w:val="18"/>
                <w:szCs w:val="18"/>
              </w:rPr>
              <w:t>C3: Resolução CD/ANPD nº 18/2024, arts. 4º e 5º — Regulamento de atuação do encarregado pelo tratamento de dados pessoais, disciplinando a formalização do ato de designação e a ampla divulgação de seus dados de contato nos canais oficiais.</w:t>
            </w:r>
          </w:p>
          <w:p ns2:paraId="2667BB09" ns2:textId="2C1623C1">
            <w:pPr>
              <w:pStyle w:val="1010"/>
              <w:pBdr/>
              <w:spacing w:after="120"/>
              <w:ind/>
              <w:jc w:val="both"/>
              <w:rPr>
                <w:bCs/>
                <w:color w:val="auto"/>
                <w:sz w:val="18"/>
                <w:szCs w:val="18"/>
                <w:vertAlign w:val="superscript"/>
              </w:rPr>
            </w:pPr>
            <w:r>
              <w:rPr>
                <w:bCs/>
                <w:color w:val="auto"/>
                <w:sz w:val="18"/>
                <w:szCs w:val="18"/>
              </w:rPr>
              <w:t>C4: Lei Federal nº 13.709/2018 (LGPD), art. 50, caput e § 2º, I — Implementação de regras de boas práticas e de programa de governança em privacidade que assegure a conformidade das atividades de tratamento de dados pessoais.</w:t>
            </w:r>
          </w:p>
          <w:p ns2:paraId="2667BB09" ns2:textId="2C1623C1">
            <w:pPr>
              <w:pStyle w:val="1010"/>
              <w:pBdr/>
              <w:spacing w:after="120"/>
              <w:ind/>
              <w:jc w:val="both"/>
              <w:rPr>
                <w:bCs/>
                <w:color w:val="auto"/>
                <w:sz w:val="18"/>
                <w:szCs w:val="18"/>
                <w:vertAlign w:val="superscript"/>
              </w:rPr>
            </w:pPr>
            <w:r>
              <w:rPr>
                <w:bCs/>
                <w:color w:val="auto"/>
                <w:sz w:val="18"/>
                <w:szCs w:val="18"/>
              </w:rPr>
              <w:t>C5: Acórdão nº 3931/2025 do Plenário do TCE-RJ (Processo TCE-RJ nº 217.899-0/2024), Voto do Relator, item 1.1 — Determinação aos jurisdicionados para estruturar, em até 60 dias, as medidas de adequação em Plano de Ação formal registrado em processo administrativo.</w:t>
            </w:r>
          </w:p>
          <w:p ns2:paraId="2667BB09" ns2:textId="2C1623C1">
            <w:pPr>
              <w:pStyle w:val="1010"/>
              <w:pBdr/>
              <w:spacing w:after="120"/>
              <w:ind/>
              <w:jc w:val="both"/>
              <w:rPr>
                <w:bCs/>
                <w:color w:val="auto"/>
                <w:sz w:val="18"/>
                <w:szCs w:val="18"/>
                <w:vertAlign w:val="superscript"/>
              </w:rPr>
            </w:pPr>
            <w:r>
              <w:rPr>
                <w:bCs/>
                <w:color w:val="auto"/>
                <w:sz w:val="18"/>
                <w:szCs w:val="18"/>
              </w:rPr>
              <w:t>C6: Acórdão nº 3931/2025 do Plenário do TCE-RJ (Processo TCE-RJ nº 217.899-0/2024), Voto do Relator, item 1.2 — Determinação aos jurisdicionados para nomear o encarregado pelo tratamento de dados pessoais e publicar o ato em veículo de comunicação oficial.</w:t>
            </w:r>
          </w:p>
          <w:p ns2:paraId="2667BB09" ns2:textId="2C1623C1">
            <w:pPr>
              <w:pStyle w:val="1010"/>
              <w:pBdr/>
              <w:spacing w:after="120"/>
              <w:ind/>
              <w:jc w:val="both"/>
              <w:rPr>
                <w:bCs/>
                <w:color w:val="auto"/>
                <w:sz w:val="18"/>
                <w:szCs w:val="18"/>
                <w:vertAlign w:val="superscript"/>
              </w:rPr>
            </w:pPr>
            <w:r>
              <w:rPr>
                <w:bCs/>
                <w:color w:val="auto"/>
                <w:sz w:val="18"/>
                <w:szCs w:val="18"/>
              </w:rPr>
              <w:t>C7: Acórdão nº 3931/2025 do Plenário do TCE-RJ (Processo TCE-RJ nº 217.899-0/2024), Voto do Relator, item 1.3 — Determinação aos jurisdicionados para publicar em seu portal institucional, de forma clara e objetiva, a identidade e informações de contato do encarregado pelo tratamento de dados pessoais.</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Verificar nas respostas às questões Q21 e Q23 se a organização declarou ter realizado iniciativas preparatórias, elaborado plano de ação ou programa de governança em privacidade e considerado os encaminhamentos aplicáveis do Acórdão nº 3931/2025; [IR1]</w:t>
            </w:r>
          </w:p>
          <w:p ns2:paraId="4C6E5B2E" ns2:textId="42100C78">
            <w:pPr>
              <w:pStyle w:val="1010"/>
              <w:pBdr/>
              <w:spacing w:after="120"/>
              <w:ind/>
              <w:jc w:val="both"/>
              <w:rPr>
                <w:b/>
                <w:bCs/>
                <w:color w:val="auto"/>
                <w:sz w:val="18"/>
                <w:szCs w:val="18"/>
              </w:rPr>
            </w:pPr>
            <w:r>
              <w:rPr>
                <w:color w:val="auto"/>
                <w:sz w:val="18"/>
                <w:szCs w:val="18"/>
              </w:rPr>
              <w:t>P1.1: Examinar os documentos submetidos nos itens Q211 e Q212 para avaliar sua autenticidade aparente, aprovação, vigência e aderência mínima ao escopo declarado, incluindo ações, responsáveis e prazos para adequação à LGPD; [IR1]</w:t>
            </w:r>
          </w:p>
          <w:p ns2:paraId="4C6E5B2E" ns2:textId="42100C78">
            <w:pPr>
              <w:pStyle w:val="1010"/>
              <w:pBdr/>
              <w:spacing w:after="120"/>
              <w:ind/>
              <w:jc w:val="both"/>
              <w:rPr>
                <w:b/>
                <w:bCs/>
                <w:color w:val="auto"/>
                <w:sz w:val="18"/>
                <w:szCs w:val="18"/>
              </w:rPr>
            </w:pPr>
            <w:r>
              <w:rPr>
                <w:color w:val="auto"/>
                <w:sz w:val="18"/>
                <w:szCs w:val="18"/>
              </w:rPr>
              <w:t>P2: Verificar na resposta à questão Q41[SQ004] se a organização declarou ter designado formalmente o Encarregado pelo tratamento de dados pessoais; [IR2]</w:t>
            </w:r>
          </w:p>
          <w:p ns2:paraId="4C6E5B2E" ns2:textId="42100C78">
            <w:pPr>
              <w:pStyle w:val="1010"/>
              <w:pBdr/>
              <w:spacing w:after="120"/>
              <w:ind/>
              <w:jc w:val="both"/>
              <w:rPr>
                <w:b/>
                <w:bCs/>
                <w:color w:val="auto"/>
                <w:sz w:val="18"/>
                <w:szCs w:val="18"/>
              </w:rPr>
            </w:pPr>
            <w:r>
              <w:rPr>
                <w:color w:val="auto"/>
                <w:sz w:val="18"/>
                <w:szCs w:val="18"/>
              </w:rPr>
              <w:t>P2.1: Examinar o documento submetido no item Q414 para confirmar a existência, validade, autoridade signatária, vigência e publicação oficial do ato de designação do Encarregado; [IR2]</w:t>
            </w:r>
          </w:p>
          <w:p ns2:paraId="4C6E5B2E" ns2:textId="42100C78">
            <w:pPr>
              <w:pStyle w:val="1010"/>
              <w:pBdr/>
              <w:spacing w:after="120"/>
              <w:ind/>
              <w:jc w:val="both"/>
              <w:rPr>
                <w:b/>
                <w:bCs/>
                <w:color w:val="auto"/>
                <w:sz w:val="18"/>
                <w:szCs w:val="18"/>
              </w:rPr>
            </w:pPr>
            <w:r>
              <w:rPr>
                <w:color w:val="auto"/>
                <w:sz w:val="18"/>
                <w:szCs w:val="18"/>
              </w:rPr>
              <w:t>P3: Verificar na resposta à questão Q41[SQ005] se a organização declarou divulgar publicamente a identidade e os canais de contato do Encarregado; [IR3]</w:t>
            </w:r>
          </w:p>
          <w:p ns2:paraId="4C6E5B2E" ns2:textId="42100C78">
            <w:pPr>
              <w:pStyle w:val="1010"/>
              <w:pBdr/>
              <w:spacing w:after="120"/>
              <w:ind/>
              <w:jc w:val="both"/>
              <w:rPr>
                <w:b/>
                <w:bCs/>
                <w:color w:val="auto"/>
                <w:sz w:val="18"/>
                <w:szCs w:val="18"/>
              </w:rPr>
            </w:pPr>
            <w:r>
              <w:rPr>
                <w:color w:val="auto"/>
                <w:sz w:val="18"/>
                <w:szCs w:val="18"/>
              </w:rPr>
              <w:t>P3.1: Inspecionar o endereço eletrônico informado no item Q415 para confirmar a disponibilidade, clareza, atualidade e facilidade de acesso à identidade e aos canais de contato do Encarregado; [IR3]</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Registro das respostas às questões Q21 e Q23 sobre iniciativas preparatórias, plano de ação, programa de governança em privacidade e consideração dos encaminhamentos do Acórdão nº 3931/2025; [P1]</w:t>
            </w:r>
          </w:p>
          <w:p ns2:paraId="1E80855F" ns2:textId="1D853748">
            <w:pPr>
              <w:pBdr/>
              <w:spacing w:after="120"/>
              <w:ind/>
              <w:jc w:val="both"/>
              <w:rPr>
                <w:rFonts w:ascii="Arial" w:hAnsi="Arial" w:cs="Arial"/>
                <w:sz w:val="18"/>
                <w:szCs w:val="18"/>
              </w:rPr>
            </w:pPr>
            <w:r>
              <w:rPr>
                <w:rFonts w:ascii="Arial" w:hAnsi="Arial" w:cs="Arial"/>
                <w:sz w:val="18"/>
                <w:szCs w:val="18"/>
              </w:rPr>
              <w:t>E1.1: Resultado da análise dos documentos Q211 e Q212, com registro de existência, aprovação, vigência, conteúdo mínimo e eventuais inconsistências com a declaração; [P1.1]</w:t>
            </w:r>
          </w:p>
          <w:p ns2:paraId="1E80855F" ns2:textId="1D853748">
            <w:pPr>
              <w:pBdr/>
              <w:spacing w:after="120"/>
              <w:ind/>
              <w:jc w:val="both"/>
              <w:rPr>
                <w:rFonts w:ascii="Arial" w:hAnsi="Arial" w:cs="Arial"/>
                <w:sz w:val="18"/>
                <w:szCs w:val="18"/>
              </w:rPr>
            </w:pPr>
            <w:r>
              <w:rPr>
                <w:rFonts w:ascii="Arial" w:hAnsi="Arial" w:cs="Arial"/>
                <w:sz w:val="18"/>
                <w:szCs w:val="18"/>
              </w:rPr>
              <w:t>E2: Registro da resposta à questão Q41[SQ004] sobre a designação formal do Encarregado; [P2]</w:t>
            </w:r>
          </w:p>
          <w:p ns2:paraId="1E80855F" ns2:textId="1D853748">
            <w:pPr>
              <w:pBdr/>
              <w:spacing w:after="120"/>
              <w:ind/>
              <w:jc w:val="both"/>
              <w:rPr>
                <w:rFonts w:ascii="Arial" w:hAnsi="Arial" w:cs="Arial"/>
                <w:sz w:val="18"/>
                <w:szCs w:val="18"/>
              </w:rPr>
            </w:pPr>
            <w:r>
              <w:rPr>
                <w:rFonts w:ascii="Arial" w:hAnsi="Arial" w:cs="Arial"/>
                <w:sz w:val="18"/>
                <w:szCs w:val="18"/>
              </w:rPr>
              <w:t>E2.1: Resultado da análise do ato Q414, com registro de validade, autoridade signatária, vigência, publicação e eventuais inconsistências com a declaração; [P2.1]</w:t>
            </w:r>
          </w:p>
          <w:p ns2:paraId="1E80855F" ns2:textId="1D853748">
            <w:pPr>
              <w:pBdr/>
              <w:spacing w:after="120"/>
              <w:ind/>
              <w:jc w:val="both"/>
              <w:rPr>
                <w:rFonts w:ascii="Arial" w:hAnsi="Arial" w:cs="Arial"/>
                <w:sz w:val="18"/>
                <w:szCs w:val="18"/>
              </w:rPr>
            </w:pPr>
            <w:r>
              <w:rPr>
                <w:rFonts w:ascii="Arial" w:hAnsi="Arial" w:cs="Arial"/>
                <w:sz w:val="18"/>
                <w:szCs w:val="18"/>
              </w:rPr>
              <w:t>E3: Registro da resposta à questão Q41[SQ005] sobre a divulgação pública da identidade e dos contatos do Encarregado; [P3]</w:t>
            </w:r>
          </w:p>
          <w:p ns2:paraId="1E80855F" ns2:textId="1D853748">
            <w:pPr>
              <w:pBdr/>
              <w:spacing w:after="120"/>
              <w:ind/>
              <w:jc w:val="both"/>
              <w:rPr>
                <w:rFonts w:ascii="Arial" w:hAnsi="Arial" w:cs="Arial"/>
                <w:sz w:val="18"/>
                <w:szCs w:val="18"/>
              </w:rPr>
            </w:pPr>
            <w:r>
              <w:rPr>
                <w:rFonts w:ascii="Arial" w:hAnsi="Arial" w:cs="Arial"/>
                <w:sz w:val="18"/>
                <w:szCs w:val="18"/>
              </w:rPr>
              <w:t>E3.1: Registro da inspeção do endereço Q415, incluindo disponibilidade da página, conteúdo publicado, atualidade e facilidade de acesso; [P3.1]</w:t>
            </w:r>
          </w:p>
        </w:tc>
        <w:tc>
          <w:tcPr>
            <w:tcBorders/>
            <w:tcW w:w="4702" w:type="dxa"/>
            <w:vAlign w:val="center"/>
          </w:tcPr>
          <w:p ns2:paraId="11118515" ns2:textId="02403B9E">
            <w:pPr>
              <w:pBdr/>
              <w:spacing w:after="80"/>
              <w:ind w:firstLine="0" w:left="0"/>
              <w:jc w:val="both"/>
              <w:rPr>
                <w:rFonts w:ascii="Arial" w:hAnsi="Arial" w:cs="Arial"/>
                <w:sz w:val="18"/>
                <w:szCs w:val="18"/>
              </w:rPr>
            </w:pPr>
            <w:r>
              <w:rPr>
                <w:rFonts w:ascii="Arial" w:hAnsi="Arial" w:cs="Arial"/>
                <w:b/>
                <w:bCs/>
                <w:sz w:val="18"/>
                <w:szCs w:val="18"/>
              </w:rPr>
              <w:t>Deficiência na preparação institucional, governança em privacidade incipiente e ausência ou irregularidade na atuação do Encarregado pelo tratamento de dados pessoais.</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plano de ação ou de programa estruturado de governança em privacidade para direcionar a adequação à LGPD. [R1.1, P1, P1.1, E1, E1.1, C4, C5];</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designação formal de Encarregado pelo tratamento de dados pessoais (DPO) publicada em veículo oficial. [R1.2, P2, P2.1, E2, E2.1, C1, C3, C6];</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divulgação pública da identidade e dos canais de contato do Encarregado no sítio eletrônico oficial. [R1.3, P3, P3.1, E3, E3.1, C2, C3, C7];</w:t>
            </w:r>
          </w:p>
        </w:tc>
      </w:tr>
    </w:tbl>
    <w:p>
      <w:r>
        <w:br w:type="page"/>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Q2: A organização instituiu formalmente políticas de proteção de dados, segurança da informação e classificação da informação, e promoveu capacitação e conscientização periódica de seus colaboradores?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instituiu formalmente e mantém atualizadas sua Política de Proteção de Dados Pessoais, Política de Segurança da Informação (PSI) e Política de Classificação da Informação?</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As políticas de classificação da informação contemplam regras específicas sobre dados pessoais sensíveis e dados de crianças e de adolescentes?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possui plano de capacitação e realizou ações de treinamento em proteção de dados pessoais para seus colaboradores, abordando de forma integrada a transparência da gestão (LAI)?</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R2.1: Devido à ausência de políticas institucionais formalizadas (proteção de dados, PSI e classificação), poderá não haver diretrizes operacionais claras para os servidores, o que poderá levar a práticas inadequadas de tratamento e manuseio indevido de dados, impactando a conformidade legal e a integridade informacional.</w:t>
            </w:r>
          </w:p>
          <w:p ns2:paraId="63566D7E" ns2:textId="69F154AC">
            <w:pPr>
              <w:pBdr/>
              <w:spacing w:after="120"/>
              <w:ind/>
              <w:jc w:val="both"/>
              <w:rPr>
                <w:rFonts w:ascii="Arial" w:hAnsi="Arial" w:cs="Arial"/>
                <w:b/>
                <w:sz w:val="20"/>
                <w:szCs w:val="20"/>
              </w:rPr>
            </w:pPr>
            <w:r>
              <w:rPr>
                <w:rFonts w:ascii="Arial" w:hAnsi="Arial" w:cs="Arial"/>
                <w:b/>
                <w:sz w:val="20"/>
                <w:szCs w:val="20"/>
              </w:rPr>
              <w:t>R2.2: Devido à omissão de regras de classificação sobre dados pessoais sensíveis e de crianças/adolescentes, poderá haver exposição indevida de dados hipervulneráveis, o que poderá levar a graves violações de direitos, impactando a responsabilidade civil do município.</w:t>
            </w:r>
          </w:p>
          <w:p ns2:paraId="63566D7E" ns2:textId="69F154AC">
            <w:pPr>
              <w:pBdr/>
              <w:spacing w:after="120"/>
              <w:ind/>
              <w:jc w:val="both"/>
              <w:rPr>
                <w:rFonts w:ascii="Arial" w:hAnsi="Arial" w:cs="Arial"/>
                <w:b/>
                <w:sz w:val="20"/>
                <w:szCs w:val="20"/>
              </w:rPr>
            </w:pPr>
            <w:r>
              <w:rPr>
                <w:rFonts w:ascii="Arial" w:hAnsi="Arial" w:cs="Arial"/>
                <w:b/>
                <w:sz w:val="20"/>
                <w:szCs w:val="20"/>
              </w:rPr>
              <w:t>R2.3: Devido à falta de capacitação periódica e conscientização dos colaboradores, poderá haver erros operacionais no manuseio diário de dados de cidadãos, o que poderá levar a incidentes de segurança e vazamentos acidentais, impactando a confiança da sociedade na gestão pública.</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POSSÍVEIS ACHADOS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Gestores municipais responsáveis pela governança em privacidade, segurança da informação e capacitação de pessoal.</w:t>
            </w:r>
          </w:p>
          <w:p ns2:paraId="07477FA7" ns2:textId="4BBAC042">
            <w:pPr>
              <w:pBdr/>
              <w:spacing w:after="120"/>
              <w:ind/>
              <w:jc w:val="both"/>
              <w:rPr>
                <w:rFonts w:ascii="Arial" w:hAnsi="Arial" w:cs="Arial"/>
                <w:sz w:val="18"/>
                <w:szCs w:val="18"/>
              </w:rPr>
            </w:pPr>
            <w:r>
              <w:rPr>
                <w:rFonts w:ascii="Arial" w:hAnsi="Arial" w:cs="Arial"/>
                <w:sz w:val="18"/>
                <w:szCs w:val="18"/>
              </w:rPr>
              <w:t>F2: Unidades administrativas das prefeituras responsáveis pela edição e custódia das políticas institucionais e dos registros de capacitação.</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Resposta e ato formal comprobatório da Política de Proteção de Dados Pessoais; [F1, F2, Q41[SQ003], Q411]</w:t>
            </w:r>
          </w:p>
          <w:p ns2:paraId="1DD0E491" ns2:textId="77777777">
            <w:pPr>
              <w:pBdr/>
              <w:spacing w:after="120"/>
              <w:ind/>
              <w:jc w:val="both"/>
              <w:rPr>
                <w:rFonts w:ascii="Arial" w:hAnsi="Arial" w:cs="Arial"/>
                <w:b/>
                <w:bCs/>
                <w:sz w:val="18"/>
                <w:szCs w:val="18"/>
              </w:rPr>
            </w:pPr>
            <w:r>
              <w:rPr>
                <w:rFonts w:ascii="Arial" w:hAnsi="Arial" w:cs="Arial"/>
                <w:sz w:val="18"/>
                <w:szCs w:val="18"/>
              </w:rPr>
              <w:t>IR2: Resposta e atos formais comprobatórios da PSI e da Política de Classificação da Informação; [F1, F2, Q41[SQ001], Q41[SQ002], Q412, Q413]</w:t>
            </w:r>
          </w:p>
          <w:p ns2:paraId="1DD0E491" ns2:textId="77777777">
            <w:pPr>
              <w:pBdr/>
              <w:spacing w:after="120"/>
              <w:ind/>
              <w:jc w:val="both"/>
              <w:rPr>
                <w:rFonts w:ascii="Arial" w:hAnsi="Arial" w:cs="Arial"/>
                <w:b/>
                <w:bCs/>
                <w:sz w:val="18"/>
                <w:szCs w:val="18"/>
              </w:rPr>
            </w:pPr>
            <w:r>
              <w:rPr>
                <w:rFonts w:ascii="Arial" w:hAnsi="Arial" w:cs="Arial"/>
                <w:sz w:val="18"/>
                <w:szCs w:val="18"/>
              </w:rPr>
              <w:t>IR3: Resposta, declaração de maturidade e Plano de Capacitação em proteção de dados e LAI; [F1, F2, Q51, Q511, Q52]</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C1: Lei Federal nº 13.709/2018 (LGPD), art. 50, § 2º, I, "a" — Formulação de regras de boas práticas e de governança que contemplem políticas institucionais de proteção de dados pessoais.</w:t>
            </w:r>
          </w:p>
          <w:p ns2:paraId="2667BB09" ns2:textId="2C1623C1">
            <w:pPr>
              <w:pStyle w:val="1010"/>
              <w:pBdr/>
              <w:spacing w:after="120"/>
              <w:ind/>
              <w:jc w:val="both"/>
              <w:rPr>
                <w:bCs/>
                <w:color w:val="auto"/>
                <w:sz w:val="18"/>
                <w:szCs w:val="18"/>
                <w:vertAlign w:val="superscript"/>
              </w:rPr>
            </w:pPr>
            <w:r>
              <w:rPr>
                <w:bCs/>
                <w:color w:val="auto"/>
                <w:sz w:val="18"/>
                <w:szCs w:val="18"/>
              </w:rPr>
              <w:t>C2: Lei Federal nº 13.709/2018 (LGPD), arts. 46 e 47 — Dever dos agentes de tratamento de adotar medidas de segurança, técnicas e administrativas aptas a proteger dados pessoais, expedindo normas internas de segurança e governança.</w:t>
            </w:r>
          </w:p>
          <w:p ns2:paraId="2667BB09" ns2:textId="2C1623C1">
            <w:pPr>
              <w:pStyle w:val="1010"/>
              <w:pBdr/>
              <w:spacing w:after="120"/>
              <w:ind/>
              <w:jc w:val="both"/>
              <w:rPr>
                <w:bCs/>
                <w:color w:val="auto"/>
                <w:sz w:val="18"/>
                <w:szCs w:val="18"/>
                <w:vertAlign w:val="superscript"/>
              </w:rPr>
            </w:pPr>
            <w:r>
              <w:rPr>
                <w:bCs/>
                <w:color w:val="auto"/>
                <w:sz w:val="18"/>
                <w:szCs w:val="18"/>
              </w:rPr>
              <w:t>C3: Lei Federal nº 13.709/2018 (LGPD), art. 50, § 2º, I, "c" — Realização de ações educativas, mecanismos internos de supervisão e capacitação permanente de colaboradores sobre proteção de dados pessoais.</w:t>
            </w:r>
          </w:p>
          <w:p ns2:paraId="2667BB09" ns2:textId="2C1623C1">
            <w:pPr>
              <w:pStyle w:val="1010"/>
              <w:pBdr/>
              <w:spacing w:after="120"/>
              <w:ind/>
              <w:jc w:val="both"/>
              <w:rPr>
                <w:bCs/>
                <w:color w:val="auto"/>
                <w:sz w:val="18"/>
                <w:szCs w:val="18"/>
                <w:vertAlign w:val="superscript"/>
              </w:rPr>
            </w:pPr>
            <w:r>
              <w:rPr>
                <w:bCs/>
                <w:color w:val="auto"/>
                <w:sz w:val="18"/>
                <w:szCs w:val="18"/>
              </w:rPr>
              <w:t>C4: Acórdão nº 3931/2025 do Plenário do TCE-RJ (Processo TCE-RJ nº 217.899-0/2024), Voto do Relator, item 1.6 — Determinação aos jurisdicionados para elaborar, aprovar e publicar sua Política de Proteção de Dados Pessoais (PPDP), observando as melhores práticas do PPSI do Governo Federal e da ABNT NBR ISO/IEC 27701:2019, em especial a cláusula 5.3.2 e a cláusula 6.2.1.1.</w:t>
            </w:r>
          </w:p>
          <w:p ns2:paraId="2667BB09" ns2:textId="2C1623C1">
            <w:pPr>
              <w:pStyle w:val="1010"/>
              <w:pBdr/>
              <w:spacing w:after="120"/>
              <w:ind/>
              <w:jc w:val="both"/>
              <w:rPr>
                <w:bCs/>
                <w:color w:val="auto"/>
                <w:sz w:val="18"/>
                <w:szCs w:val="18"/>
                <w:vertAlign w:val="superscript"/>
              </w:rPr>
            </w:pPr>
            <w:r>
              <w:rPr>
                <w:bCs/>
                <w:color w:val="auto"/>
                <w:sz w:val="18"/>
                <w:szCs w:val="18"/>
              </w:rPr>
              <w:t>C5: Acórdão nº 3931/2025 do Plenário do TCE-RJ (Processo TCE-RJ nº 217.899-0/2024), Voto do Relator, item 1.5 — Determinação aos jurisdicionados para elaborar, aprovar e publicar a Política de Segurança da Informação (PSI), dispondo de princípios, diretrizes, procedimentos, responsabilidades e controles de segurança.</w:t>
            </w:r>
          </w:p>
          <w:p ns2:paraId="2667BB09" ns2:textId="2C1623C1">
            <w:pPr>
              <w:pStyle w:val="1010"/>
              <w:pBdr/>
              <w:spacing w:after="120"/>
              <w:ind/>
              <w:jc w:val="both"/>
              <w:rPr>
                <w:bCs/>
                <w:color w:val="auto"/>
                <w:sz w:val="18"/>
                <w:szCs w:val="18"/>
                <w:vertAlign w:val="superscript"/>
              </w:rPr>
            </w:pPr>
            <w:r>
              <w:rPr>
                <w:bCs/>
                <w:color w:val="auto"/>
                <w:sz w:val="18"/>
                <w:szCs w:val="18"/>
              </w:rPr>
              <w:t>C6: Acórdão nº 3931/2025 do Plenário do TCE-RJ (Processo TCE-RJ nº 217.899-0/2024), Voto do Relator, item 1.14 — Recomendação aos jurisdicionados para instituir formalmente e manter atualizada Política de Classificação da Informação que aborde dados sensíveis e dados de crianças e de adolescentes.</w:t>
            </w:r>
          </w:p>
          <w:p ns2:paraId="2667BB09" ns2:textId="2C1623C1">
            <w:pPr>
              <w:pStyle w:val="1010"/>
              <w:pBdr/>
              <w:spacing w:after="120"/>
              <w:ind/>
              <w:jc w:val="both"/>
              <w:rPr>
                <w:bCs/>
                <w:color w:val="auto"/>
                <w:sz w:val="18"/>
                <w:szCs w:val="18"/>
                <w:vertAlign w:val="superscript"/>
              </w:rPr>
            </w:pPr>
            <w:r>
              <w:rPr>
                <w:bCs/>
                <w:color w:val="auto"/>
                <w:sz w:val="18"/>
                <w:szCs w:val="18"/>
              </w:rPr>
              <w:t>C7: Acórdão nº 3931/2025 do Plenário do TCE-RJ (Processo TCE-RJ nº 217.899-0/2024), Voto do Relator, item 1.13 — Recomendação aos jurisdicionados para avaliar a oportunidade e conveniência de elaborar plano de capacitação e desenvolver ações contínuas de capacitação e conscientização em proteção de dados pessoais.</w:t>
            </w:r>
          </w:p>
          <w:p ns2:paraId="2667BB09" ns2:textId="2C1623C1">
            <w:pPr>
              <w:pStyle w:val="1010"/>
              <w:pBdr/>
              <w:spacing w:after="120"/>
              <w:ind/>
              <w:jc w:val="both"/>
              <w:rPr>
                <w:bCs/>
                <w:color w:val="auto"/>
                <w:sz w:val="18"/>
                <w:szCs w:val="18"/>
                <w:vertAlign w:val="superscript"/>
              </w:rPr>
            </w:pPr>
            <w:r>
              <w:rPr>
                <w:bCs/>
                <w:color w:val="auto"/>
                <w:sz w:val="18"/>
                <w:szCs w:val="18"/>
              </w:rPr>
              <w:t>C8: ABNT NBR ISO/IEC 27701:2019, cláusula 5.3.2 e cláusula 6.2.1.1 — Requer que a política do sistema de gestão da segurança da informação seja estendida por declarações pertinentes à proteção de informações de identificação pessoal e que as políticas de segurança contemplem os requisitos de privacidade aplicáveis.</w:t>
            </w:r>
          </w:p>
          <w:p ns2:paraId="2667BB09" ns2:textId="2C1623C1">
            <w:pPr>
              <w:pStyle w:val="1010"/>
              <w:pBdr/>
              <w:spacing w:after="120"/>
              <w:ind/>
              <w:jc w:val="both"/>
              <w:rPr>
                <w:bCs/>
                <w:color w:val="auto"/>
                <w:sz w:val="18"/>
                <w:szCs w:val="18"/>
                <w:vertAlign w:val="superscript"/>
              </w:rPr>
            </w:pPr>
            <w:r>
              <w:rPr>
                <w:bCs/>
                <w:color w:val="auto"/>
                <w:sz w:val="18"/>
                <w:szCs w:val="18"/>
              </w:rPr>
              <w:t>C9: ABNT NBR ISO/IEC 27002:2022, controle 5.1, controle 5.12 e controle 6.3 — Orienta a definição e revisão das políticas de segurança da informação, a classificação da informação segundo as necessidades de proteção e a realização periódica de conscientização, educação e treinamento em segurança da informação.</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Verificar na resposta à questão Q41[SQ003] se a organização declarou ter formalizado sua Política de Proteção de Dados Pessoais; [IR1]</w:t>
            </w:r>
          </w:p>
          <w:p ns2:paraId="4C6E5B2E" ns2:textId="42100C78">
            <w:pPr>
              <w:pStyle w:val="1010"/>
              <w:pBdr/>
              <w:spacing w:after="120"/>
              <w:ind/>
              <w:jc w:val="both"/>
              <w:rPr>
                <w:b/>
                <w:bCs/>
                <w:color w:val="auto"/>
                <w:sz w:val="18"/>
                <w:szCs w:val="18"/>
              </w:rPr>
            </w:pPr>
            <w:r>
              <w:rPr>
                <w:color w:val="auto"/>
                <w:sz w:val="18"/>
                <w:szCs w:val="18"/>
              </w:rPr>
              <w:t>P1.1: Examinar o documento submetido no item Q411 para avaliar sua autenticidade aparente, aprovação, vigência, publicação, escopo institucional e conteúdo mínimo de proteção de dados pessoais; [IR1]</w:t>
            </w:r>
          </w:p>
          <w:p ns2:paraId="4C6E5B2E" ns2:textId="42100C78">
            <w:pPr>
              <w:pStyle w:val="1010"/>
              <w:pBdr/>
              <w:spacing w:after="120"/>
              <w:ind/>
              <w:jc w:val="both"/>
              <w:rPr>
                <w:b/>
                <w:bCs/>
                <w:color w:val="auto"/>
                <w:sz w:val="18"/>
                <w:szCs w:val="18"/>
              </w:rPr>
            </w:pPr>
            <w:r>
              <w:rPr>
                <w:color w:val="auto"/>
                <w:sz w:val="18"/>
                <w:szCs w:val="18"/>
              </w:rPr>
              <w:t>P2: Verificar nas respostas às questões Q41[SQ001] e Q41[SQ002] se a organização declarou ter instituído a Política de Segurança da Informação e a Política de Classificação da Informação; [IR2]</w:t>
            </w:r>
          </w:p>
          <w:p ns2:paraId="4C6E5B2E" ns2:textId="42100C78">
            <w:pPr>
              <w:pStyle w:val="1010"/>
              <w:pBdr/>
              <w:spacing w:after="120"/>
              <w:ind/>
              <w:jc w:val="both"/>
              <w:rPr>
                <w:b/>
                <w:bCs/>
                <w:color w:val="auto"/>
                <w:sz w:val="18"/>
                <w:szCs w:val="18"/>
              </w:rPr>
            </w:pPr>
            <w:r>
              <w:rPr>
                <w:color w:val="auto"/>
                <w:sz w:val="18"/>
                <w:szCs w:val="18"/>
              </w:rPr>
              <w:t>P2.1: Examinar os documentos submetidos nos itens Q412 e Q413 para avaliar aprovação, vigência, publicação, responsabilidades, controles de segurança e regras de classificação aplicáveis a dados pessoais sensíveis e a dados de crianças e adolescentes; [IR2]</w:t>
            </w:r>
          </w:p>
          <w:p ns2:paraId="4C6E5B2E" ns2:textId="42100C78">
            <w:pPr>
              <w:pStyle w:val="1010"/>
              <w:pBdr/>
              <w:spacing w:after="120"/>
              <w:ind/>
              <w:jc w:val="both"/>
              <w:rPr>
                <w:b/>
                <w:bCs/>
                <w:color w:val="auto"/>
                <w:sz w:val="18"/>
                <w:szCs w:val="18"/>
              </w:rPr>
            </w:pPr>
            <w:r>
              <w:rPr>
                <w:color w:val="auto"/>
                <w:sz w:val="18"/>
                <w:szCs w:val="18"/>
              </w:rPr>
              <w:t>P3: Verificar nas respostas às questões Q51 e Q52 se a organização declarou possuir plano de capacitação e realizar treinamentos que integrem proteção de dados pessoais e transparência; [IR3]</w:t>
            </w:r>
          </w:p>
          <w:p ns2:paraId="4C6E5B2E" ns2:textId="42100C78">
            <w:pPr>
              <w:pStyle w:val="1010"/>
              <w:pBdr/>
              <w:spacing w:after="120"/>
              <w:ind/>
              <w:jc w:val="both"/>
              <w:rPr>
                <w:b/>
                <w:bCs/>
                <w:color w:val="auto"/>
                <w:sz w:val="18"/>
                <w:szCs w:val="18"/>
              </w:rPr>
            </w:pPr>
            <w:r>
              <w:rPr>
                <w:color w:val="auto"/>
                <w:sz w:val="18"/>
                <w:szCs w:val="18"/>
              </w:rPr>
              <w:t>P3.1: Examinar o documento submetido no item Q511 para avaliar aprovação, vigência, público-alvo, conteúdo programático e periodicidade prevista das ações de capacitação; [IR3]</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Registro da resposta à questão Q41[SQ003] sobre a formalização da Política de Proteção de Dados Pessoais; [P1]</w:t>
            </w:r>
          </w:p>
          <w:p ns2:paraId="1E80855F" ns2:textId="1D853748">
            <w:pPr>
              <w:pBdr/>
              <w:spacing w:after="120"/>
              <w:ind/>
              <w:jc w:val="both"/>
              <w:rPr>
                <w:rFonts w:ascii="Arial" w:hAnsi="Arial" w:cs="Arial"/>
                <w:sz w:val="18"/>
                <w:szCs w:val="18"/>
              </w:rPr>
            </w:pPr>
            <w:r>
              <w:rPr>
                <w:rFonts w:ascii="Arial" w:hAnsi="Arial" w:cs="Arial"/>
                <w:sz w:val="18"/>
                <w:szCs w:val="18"/>
              </w:rPr>
              <w:t>E1.1: Resultado da análise da política Q411, com registro de aprovação, vigência, publicação, conteúdo mínimo e eventuais inconsistências com a declaração; [P1.1]</w:t>
            </w:r>
          </w:p>
          <w:p ns2:paraId="1E80855F" ns2:textId="1D853748">
            <w:pPr>
              <w:pBdr/>
              <w:spacing w:after="120"/>
              <w:ind/>
              <w:jc w:val="both"/>
              <w:rPr>
                <w:rFonts w:ascii="Arial" w:hAnsi="Arial" w:cs="Arial"/>
                <w:sz w:val="18"/>
                <w:szCs w:val="18"/>
              </w:rPr>
            </w:pPr>
            <w:r>
              <w:rPr>
                <w:rFonts w:ascii="Arial" w:hAnsi="Arial" w:cs="Arial"/>
                <w:sz w:val="18"/>
                <w:szCs w:val="18"/>
              </w:rPr>
              <w:t>E2: Registro das respostas às questões Q41[SQ001] e Q41[SQ002] sobre a instituição da PSI e da Política de Classificação da Informação; [P2]</w:t>
            </w:r>
          </w:p>
          <w:p ns2:paraId="1E80855F" ns2:textId="1D853748">
            <w:pPr>
              <w:pBdr/>
              <w:spacing w:after="120"/>
              <w:ind/>
              <w:jc w:val="both"/>
              <w:rPr>
                <w:rFonts w:ascii="Arial" w:hAnsi="Arial" w:cs="Arial"/>
                <w:sz w:val="18"/>
                <w:szCs w:val="18"/>
              </w:rPr>
            </w:pPr>
            <w:r>
              <w:rPr>
                <w:rFonts w:ascii="Arial" w:hAnsi="Arial" w:cs="Arial"/>
                <w:sz w:val="18"/>
                <w:szCs w:val="18"/>
              </w:rPr>
              <w:t>E2.1: Resultado da análise das políticas Q412 e Q413, com registro de formalização, conteúdo mínimo e eventuais inconsistências com as declarações; [P2.1]</w:t>
            </w:r>
          </w:p>
          <w:p ns2:paraId="1E80855F" ns2:textId="1D853748">
            <w:pPr>
              <w:pBdr/>
              <w:spacing w:after="120"/>
              <w:ind/>
              <w:jc w:val="both"/>
              <w:rPr>
                <w:rFonts w:ascii="Arial" w:hAnsi="Arial" w:cs="Arial"/>
                <w:sz w:val="18"/>
                <w:szCs w:val="18"/>
              </w:rPr>
            </w:pPr>
            <w:r>
              <w:rPr>
                <w:rFonts w:ascii="Arial" w:hAnsi="Arial" w:cs="Arial"/>
                <w:sz w:val="18"/>
                <w:szCs w:val="18"/>
              </w:rPr>
              <w:t>E3: Registro das respostas às questões Q51 e Q52 sobre o plano de capacitação e os treinamentos realizados; [P3]</w:t>
            </w:r>
          </w:p>
          <w:p ns2:paraId="1E80855F" ns2:textId="1D853748">
            <w:pPr>
              <w:pBdr/>
              <w:spacing w:after="120"/>
              <w:ind/>
              <w:jc w:val="both"/>
              <w:rPr>
                <w:rFonts w:ascii="Arial" w:hAnsi="Arial" w:cs="Arial"/>
                <w:sz w:val="18"/>
                <w:szCs w:val="18"/>
              </w:rPr>
            </w:pPr>
            <w:r>
              <w:rPr>
                <w:rFonts w:ascii="Arial" w:hAnsi="Arial" w:cs="Arial"/>
                <w:sz w:val="18"/>
                <w:szCs w:val="18"/>
              </w:rPr>
              <w:t>E3.1: Resultado da análise do plano Q511, com indicação de aprovação, vigência, abrangência temática, público-alvo, periodicidade e eventuais inconsistências com a declaração; [P3.1]</w:t>
            </w:r>
          </w:p>
        </w:tc>
        <w:tc>
          <w:tcPr>
            <w:tcBorders/>
            <w:tcW w:w="4702" w:type="dxa"/>
            <w:vAlign w:val="center"/>
          </w:tcPr>
          <w:p ns2:paraId="11118515" ns2:textId="02403B9E">
            <w:pPr>
              <w:pBdr/>
              <w:spacing w:after="80"/>
              <w:ind w:firstLine="0" w:left="0"/>
              <w:jc w:val="both"/>
              <w:rPr>
                <w:rFonts w:ascii="Arial" w:hAnsi="Arial" w:cs="Arial"/>
                <w:sz w:val="18"/>
                <w:szCs w:val="18"/>
              </w:rPr>
            </w:pPr>
            <w:r>
              <w:rPr>
                <w:rFonts w:ascii="Arial" w:hAnsi="Arial" w:cs="Arial"/>
                <w:b/>
                <w:bCs/>
                <w:sz w:val="18"/>
                <w:szCs w:val="18"/>
              </w:rPr>
              <w:t>Inexistência ou insuficiência de políticas normativas institucionais e carência de capacitação periódica de servidores em proteção de dados pessoais.</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formalização e publicação de Política de Proteção de Dados Pessoais no âmbito da administração municipal. [R2.1, P1, P1.1, E1, E1.1, C1, C4, C8];</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Inexistência de Política de Segurança da Informação (PSI) ou de Política de Classificação da Informação formalmente instituídas. [R2.1, R2.2, P2, P2.1, E2, E2.1, C2, C5, C6, C9];</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plano de capacitação e de ações periódicas de conscientização de servidores em proteção de dados pessoais e transparência pública. [R2.3, P3, P3.1, E3, E3.1, C3, C7, C9];</w:t>
            </w:r>
          </w:p>
        </w:tc>
      </w:tr>
    </w:tbl>
    <w:p>
      <w:r>
        <w:br w:type="page"/>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Q3: A organização identificou seus processos de negócio com dados pessoais, documentou finalidades e bases legais e instituiu Inventário de Dados Pessoais e Registro das Operações de Tratamento (ROPA)?</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realizou levantamento dos processos de negócio que realizam tratamento de dados pessoais, identificando dados tratados, responsáveis e locais de armazenamento?</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identificou e documentou as finalidades públicas legítimas e as bases legais que autorizam cada operação de tratamento de dados pessoais?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instituiu e mantém atualizado Inventário de Dados Pessoais abrangendo suas principais atividades de tratamento?</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mantém Registro das Operações de Tratamento de Dados Pessoais (ROPA), na forma exigida pelo art. 37 da LGPD?</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avaliou se a coleta de dados pessoais e o tempo de retenção/armazenamento estão limitados ao estritamente necessário (princípios da necessidade e minimização)?</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R3.1: Devido à falta de mapeamento dos processos de negócio e dos locais de armazenamento, a organização desconhecerá o ciclo de vida das informações, o que poderá levar ao extravio de dados ou acessos indevidos, impactando o controle patrimonial da informação municipal.</w:t>
            </w:r>
          </w:p>
          <w:p ns2:paraId="63566D7E" ns2:textId="69F154AC">
            <w:pPr>
              <w:pBdr/>
              <w:spacing w:after="120"/>
              <w:ind/>
              <w:jc w:val="both"/>
              <w:rPr>
                <w:rFonts w:ascii="Arial" w:hAnsi="Arial" w:cs="Arial"/>
                <w:b/>
                <w:sz w:val="20"/>
                <w:szCs w:val="20"/>
              </w:rPr>
            </w:pPr>
            <w:r>
              <w:rPr>
                <w:rFonts w:ascii="Arial" w:hAnsi="Arial" w:cs="Arial"/>
                <w:b/>
                <w:sz w:val="20"/>
                <w:szCs w:val="20"/>
              </w:rPr>
              <w:t>R3.2: Devido à ausência de enquadramento formal nas bases legais da LGPD, poderão ocorrer operações ilegítimas de tratamento de dados de cidadãos, o que poderá levar à anulação de atos administrativos e à responsabilização do gestor, impactando a segurança jurídica.</w:t>
            </w:r>
          </w:p>
          <w:p ns2:paraId="63566D7E" ns2:textId="69F154AC">
            <w:pPr>
              <w:pBdr/>
              <w:spacing w:after="120"/>
              <w:ind/>
              <w:jc w:val="both"/>
              <w:rPr>
                <w:rFonts w:ascii="Arial" w:hAnsi="Arial" w:cs="Arial"/>
                <w:b/>
                <w:sz w:val="20"/>
                <w:szCs w:val="20"/>
              </w:rPr>
            </w:pPr>
            <w:r>
              <w:rPr>
                <w:rFonts w:ascii="Arial" w:hAnsi="Arial" w:cs="Arial"/>
                <w:b/>
                <w:sz w:val="20"/>
                <w:szCs w:val="20"/>
              </w:rPr>
              <w:t>R3.3: Devido à inexistência de Inventário de Dados Pessoais e de Registro das Operações (ROPA), a prefeitura não demonstrará conformidade à fiscalização e descumprirá dever legal expresso, o que poderá levar a sanções regulatórias da ANPD e determinações do TCE-RJ, impactando a governança.</w:t>
            </w:r>
          </w:p>
          <w:p ns2:paraId="63566D7E" ns2:textId="69F154AC">
            <w:pPr>
              <w:pBdr/>
              <w:spacing w:after="120"/>
              <w:ind/>
              <w:jc w:val="both"/>
              <w:rPr>
                <w:rFonts w:ascii="Arial" w:hAnsi="Arial" w:cs="Arial"/>
                <w:b/>
                <w:sz w:val="20"/>
                <w:szCs w:val="20"/>
              </w:rPr>
            </w:pPr>
            <w:r>
              <w:rPr>
                <w:rFonts w:ascii="Arial" w:hAnsi="Arial" w:cs="Arial"/>
                <w:b/>
                <w:sz w:val="20"/>
                <w:szCs w:val="20"/>
              </w:rPr>
              <w:t>R3.4: Devido à inobservância dos princípios da minimização e limitação de retenção, poderá haver acúmulo desnecessário de dados obsoletos, o que poderá levar ao aumento desnecessário da superfície de risco de vazamentos, impactando a segurança institucional.</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POSSÍVEIS ACHADOS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Gestores municipais responsáveis pelos processos de negócio e pela governança em privacidade.</w:t>
            </w:r>
          </w:p>
          <w:p ns2:paraId="07477FA7" ns2:textId="4BBAC042">
            <w:pPr>
              <w:pBdr/>
              <w:spacing w:after="120"/>
              <w:ind/>
              <w:jc w:val="both"/>
              <w:rPr>
                <w:rFonts w:ascii="Arial" w:hAnsi="Arial" w:cs="Arial"/>
                <w:sz w:val="18"/>
                <w:szCs w:val="18"/>
              </w:rPr>
            </w:pPr>
            <w:r>
              <w:rPr>
                <w:rFonts w:ascii="Arial" w:hAnsi="Arial" w:cs="Arial"/>
                <w:sz w:val="18"/>
                <w:szCs w:val="18"/>
              </w:rPr>
              <w:t>F2: Unidades administrativas das prefeituras responsáveis pelo Inventário de Dados Pessoais e pelo Registro das Operações de Tratamento.</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Resposta e registros sobre iniciativas de identificação de processos, dados tratados e locais de armazenamento; [F1, F2, Q31[SQ006], Q31[SQ007], Q31[SQ008]]</w:t>
            </w:r>
          </w:p>
          <w:p ns2:paraId="1DD0E491" ns2:textId="77777777">
            <w:pPr>
              <w:pBdr/>
              <w:spacing w:after="120"/>
              <w:ind/>
              <w:jc w:val="both"/>
              <w:rPr>
                <w:rFonts w:ascii="Arial" w:hAnsi="Arial" w:cs="Arial"/>
                <w:b/>
                <w:bCs/>
                <w:sz w:val="18"/>
                <w:szCs w:val="18"/>
              </w:rPr>
            </w:pPr>
            <w:r>
              <w:rPr>
                <w:rFonts w:ascii="Arial" w:hAnsi="Arial" w:cs="Arial"/>
                <w:sz w:val="18"/>
                <w:szCs w:val="18"/>
              </w:rPr>
              <w:t>IR2: Resposta sobre documentação de finalidades, minimização, retenção e bases legais; [F1, Q61[SQ001], Q61[SQ002], Q61[SQ003], Q61[SQ004]]</w:t>
            </w:r>
          </w:p>
          <w:p ns2:paraId="1DD0E491" ns2:textId="77777777">
            <w:pPr>
              <w:pBdr/>
              <w:spacing w:after="120"/>
              <w:ind/>
              <w:jc w:val="both"/>
              <w:rPr>
                <w:rFonts w:ascii="Arial" w:hAnsi="Arial" w:cs="Arial"/>
                <w:b/>
                <w:bCs/>
                <w:sz w:val="18"/>
                <w:szCs w:val="18"/>
              </w:rPr>
            </w:pPr>
            <w:r>
              <w:rPr>
                <w:rFonts w:ascii="Arial" w:hAnsi="Arial" w:cs="Arial"/>
                <w:sz w:val="18"/>
                <w:szCs w:val="18"/>
              </w:rPr>
              <w:t>IR3: Resposta e documento comprobatório do Inventário de Dados Pessoais; [F1, F2, Q61[SQ005], Q61[SQ006], Q612]</w:t>
            </w:r>
          </w:p>
          <w:p ns2:paraId="1DD0E491" ns2:textId="77777777">
            <w:pPr>
              <w:pBdr/>
              <w:spacing w:after="120"/>
              <w:ind/>
              <w:jc w:val="both"/>
              <w:rPr>
                <w:rFonts w:ascii="Arial" w:hAnsi="Arial" w:cs="Arial"/>
                <w:b/>
                <w:bCs/>
                <w:sz w:val="18"/>
                <w:szCs w:val="18"/>
              </w:rPr>
            </w:pPr>
            <w:r>
              <w:rPr>
                <w:rFonts w:ascii="Arial" w:hAnsi="Arial" w:cs="Arial"/>
                <w:sz w:val="18"/>
                <w:szCs w:val="18"/>
              </w:rPr>
              <w:t>IR4: Resposta sobre a manutenção de Registro das Operações de Tratamento (ROPA); [F1, Q61[SQ007]]</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C1: Lei Federal nº 13.709/2018 (LGPD), art. 37 — Obrigação legal do controlador e do operador de manter registro das operações de tratamento de dados pessoais que realizarem (ROPA).</w:t>
            </w:r>
          </w:p>
          <w:p ns2:paraId="2667BB09" ns2:textId="2C1623C1">
            <w:pPr>
              <w:pStyle w:val="1010"/>
              <w:pBdr/>
              <w:spacing w:after="120"/>
              <w:ind/>
              <w:jc w:val="both"/>
              <w:rPr>
                <w:bCs/>
                <w:color w:val="auto"/>
                <w:sz w:val="18"/>
                <w:szCs w:val="18"/>
                <w:vertAlign w:val="superscript"/>
              </w:rPr>
            </w:pPr>
            <w:r>
              <w:rPr>
                <w:bCs/>
                <w:color w:val="auto"/>
                <w:sz w:val="18"/>
                <w:szCs w:val="18"/>
              </w:rPr>
              <w:t>C2: Lei Federal nº 13.709/2018 (LGPD), arts. 6º, I e III, 7º, III, e 11, II, "b" — Princípios da finalidade e da necessidade (minimização), e hipóteses legais que autorizam o tratamento pelo poder público para execução de políticas públicas e cumprimento de obrigação legal.</w:t>
            </w:r>
          </w:p>
          <w:p ns2:paraId="2667BB09" ns2:textId="2C1623C1">
            <w:pPr>
              <w:pStyle w:val="1010"/>
              <w:pBdr/>
              <w:spacing w:after="120"/>
              <w:ind/>
              <w:jc w:val="both"/>
              <w:rPr>
                <w:bCs/>
                <w:color w:val="auto"/>
                <w:sz w:val="18"/>
                <w:szCs w:val="18"/>
                <w:vertAlign w:val="superscript"/>
              </w:rPr>
            </w:pPr>
            <w:r>
              <w:rPr>
                <w:bCs/>
                <w:color w:val="auto"/>
                <w:sz w:val="18"/>
                <w:szCs w:val="18"/>
              </w:rPr>
              <w:t>C3: Lei Federal nº 13.709/2018 (LGPD), art. 50, § 2º, I — Programa de governança em privacidade que assegure a conformidade e a estruturação de inventários de dados e registros operacionais.</w:t>
            </w:r>
          </w:p>
          <w:p ns2:paraId="2667BB09" ns2:textId="2C1623C1">
            <w:pPr>
              <w:pStyle w:val="1010"/>
              <w:pBdr/>
              <w:spacing w:after="120"/>
              <w:ind/>
              <w:jc w:val="both"/>
              <w:rPr>
                <w:bCs/>
                <w:color w:val="auto"/>
                <w:sz w:val="18"/>
                <w:szCs w:val="18"/>
                <w:vertAlign w:val="superscript"/>
              </w:rPr>
            </w:pPr>
            <w:r>
              <w:rPr>
                <w:bCs/>
                <w:color w:val="auto"/>
                <w:sz w:val="18"/>
                <w:szCs w:val="18"/>
              </w:rPr>
              <w:t>C4: Acórdão nº 3931/2025 do Plenário do TCE-RJ (Processo TCE-RJ nº 217.899-0/2024), Voto do Relator, item 1.4 — Determinação aos jurisdicionados para elaborar e manter Inventário de Dados Pessoais constando minimamente: serviços/processos de negócio; encarregado e agentes; finalidades, hipóteses de tratamento e previsões legais; categorias de dados e titulares; e compartilhamento com terceiros.</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Verificar nas respostas aos itens Q31[SQ006], Q31[SQ007] e Q31[SQ008] se a organização declarou ter identificado os processos de negócio, os dados pessoais tratados e os locais de armazenamento; [IR1]</w:t>
            </w:r>
          </w:p>
          <w:p ns2:paraId="4C6E5B2E" ns2:textId="42100C78">
            <w:pPr>
              <w:pStyle w:val="1010"/>
              <w:pBdr/>
              <w:spacing w:after="120"/>
              <w:ind/>
              <w:jc w:val="both"/>
              <w:rPr>
                <w:b/>
                <w:bCs/>
                <w:color w:val="auto"/>
                <w:sz w:val="18"/>
                <w:szCs w:val="18"/>
              </w:rPr>
            </w:pPr>
            <w:r>
              <w:rPr>
                <w:color w:val="auto"/>
                <w:sz w:val="18"/>
                <w:szCs w:val="18"/>
              </w:rPr>
              <w:t>P1.1: Examinar o Inventário de Dados Pessoais submetido no item Q612 para avaliar se identifica processos, dados tratados, responsáveis e locais de armazenamento de forma compatível com as declarações; [IR1]</w:t>
            </w:r>
          </w:p>
          <w:p ns2:paraId="4C6E5B2E" ns2:textId="42100C78">
            <w:pPr>
              <w:pStyle w:val="1010"/>
              <w:pBdr/>
              <w:spacing w:after="120"/>
              <w:ind/>
              <w:jc w:val="both"/>
              <w:rPr>
                <w:b/>
                <w:bCs/>
                <w:color w:val="auto"/>
                <w:sz w:val="18"/>
                <w:szCs w:val="18"/>
              </w:rPr>
            </w:pPr>
            <w:r>
              <w:rPr>
                <w:color w:val="auto"/>
                <w:sz w:val="18"/>
                <w:szCs w:val="18"/>
              </w:rPr>
              <w:t>P2: Verificar nas respostas aos itens Q61[SQ001] a Q61[SQ004] se a organização declarou ter documentado as finalidades públicas e as bases legais e avaliado a minimização e o tempo de retenção; [IR2]</w:t>
            </w:r>
          </w:p>
          <w:p ns2:paraId="4C6E5B2E" ns2:textId="42100C78">
            <w:pPr>
              <w:pStyle w:val="1010"/>
              <w:pBdr/>
              <w:spacing w:after="120"/>
              <w:ind/>
              <w:jc w:val="both"/>
              <w:rPr>
                <w:b/>
                <w:bCs/>
                <w:color w:val="auto"/>
                <w:sz w:val="18"/>
                <w:szCs w:val="18"/>
              </w:rPr>
            </w:pPr>
            <w:r>
              <w:rPr>
                <w:color w:val="auto"/>
                <w:sz w:val="18"/>
                <w:szCs w:val="18"/>
              </w:rPr>
              <w:t>P3: Verificar nas respostas aos itens Q61[SQ005] e Q61[SQ006] se a organização declarou possuir e manter atualizado o Inventário de Dados Pessoais; [IR3]</w:t>
            </w:r>
          </w:p>
          <w:p ns2:paraId="4C6E5B2E" ns2:textId="42100C78">
            <w:pPr>
              <w:pStyle w:val="1010"/>
              <w:pBdr/>
              <w:spacing w:after="120"/>
              <w:ind/>
              <w:jc w:val="both"/>
              <w:rPr>
                <w:b/>
                <w:bCs/>
                <w:color w:val="auto"/>
                <w:sz w:val="18"/>
                <w:szCs w:val="18"/>
              </w:rPr>
            </w:pPr>
            <w:r>
              <w:rPr>
                <w:color w:val="auto"/>
                <w:sz w:val="18"/>
                <w:szCs w:val="18"/>
              </w:rPr>
              <w:t>P3.1: Examinar o documento submetido no item Q612 para avaliar aprovação, vigência, atualização e abrangência quanto a processos, finalidades, bases legais, categorias de dados e titulares, responsáveis, armazenamento e compartilhamentos; [IR3]</w:t>
            </w:r>
          </w:p>
          <w:p ns2:paraId="4C6E5B2E" ns2:textId="42100C78">
            <w:pPr>
              <w:pStyle w:val="1010"/>
              <w:pBdr/>
              <w:spacing w:after="120"/>
              <w:ind/>
              <w:jc w:val="both"/>
              <w:rPr>
                <w:b/>
                <w:bCs/>
                <w:color w:val="auto"/>
                <w:sz w:val="18"/>
                <w:szCs w:val="18"/>
              </w:rPr>
            </w:pPr>
            <w:r>
              <w:rPr>
                <w:color w:val="auto"/>
                <w:sz w:val="18"/>
                <w:szCs w:val="18"/>
              </w:rPr>
              <w:t>P4: Verificar na resposta ao item Q61[SQ007] se a organização declarou manter formalmente o Registro das Operações de Tratamento (ROPA); [IR4]</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Registro das respostas aos itens Q31[SQ006], Q31[SQ007] e Q31[SQ008] sobre processos, dados tratados e locais de armazenamento; [P1]</w:t>
            </w:r>
          </w:p>
          <w:p ns2:paraId="1E80855F" ns2:textId="1D853748">
            <w:pPr>
              <w:pBdr/>
              <w:spacing w:after="120"/>
              <w:ind/>
              <w:jc w:val="both"/>
              <w:rPr>
                <w:rFonts w:ascii="Arial" w:hAnsi="Arial" w:cs="Arial"/>
                <w:sz w:val="18"/>
                <w:szCs w:val="18"/>
              </w:rPr>
            </w:pPr>
            <w:r>
              <w:rPr>
                <w:rFonts w:ascii="Arial" w:hAnsi="Arial" w:cs="Arial"/>
                <w:sz w:val="18"/>
                <w:szCs w:val="18"/>
              </w:rPr>
              <w:t>E1.1: Resultado do exame do Inventário Q612 quanto à identificação dos processos, dados, responsáveis e locais de armazenamento e à consistência com as declarações; [P1.1]</w:t>
            </w:r>
          </w:p>
          <w:p ns2:paraId="1E80855F" ns2:textId="1D853748">
            <w:pPr>
              <w:pBdr/>
              <w:spacing w:after="120"/>
              <w:ind/>
              <w:jc w:val="both"/>
              <w:rPr>
                <w:rFonts w:ascii="Arial" w:hAnsi="Arial" w:cs="Arial"/>
                <w:sz w:val="18"/>
                <w:szCs w:val="18"/>
              </w:rPr>
            </w:pPr>
            <w:r>
              <w:rPr>
                <w:rFonts w:ascii="Arial" w:hAnsi="Arial" w:cs="Arial"/>
                <w:sz w:val="18"/>
                <w:szCs w:val="18"/>
              </w:rPr>
              <w:t>E2: Registro das respostas aos itens Q61[SQ001] a Q61[SQ004] sobre finalidades, bases legais, minimização e tempo de retenção; [P2]</w:t>
            </w:r>
          </w:p>
          <w:p ns2:paraId="1E80855F" ns2:textId="1D853748">
            <w:pPr>
              <w:pBdr/>
              <w:spacing w:after="120"/>
              <w:ind/>
              <w:jc w:val="both"/>
              <w:rPr>
                <w:rFonts w:ascii="Arial" w:hAnsi="Arial" w:cs="Arial"/>
                <w:sz w:val="18"/>
                <w:szCs w:val="18"/>
              </w:rPr>
            </w:pPr>
            <w:r>
              <w:rPr>
                <w:rFonts w:ascii="Arial" w:hAnsi="Arial" w:cs="Arial"/>
                <w:sz w:val="18"/>
                <w:szCs w:val="18"/>
              </w:rPr>
              <w:t>E3: Registro das respostas aos itens Q61[SQ005] e Q61[SQ006] sobre existência e atualização do Inventário de Dados Pessoais; [P3]</w:t>
            </w:r>
          </w:p>
          <w:p ns2:paraId="1E80855F" ns2:textId="1D853748">
            <w:pPr>
              <w:pBdr/>
              <w:spacing w:after="120"/>
              <w:ind/>
              <w:jc w:val="both"/>
              <w:rPr>
                <w:rFonts w:ascii="Arial" w:hAnsi="Arial" w:cs="Arial"/>
                <w:sz w:val="18"/>
                <w:szCs w:val="18"/>
              </w:rPr>
            </w:pPr>
            <w:r>
              <w:rPr>
                <w:rFonts w:ascii="Arial" w:hAnsi="Arial" w:cs="Arial"/>
                <w:sz w:val="18"/>
                <w:szCs w:val="18"/>
              </w:rPr>
              <w:t>E3.1: Resultado da análise do documento Q612, com registro de aprovação, vigência, atualização, abrangência e eventuais inconsistências com as declarações; [P3.1]</w:t>
            </w:r>
          </w:p>
          <w:p ns2:paraId="1E80855F" ns2:textId="1D853748">
            <w:pPr>
              <w:pBdr/>
              <w:spacing w:after="120"/>
              <w:ind/>
              <w:jc w:val="both"/>
              <w:rPr>
                <w:rFonts w:ascii="Arial" w:hAnsi="Arial" w:cs="Arial"/>
                <w:sz w:val="18"/>
                <w:szCs w:val="18"/>
              </w:rPr>
            </w:pPr>
            <w:r>
              <w:rPr>
                <w:rFonts w:ascii="Arial" w:hAnsi="Arial" w:cs="Arial"/>
                <w:sz w:val="18"/>
                <w:szCs w:val="18"/>
              </w:rPr>
              <w:t>E4: Registro da resposta ao item Q61[SQ007] sobre a manutenção formal do ROPA; [P4]</w:t>
            </w:r>
          </w:p>
        </w:tc>
        <w:tc>
          <w:tcPr>
            <w:tcBorders/>
            <w:tcW w:w="4702" w:type="dxa"/>
            <w:vAlign w:val="center"/>
          </w:tcPr>
          <w:p ns2:paraId="11118515" ns2:textId="02403B9E">
            <w:pPr>
              <w:pBdr/>
              <w:spacing w:after="80"/>
              <w:ind w:firstLine="0" w:left="0"/>
              <w:jc w:val="both"/>
              <w:rPr>
                <w:rFonts w:ascii="Arial" w:hAnsi="Arial" w:cs="Arial"/>
                <w:sz w:val="18"/>
                <w:szCs w:val="18"/>
              </w:rPr>
            </w:pPr>
            <w:r>
              <w:rPr>
                <w:rFonts w:ascii="Arial" w:hAnsi="Arial" w:cs="Arial"/>
                <w:b/>
                <w:bCs/>
                <w:sz w:val="18"/>
                <w:szCs w:val="18"/>
              </w:rPr>
              <w:t>Ausência de mapeamento das atividades de tratamento, inexistência de Inventário de Dados Pessoais e descumprimento da manutenção do Registro das Operações (ROPA).</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Inexistência de Inventário de Dados Pessoais instituído para consolidar as características das atividades de tratamento. [R3.1, R3.3, P1, P1.1, P3, P3.1, E1, E1.1, E3, E3.1, C3, C4];</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identificação e documentação das finalidades e das bases legais para as atividades de tratamento de dados pessoais. [R3.2, P2, E2, C2, C4];</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manutenção de Registro das Operações de Tratamento de Dados Pessoais (ROPA), em descumprimento ao art. 37 da LGPD. [R3.3, P4, E4, C1, C4];</w:t>
            </w:r>
          </w:p>
        </w:tc>
      </w:tr>
    </w:tbl>
    <w:p>
      <w:r>
        <w:br w:type="page"/>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Q4: A organização avaliou os riscos aos processos de tratamento e elaborou Relatório de Impacto à Proteção de Dados Pessoais (RIPD)?</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conduziu iniciativas para identificar e avaliar os riscos associados aos processos de tratamento de dados pessoais?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elaborou Relatório de Impacto à Proteção de Dados Pessoais (RIPD), nos termos do art. 5º, XVII, e art. 38 da LGPD?</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Foram implementados controles mitigadores para os riscos identificados por meio da elaboração do RIPD?</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R4.1: Devido à ausência de identificação e avaliação de riscos aos processos de tratamento, vulnerabilidades críticas permanecerão ocultas, o que poderá levar à materialização de incidentes graves, impactando a continuidade dos serviços públicos municipais.</w:t>
            </w:r>
          </w:p>
          <w:p ns2:paraId="63566D7E" ns2:textId="69F154AC">
            <w:pPr>
              <w:pBdr/>
              <w:spacing w:after="120"/>
              <w:ind/>
              <w:jc w:val="both"/>
              <w:rPr>
                <w:rFonts w:ascii="Arial" w:hAnsi="Arial" w:cs="Arial"/>
                <w:b/>
                <w:sz w:val="20"/>
                <w:szCs w:val="20"/>
              </w:rPr>
            </w:pPr>
            <w:r>
              <w:rPr>
                <w:rFonts w:ascii="Arial" w:hAnsi="Arial" w:cs="Arial"/>
                <w:b/>
                <w:sz w:val="20"/>
                <w:szCs w:val="20"/>
              </w:rPr>
              <w:t>R4.2: Devido à falta de elaboração de Relatório de Impacto à Proteção de Dados (RIPD), tratamentos de alto risco e dados sensíveis serão executados sem salvaguardas adequadas, o que poderá levar a sanções por descumprimento ao art. 38 da LGPD, impactando a conformidade legal.</w:t>
            </w:r>
          </w:p>
          <w:p ns2:paraId="63566D7E" ns2:textId="69F154AC">
            <w:pPr>
              <w:pBdr/>
              <w:spacing w:after="120"/>
              <w:ind/>
              <w:jc w:val="both"/>
              <w:rPr>
                <w:rFonts w:ascii="Arial" w:hAnsi="Arial" w:cs="Arial"/>
                <w:b/>
                <w:sz w:val="20"/>
                <w:szCs w:val="20"/>
              </w:rPr>
            </w:pPr>
            <w:r>
              <w:rPr>
                <w:rFonts w:ascii="Arial" w:hAnsi="Arial" w:cs="Arial"/>
                <w:b/>
                <w:sz w:val="20"/>
                <w:szCs w:val="20"/>
              </w:rPr>
              <w:t>R4.3: Devido à não implementação de controles mitigadores dos riscos identificados no RIPD, as análises de risco restarão inócuas, o que poderá levar à repetição de falhas conhecidas, impactando a proteção efetiva dos titulares.</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POSSÍVEIS ACHADOS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Gestores municipais responsáveis pela gestão de riscos e pela governança em privacidade.</w:t>
            </w:r>
          </w:p>
          <w:p ns2:paraId="07477FA7" ns2:textId="4BBAC042">
            <w:pPr>
              <w:pBdr/>
              <w:spacing w:after="120"/>
              <w:ind/>
              <w:jc w:val="both"/>
              <w:rPr>
                <w:rFonts w:ascii="Arial" w:hAnsi="Arial" w:cs="Arial"/>
                <w:sz w:val="18"/>
                <w:szCs w:val="18"/>
              </w:rPr>
            </w:pPr>
            <w:r>
              <w:rPr>
                <w:rFonts w:ascii="Arial" w:hAnsi="Arial" w:cs="Arial"/>
                <w:sz w:val="18"/>
                <w:szCs w:val="18"/>
              </w:rPr>
              <w:t>F2: Unidades administrativas das prefeituras responsáveis pela gestão dos riscos à privacidade, pela implementação dos controles mitigadores e pela elaboração e custódia dos Relatórios de Impacto à Proteção de Dados Pessoais.</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Resposta e registros sobre a condução de iniciativas de identificação e avaliação de riscos a processos de tratamento; [F1, F2, Q31[SQ009], Q31riscoevi]</w:t>
            </w:r>
          </w:p>
          <w:p ns2:paraId="1DD0E491" ns2:textId="77777777">
            <w:pPr>
              <w:pBdr/>
              <w:spacing w:after="120"/>
              <w:ind/>
              <w:jc w:val="both"/>
              <w:rPr>
                <w:rFonts w:ascii="Arial" w:hAnsi="Arial" w:cs="Arial"/>
                <w:b/>
                <w:bCs/>
                <w:sz w:val="18"/>
                <w:szCs w:val="18"/>
              </w:rPr>
            </w:pPr>
            <w:r>
              <w:rPr>
                <w:rFonts w:ascii="Arial" w:hAnsi="Arial" w:cs="Arial"/>
                <w:sz w:val="18"/>
                <w:szCs w:val="18"/>
              </w:rPr>
              <w:t>IR2: Resposta e documento comprobatório de Relatório de Impacto à Proteção de Dados Pessoais (RIPD); [F1, F2, Q61[SQ008], Q611]</w:t>
            </w:r>
          </w:p>
          <w:p ns2:paraId="1DD0E491" ns2:textId="77777777">
            <w:pPr>
              <w:pBdr/>
              <w:spacing w:after="120"/>
              <w:ind/>
              <w:jc w:val="both"/>
              <w:rPr>
                <w:rFonts w:ascii="Arial" w:hAnsi="Arial" w:cs="Arial"/>
                <w:b/>
                <w:bCs/>
                <w:sz w:val="18"/>
                <w:szCs w:val="18"/>
              </w:rPr>
            </w:pPr>
            <w:r>
              <w:rPr>
                <w:rFonts w:ascii="Arial" w:hAnsi="Arial" w:cs="Arial"/>
                <w:sz w:val="18"/>
                <w:szCs w:val="18"/>
              </w:rPr>
              <w:t>IR3: Resposta e registros sobre a implementação de controles para mitigar riscos identificados no RIPD; [F1, F2, Q61[SQ009], Q61controleevi]</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C1: Lei Federal nº 13.709/2018 (LGPD), art. 5º, XVII, e art. 38, parágrafo único — Definição e obrigatoriedade de elaboração do Relatório de Impacto à Proteção de Dados Pessoais (RIPD) para operações de tratamento de dados que possam gerar riscos às liberdades civis e direitos fundamentais.</w:t>
            </w:r>
          </w:p>
          <w:p ns2:paraId="2667BB09" ns2:textId="2C1623C1">
            <w:pPr>
              <w:pStyle w:val="1010"/>
              <w:pBdr/>
              <w:spacing w:after="120"/>
              <w:ind/>
              <w:jc w:val="both"/>
              <w:rPr>
                <w:bCs/>
                <w:color w:val="auto"/>
                <w:sz w:val="18"/>
                <w:szCs w:val="18"/>
                <w:vertAlign w:val="superscript"/>
              </w:rPr>
            </w:pPr>
            <w:r>
              <w:rPr>
                <w:bCs/>
                <w:color w:val="auto"/>
                <w:sz w:val="18"/>
                <w:szCs w:val="18"/>
              </w:rPr>
              <w:t>C2: Lei Federal nº 13.709/2018 (LGPD), art. 50, caput — Governança e gerenciamento contínuo de riscos no tratamento de dados pessoais.</w:t>
            </w:r>
          </w:p>
          <w:p ns2:paraId="2667BB09" ns2:textId="2C1623C1">
            <w:pPr>
              <w:pStyle w:val="1010"/>
              <w:pBdr/>
              <w:spacing w:after="120"/>
              <w:ind/>
              <w:jc w:val="both"/>
              <w:rPr>
                <w:bCs/>
                <w:color w:val="auto"/>
                <w:sz w:val="18"/>
                <w:szCs w:val="18"/>
                <w:vertAlign w:val="superscript"/>
              </w:rPr>
            </w:pPr>
            <w:r>
              <w:rPr>
                <w:bCs/>
                <w:color w:val="auto"/>
                <w:sz w:val="18"/>
                <w:szCs w:val="18"/>
              </w:rPr>
              <w:t>C3: Acórdão nº 3931/2025 do Plenário do TCE-RJ (Processo TCE-RJ nº 217.899-0/2024), Voto do Relator, item 1.9 — Determinação aos jurisdicionados para elaborar Relatório de Impacto à Proteção de Dados Pessoais (RIPD), conforme disposto no art. 5º, XVII, e art. 38, parágrafo único, da LGPD, em consonância com as atividades registradas no Inventário de Dados Pessoais.</w:t>
            </w:r>
          </w:p>
          <w:p ns2:paraId="2667BB09" ns2:textId="2C1623C1">
            <w:pPr>
              <w:pStyle w:val="1010"/>
              <w:pBdr/>
              <w:spacing w:after="120"/>
              <w:ind/>
              <w:jc w:val="both"/>
              <w:rPr>
                <w:bCs/>
                <w:color w:val="auto"/>
                <w:sz w:val="18"/>
                <w:szCs w:val="18"/>
                <w:vertAlign w:val="superscript"/>
              </w:rPr>
            </w:pPr>
            <w:r>
              <w:rPr>
                <w:bCs/>
                <w:color w:val="auto"/>
                <w:sz w:val="18"/>
                <w:szCs w:val="18"/>
              </w:rPr>
              <w:t>C4: ABNT NBR ISO/IEC 27701:2019, cláusula 5.4.1.2, cláusula 5.4.1.3 e cláusula 7.2.5 — Requer avaliação e tratamento dos riscos de segurança da informação relacionados à privacidade e avaliação de impacto à privacidade para novos tratamentos ou alterações em tratamentos existentes de informações de identificação pessoal.</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Verificar na resposta à questão Q31[SQ009] se a organização declarou ter identificado e avaliado os riscos associados aos processos de tratamento de dados pessoais; [IR1]</w:t>
            </w:r>
          </w:p>
          <w:p ns2:paraId="4C6E5B2E" ns2:textId="42100C78">
            <w:pPr>
              <w:pStyle w:val="1010"/>
              <w:pBdr/>
              <w:spacing w:after="120"/>
              <w:ind/>
              <w:jc w:val="both"/>
              <w:rPr>
                <w:b/>
                <w:bCs/>
                <w:color w:val="auto"/>
                <w:sz w:val="18"/>
                <w:szCs w:val="18"/>
              </w:rPr>
            </w:pPr>
            <w:r>
              <w:rPr>
                <w:color w:val="auto"/>
                <w:sz w:val="18"/>
                <w:szCs w:val="18"/>
              </w:rPr>
              <w:t>P1.1: Examinar as matrizes, os relatórios ou os registros de riscos submetidos no item Q31riscoevi para avaliar escopo, metodologia, identificação, análise, avaliação, responsáveis e consistência com a declaração; [IR1]</w:t>
            </w:r>
          </w:p>
          <w:p ns2:paraId="4C6E5B2E" ns2:textId="42100C78">
            <w:pPr>
              <w:pStyle w:val="1010"/>
              <w:pBdr/>
              <w:spacing w:after="120"/>
              <w:ind/>
              <w:jc w:val="both"/>
              <w:rPr>
                <w:b/>
                <w:bCs/>
                <w:color w:val="auto"/>
                <w:sz w:val="18"/>
                <w:szCs w:val="18"/>
              </w:rPr>
            </w:pPr>
            <w:r>
              <w:rPr>
                <w:color w:val="auto"/>
                <w:sz w:val="18"/>
                <w:szCs w:val="18"/>
              </w:rPr>
              <w:t>P2: Verificar na resposta à questão Q61[SQ008] se a organização declarou ter elaborado Relatório de Impacto à Proteção de Dados Pessoais; [IR2]</w:t>
            </w:r>
          </w:p>
          <w:p ns2:paraId="4C6E5B2E" ns2:textId="42100C78">
            <w:pPr>
              <w:pStyle w:val="1010"/>
              <w:pBdr/>
              <w:spacing w:after="120"/>
              <w:ind/>
              <w:jc w:val="both"/>
              <w:rPr>
                <w:b/>
                <w:bCs/>
                <w:color w:val="auto"/>
                <w:sz w:val="18"/>
                <w:szCs w:val="18"/>
              </w:rPr>
            </w:pPr>
            <w:r>
              <w:rPr>
                <w:color w:val="auto"/>
                <w:sz w:val="18"/>
                <w:szCs w:val="18"/>
              </w:rPr>
              <w:t>P2.1: Examinar o documento submetido no item Q611 para avaliar autenticidade aparente, aprovação, vigência, vinculação às operações inventariadas e presença dos elementos mínimos do RIPD; [IR2]</w:t>
            </w:r>
          </w:p>
          <w:p ns2:paraId="4C6E5B2E" ns2:textId="42100C78">
            <w:pPr>
              <w:pStyle w:val="1010"/>
              <w:pBdr/>
              <w:spacing w:after="120"/>
              <w:ind/>
              <w:jc w:val="both"/>
              <w:rPr>
                <w:b/>
                <w:bCs/>
                <w:color w:val="auto"/>
                <w:sz w:val="18"/>
                <w:szCs w:val="18"/>
              </w:rPr>
            </w:pPr>
            <w:r>
              <w:rPr>
                <w:color w:val="auto"/>
                <w:sz w:val="18"/>
                <w:szCs w:val="18"/>
              </w:rPr>
              <w:t>P3: Verificar na resposta à questão Q61[SQ009] se a organização declarou ter implementado controles para mitigar os riscos identificados no RIPD; [IR3]</w:t>
            </w:r>
          </w:p>
          <w:p ns2:paraId="4C6E5B2E" ns2:textId="42100C78">
            <w:pPr>
              <w:pStyle w:val="1010"/>
              <w:pBdr/>
              <w:spacing w:after="120"/>
              <w:ind/>
              <w:jc w:val="both"/>
              <w:rPr>
                <w:b/>
                <w:bCs/>
                <w:color w:val="auto"/>
                <w:sz w:val="18"/>
                <w:szCs w:val="18"/>
              </w:rPr>
            </w:pPr>
            <w:r>
              <w:rPr>
                <w:color w:val="auto"/>
                <w:sz w:val="18"/>
                <w:szCs w:val="18"/>
              </w:rPr>
              <w:t>P3.1: Examinar os planos de tratamento e os registros de implantação e monitoramento submetidos no item Q61controleevi para avaliar a implementação, o responsável, o prazo, o estado e a efetividade documentada dos controles mitigadores; [IR3]</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Registro da resposta à questão Q31[SQ009] sobre identificação e avaliação dos riscos associados aos tratamentos; [P1]</w:t>
            </w:r>
          </w:p>
          <w:p ns2:paraId="1E80855F" ns2:textId="1D853748">
            <w:pPr>
              <w:pBdr/>
              <w:spacing w:after="120"/>
              <w:ind/>
              <w:jc w:val="both"/>
              <w:rPr>
                <w:rFonts w:ascii="Arial" w:hAnsi="Arial" w:cs="Arial"/>
                <w:sz w:val="18"/>
                <w:szCs w:val="18"/>
              </w:rPr>
            </w:pPr>
            <w:r>
              <w:rPr>
                <w:rFonts w:ascii="Arial" w:hAnsi="Arial" w:cs="Arial"/>
                <w:sz w:val="18"/>
                <w:szCs w:val="18"/>
              </w:rPr>
              <w:t>E1.1: Resultado do exame do documento Q31riscoevi, com indicação de escopo, metodologia, completude e eventuais inconsistências com a declaração; [P1.1]</w:t>
            </w:r>
          </w:p>
          <w:p ns2:paraId="1E80855F" ns2:textId="1D853748">
            <w:pPr>
              <w:pBdr/>
              <w:spacing w:after="120"/>
              <w:ind/>
              <w:jc w:val="both"/>
              <w:rPr>
                <w:rFonts w:ascii="Arial" w:hAnsi="Arial" w:cs="Arial"/>
                <w:sz w:val="18"/>
                <w:szCs w:val="18"/>
              </w:rPr>
            </w:pPr>
            <w:r>
              <w:rPr>
                <w:rFonts w:ascii="Arial" w:hAnsi="Arial" w:cs="Arial"/>
                <w:sz w:val="18"/>
                <w:szCs w:val="18"/>
              </w:rPr>
              <w:t>E2: Registro da resposta à questão Q61[SQ008] sobre elaboração do RIPD; [P2]</w:t>
            </w:r>
          </w:p>
          <w:p ns2:paraId="1E80855F" ns2:textId="1D853748">
            <w:pPr>
              <w:pBdr/>
              <w:spacing w:after="120"/>
              <w:ind/>
              <w:jc w:val="both"/>
              <w:rPr>
                <w:rFonts w:ascii="Arial" w:hAnsi="Arial" w:cs="Arial"/>
                <w:sz w:val="18"/>
                <w:szCs w:val="18"/>
              </w:rPr>
            </w:pPr>
            <w:r>
              <w:rPr>
                <w:rFonts w:ascii="Arial" w:hAnsi="Arial" w:cs="Arial"/>
                <w:sz w:val="18"/>
                <w:szCs w:val="18"/>
              </w:rPr>
              <w:t>E2.1: Resultado da análise do documento Q611, com registro de aprovação, vigência, operações abrangidas, conteúdo mínimo e eventuais inconsistências com a declaração; [P2.1]</w:t>
            </w:r>
          </w:p>
          <w:p ns2:paraId="1E80855F" ns2:textId="1D853748">
            <w:pPr>
              <w:pBdr/>
              <w:spacing w:after="120"/>
              <w:ind/>
              <w:jc w:val="both"/>
              <w:rPr>
                <w:rFonts w:ascii="Arial" w:hAnsi="Arial" w:cs="Arial"/>
                <w:sz w:val="18"/>
                <w:szCs w:val="18"/>
              </w:rPr>
            </w:pPr>
            <w:r>
              <w:rPr>
                <w:rFonts w:ascii="Arial" w:hAnsi="Arial" w:cs="Arial"/>
                <w:sz w:val="18"/>
                <w:szCs w:val="18"/>
              </w:rPr>
              <w:t>E3: Registro da resposta à questão Q61[SQ009] sobre implementação dos controles mitigadores; [P3]</w:t>
            </w:r>
          </w:p>
          <w:p ns2:paraId="1E80855F" ns2:textId="1D853748">
            <w:pPr>
              <w:pBdr/>
              <w:spacing w:after="120"/>
              <w:ind/>
              <w:jc w:val="both"/>
              <w:rPr>
                <w:rFonts w:ascii="Arial" w:hAnsi="Arial" w:cs="Arial"/>
                <w:sz w:val="18"/>
                <w:szCs w:val="18"/>
              </w:rPr>
            </w:pPr>
            <w:r>
              <w:rPr>
                <w:rFonts w:ascii="Arial" w:hAnsi="Arial" w:cs="Arial"/>
                <w:sz w:val="18"/>
                <w:szCs w:val="18"/>
              </w:rPr>
              <w:t>E3.1: Resultado da análise do documento Q61controleevi, incluindo responsáveis, prazos, estado e efetividade documentada dos controles; [P3.1]</w:t>
            </w:r>
          </w:p>
        </w:tc>
        <w:tc>
          <w:tcPr>
            <w:tcBorders/>
            <w:tcW w:w="4702" w:type="dxa"/>
            <w:vAlign w:val="center"/>
          </w:tcPr>
          <w:p ns2:paraId="11118515" ns2:textId="02403B9E">
            <w:pPr>
              <w:pBdr/>
              <w:spacing w:after="80"/>
              <w:ind w:firstLine="0" w:left="0"/>
              <w:jc w:val="both"/>
              <w:rPr>
                <w:rFonts w:ascii="Arial" w:hAnsi="Arial" w:cs="Arial"/>
                <w:sz w:val="18"/>
                <w:szCs w:val="18"/>
              </w:rPr>
            </w:pPr>
            <w:r>
              <w:rPr>
                <w:rFonts w:ascii="Arial" w:hAnsi="Arial" w:cs="Arial"/>
                <w:b/>
                <w:bCs/>
                <w:sz w:val="18"/>
                <w:szCs w:val="18"/>
              </w:rPr>
              <w:t>Fragilidade na gestão de riscos à privacidade.</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iniciativas formais para identificação e avaliação dos riscos associados aos processos de tratamento de dados pessoais. [R4.1, P1, P1.1, E1, E1.1, C2, C4];</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elaboração de Relatório de Impacto à Proteção de Dados Pessoais (RIPD) para as atividades de tratamento cabíveis. [R4.2, R4.3, P2, P2.1, P3, P3.1, E2, E2.1, E3, E3.1, C1, C3, C4];</w:t>
            </w:r>
          </w:p>
        </w:tc>
      </w:tr>
    </w:tbl>
    <w:p>
      <w:r>
        <w:br w:type="page"/>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Q5: A organização elaborou e divulga Política de Privacidade em seu sítio oficial e implementou mecanismos eficazes para atender aos direitos dos titulares de dados pessoais?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elaborou e divulga em seu sítio eletrônico institucional Política de Privacidade (ou instrumento similar) clara e acessível?</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Foram implementados mecanismos e procedimentos operacionais para atender os direitos dos titulares previstos nos arts. 9º e 18 da LGPD aplicáveis à organização?</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R5.1: Devido à falta de publicação de Política ou Aviso de Privacidade nos canais eletrônicos, os titulares de dados desconhecerão as finalidades e regras de tratamento, o que poderá levar à violação do princípio da transparência pública, impactando a publicidade dos serviços digitais municipais.</w:t>
            </w:r>
          </w:p>
          <w:p ns2:paraId="63566D7E" ns2:textId="69F154AC">
            <w:pPr>
              <w:pBdr/>
              <w:spacing w:after="120"/>
              <w:ind/>
              <w:jc w:val="both"/>
              <w:rPr>
                <w:rFonts w:ascii="Arial" w:hAnsi="Arial" w:cs="Arial"/>
                <w:b/>
                <w:sz w:val="20"/>
                <w:szCs w:val="20"/>
              </w:rPr>
            </w:pPr>
            <w:r>
              <w:rPr>
                <w:rFonts w:ascii="Arial" w:hAnsi="Arial" w:cs="Arial"/>
                <w:b/>
                <w:sz w:val="20"/>
                <w:szCs w:val="20"/>
              </w:rPr>
              <w:t>R5.2: Devido à inexistência de mecanismos formais de atendimento às requisições dos titulares, os cidadãos enfrentarão obstáculos para exercer seus direitos fundamentais (acesso, retificação, eliminação), o que poderá levar a representações judiciais e perante a ANPD, impactando a segurança jurídica municipal.</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POSSÍVEIS ACHADOS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Gestores municipais responsáveis pela governança em privacidade e pelo atendimento aos direitos dos titulares.</w:t>
            </w:r>
          </w:p>
          <w:p ns2:paraId="07477FA7" ns2:textId="4BBAC042">
            <w:pPr>
              <w:pBdr/>
              <w:spacing w:after="120"/>
              <w:ind/>
              <w:jc w:val="both"/>
              <w:rPr>
                <w:rFonts w:ascii="Arial" w:hAnsi="Arial" w:cs="Arial"/>
                <w:sz w:val="18"/>
                <w:szCs w:val="18"/>
              </w:rPr>
            </w:pPr>
            <w:r>
              <w:rPr>
                <w:rFonts w:ascii="Arial" w:hAnsi="Arial" w:cs="Arial"/>
                <w:sz w:val="18"/>
                <w:szCs w:val="18"/>
              </w:rPr>
              <w:t>F2: Unidades administrativas das prefeituras responsáveis pela edição e custódia da Política de Privacidade.</w:t>
            </w:r>
          </w:p>
          <w:p ns2:paraId="07477FA7" ns2:textId="4BBAC042">
            <w:pPr>
              <w:pBdr/>
              <w:spacing w:after="120"/>
              <w:ind/>
              <w:jc w:val="both"/>
              <w:rPr>
                <w:rFonts w:ascii="Arial" w:hAnsi="Arial" w:cs="Arial"/>
                <w:sz w:val="18"/>
                <w:szCs w:val="18"/>
              </w:rPr>
            </w:pPr>
            <w:r>
              <w:rPr>
                <w:rFonts w:ascii="Arial" w:hAnsi="Arial" w:cs="Arial"/>
                <w:sz w:val="18"/>
                <w:szCs w:val="18"/>
              </w:rPr>
              <w:t>F3: Portal institucional oficial de cada prefeitura municipal.</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Resposta, declaração de divulgação e documento anexado da Política de Privacidade; [F1, F2, F3, Q71, Q71[comment], Q711]</w:t>
            </w:r>
          </w:p>
          <w:p ns2:paraId="1DD0E491" ns2:textId="77777777">
            <w:pPr>
              <w:pBdr/>
              <w:spacing w:after="120"/>
              <w:ind/>
              <w:jc w:val="both"/>
              <w:rPr>
                <w:rFonts w:ascii="Arial" w:hAnsi="Arial" w:cs="Arial"/>
                <w:b/>
                <w:bCs/>
                <w:sz w:val="18"/>
                <w:szCs w:val="18"/>
              </w:rPr>
            </w:pPr>
            <w:r>
              <w:rPr>
                <w:rFonts w:ascii="Arial" w:hAnsi="Arial" w:cs="Arial"/>
                <w:sz w:val="18"/>
                <w:szCs w:val="18"/>
              </w:rPr>
              <w:t>IR2: Resposta, procedimentos e detalhamento dos mecanismos implementados para atender aos direitos dos titulares; [F1, F2, F3, Q72, Q72[comment], Q72evi]</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C1: Lei Federal nº 13.709/2018 (LGPD), art. 6º, VI, e art. 9º — Princípio da transparência e direito do titular ao acesso facilitado e claro sobre as informações de tratamento de dados (finalidades, forma e duração, identificação do controlador, compartilhamento e direitos).</w:t>
            </w:r>
          </w:p>
          <w:p ns2:paraId="2667BB09" ns2:textId="2C1623C1">
            <w:pPr>
              <w:pStyle w:val="1010"/>
              <w:pBdr/>
              <w:spacing w:after="120"/>
              <w:ind/>
              <w:jc w:val="both"/>
              <w:rPr>
                <w:bCs/>
                <w:color w:val="auto"/>
                <w:sz w:val="18"/>
                <w:szCs w:val="18"/>
                <w:vertAlign w:val="superscript"/>
              </w:rPr>
            </w:pPr>
            <w:r>
              <w:rPr>
                <w:bCs/>
                <w:color w:val="auto"/>
                <w:sz w:val="18"/>
                <w:szCs w:val="18"/>
              </w:rPr>
              <w:t>C2: Lei Federal nº 13.709/2018 (LGPD), art. 18 — Rol de direitos dos titulares de dados pessoais e dever de atendimento facilitado, gratuito e em prazo razoável pelo controlador.</w:t>
            </w:r>
          </w:p>
          <w:p ns2:paraId="2667BB09" ns2:textId="2C1623C1">
            <w:pPr>
              <w:pStyle w:val="1010"/>
              <w:pBdr/>
              <w:spacing w:after="120"/>
              <w:ind/>
              <w:jc w:val="both"/>
              <w:rPr>
                <w:bCs/>
                <w:color w:val="auto"/>
                <w:sz w:val="18"/>
                <w:szCs w:val="18"/>
                <w:vertAlign w:val="superscript"/>
              </w:rPr>
            </w:pPr>
            <w:r>
              <w:rPr>
                <w:bCs/>
                <w:color w:val="auto"/>
                <w:sz w:val="18"/>
                <w:szCs w:val="18"/>
              </w:rPr>
              <w:t>C3: Acórdão nº 3931/2025 do Plenário do TCE-RJ (Processo TCE-RJ nº 217.899-0/2024), Voto do Relator, item 1.7 — Determinação aos jurisdicionados para instituir formalmente, manter atualizada e divulgar em seu portal institucional sua Política de Privacidade, contemplando finalidades, duração, dados de contato do controlador, compartilhamentos e direitos do titular.</w:t>
            </w:r>
          </w:p>
          <w:p ns2:paraId="2667BB09" ns2:textId="2C1623C1">
            <w:pPr>
              <w:pStyle w:val="1010"/>
              <w:pBdr/>
              <w:spacing w:after="120"/>
              <w:ind/>
              <w:jc w:val="both"/>
              <w:rPr>
                <w:bCs/>
                <w:color w:val="auto"/>
                <w:sz w:val="18"/>
                <w:szCs w:val="18"/>
                <w:vertAlign w:val="superscript"/>
              </w:rPr>
            </w:pPr>
            <w:r>
              <w:rPr>
                <w:bCs/>
                <w:color w:val="auto"/>
                <w:sz w:val="18"/>
                <w:szCs w:val="18"/>
              </w:rPr>
              <w:t>C4: Acórdão nº 3931/2025 do Plenário do TCE-RJ (Processo TCE-RJ nº 217.899-0/2024), Voto do Relator, item 1.8 — Determinação aos jurisdicionados para implementar mecanismos para atender a todos os direitos dos titulares relacionados no art. 18 da LGPD.</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Verificar na resposta e nos comentários da questão Q71 se a organização declarou ter elaborado e divulgado sua Política de Privacidade no sítio eletrônico institucional; [IR1]</w:t>
            </w:r>
          </w:p>
          <w:p ns2:paraId="4C6E5B2E" ns2:textId="42100C78">
            <w:pPr>
              <w:pStyle w:val="1010"/>
              <w:pBdr/>
              <w:spacing w:after="120"/>
              <w:ind/>
              <w:jc w:val="both"/>
              <w:rPr>
                <w:b/>
                <w:bCs/>
                <w:color w:val="auto"/>
                <w:sz w:val="18"/>
                <w:szCs w:val="18"/>
              </w:rPr>
            </w:pPr>
            <w:r>
              <w:rPr>
                <w:color w:val="auto"/>
                <w:sz w:val="18"/>
                <w:szCs w:val="18"/>
              </w:rPr>
              <w:t>P1.1: Examinar o documento submetido no item Q711 para avaliar aprovação, vigência, clareza, acessibilidade e conteúdo mínimo sobre finalidades, duração do tratamento, controlador, compartilhamentos e direitos dos titulares; [IR1]</w:t>
            </w:r>
          </w:p>
          <w:p ns2:paraId="4C6E5B2E" ns2:textId="42100C78">
            <w:pPr>
              <w:pStyle w:val="1010"/>
              <w:pBdr/>
              <w:spacing w:after="120"/>
              <w:ind/>
              <w:jc w:val="both"/>
              <w:rPr>
                <w:b/>
                <w:bCs/>
                <w:color w:val="auto"/>
                <w:sz w:val="18"/>
                <w:szCs w:val="18"/>
              </w:rPr>
            </w:pPr>
            <w:r>
              <w:rPr>
                <w:color w:val="auto"/>
                <w:sz w:val="18"/>
                <w:szCs w:val="18"/>
              </w:rPr>
              <w:t>P1.2: Inspecionar o portal institucional da prefeitura para confirmar a publicação, atualidade, integridade e facilidade de acesso à Política de Privacidade declarada; [IR1]</w:t>
            </w:r>
          </w:p>
          <w:p ns2:paraId="4C6E5B2E" ns2:textId="42100C78">
            <w:pPr>
              <w:pStyle w:val="1010"/>
              <w:pBdr/>
              <w:spacing w:after="120"/>
              <w:ind/>
              <w:jc w:val="both"/>
              <w:rPr>
                <w:b/>
                <w:bCs/>
                <w:color w:val="auto"/>
                <w:sz w:val="18"/>
                <w:szCs w:val="18"/>
              </w:rPr>
            </w:pPr>
            <w:r>
              <w:rPr>
                <w:color w:val="auto"/>
                <w:sz w:val="18"/>
                <w:szCs w:val="18"/>
              </w:rPr>
              <w:t>P2: Verificar na resposta e nos comentários da questão Q72 se a organização declarou ter implementado mecanismos para atendimento aos direitos dos titulares previstos nos arts. 9º e 18 da LGPD; [IR2]</w:t>
            </w:r>
          </w:p>
          <w:p ns2:paraId="4C6E5B2E" ns2:textId="42100C78">
            <w:pPr>
              <w:pStyle w:val="1010"/>
              <w:pBdr/>
              <w:spacing w:after="120"/>
              <w:ind/>
              <w:jc w:val="both"/>
              <w:rPr>
                <w:b/>
                <w:bCs/>
                <w:color w:val="auto"/>
                <w:sz w:val="18"/>
                <w:szCs w:val="18"/>
              </w:rPr>
            </w:pPr>
            <w:r>
              <w:rPr>
                <w:color w:val="auto"/>
                <w:sz w:val="18"/>
                <w:szCs w:val="18"/>
              </w:rPr>
              <w:t>P2.1: Examinar o procedimento ou fluxo submetido no item Q72evi e inspecionar os canais divulgados no portal institucional para avaliar quais direitos podem ser exercidos, as formas de autenticação, o encaminhamento das solicitações, a gratuidade e o acompanhamento dos pedidos; [IR2]</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Registro da resposta e dos comentários da questão Q71 sobre elaboração e divulgação da Política de Privacidade; [P1]</w:t>
            </w:r>
          </w:p>
          <w:p ns2:paraId="1E80855F" ns2:textId="1D853748">
            <w:pPr>
              <w:pBdr/>
              <w:spacing w:after="120"/>
              <w:ind/>
              <w:jc w:val="both"/>
              <w:rPr>
                <w:rFonts w:ascii="Arial" w:hAnsi="Arial" w:cs="Arial"/>
                <w:sz w:val="18"/>
                <w:szCs w:val="18"/>
              </w:rPr>
            </w:pPr>
            <w:r>
              <w:rPr>
                <w:rFonts w:ascii="Arial" w:hAnsi="Arial" w:cs="Arial"/>
                <w:sz w:val="18"/>
                <w:szCs w:val="18"/>
              </w:rPr>
              <w:t>E1.1: Resultado da análise da política Q711, com registro de aprovação, vigência, clareza, acessibilidade, conteúdo mínimo e eventuais inconsistências com a declaração; [P1.1]</w:t>
            </w:r>
          </w:p>
          <w:p ns2:paraId="1E80855F" ns2:textId="1D853748">
            <w:pPr>
              <w:pBdr/>
              <w:spacing w:after="120"/>
              <w:ind/>
              <w:jc w:val="both"/>
              <w:rPr>
                <w:rFonts w:ascii="Arial" w:hAnsi="Arial" w:cs="Arial"/>
                <w:sz w:val="18"/>
                <w:szCs w:val="18"/>
              </w:rPr>
            </w:pPr>
            <w:r>
              <w:rPr>
                <w:rFonts w:ascii="Arial" w:hAnsi="Arial" w:cs="Arial"/>
                <w:sz w:val="18"/>
                <w:szCs w:val="18"/>
              </w:rPr>
              <w:t>E1.2: Registro da inspeção do portal institucional, incluindo endereço, data de acesso, disponibilidade, conteúdo publicado e facilidade de localização da política; [P1.2]</w:t>
            </w:r>
          </w:p>
          <w:p ns2:paraId="1E80855F" ns2:textId="1D853748">
            <w:pPr>
              <w:pBdr/>
              <w:spacing w:after="120"/>
              <w:ind/>
              <w:jc w:val="both"/>
              <w:rPr>
                <w:rFonts w:ascii="Arial" w:hAnsi="Arial" w:cs="Arial"/>
                <w:sz w:val="18"/>
                <w:szCs w:val="18"/>
              </w:rPr>
            </w:pPr>
            <w:r>
              <w:rPr>
                <w:rFonts w:ascii="Arial" w:hAnsi="Arial" w:cs="Arial"/>
                <w:sz w:val="18"/>
                <w:szCs w:val="18"/>
              </w:rPr>
              <w:t>E2: Registro da resposta e dos comentários da questão Q72 sobre os mecanismos de atendimento aos direitos dos titulares; [P2]</w:t>
            </w:r>
          </w:p>
          <w:p ns2:paraId="1E80855F" ns2:textId="1D853748">
            <w:pPr>
              <w:pBdr/>
              <w:spacing w:after="120"/>
              <w:ind/>
              <w:jc w:val="both"/>
              <w:rPr>
                <w:rFonts w:ascii="Arial" w:hAnsi="Arial" w:cs="Arial"/>
                <w:sz w:val="18"/>
                <w:szCs w:val="18"/>
              </w:rPr>
            </w:pPr>
            <w:r>
              <w:rPr>
                <w:rFonts w:ascii="Arial" w:hAnsi="Arial" w:cs="Arial"/>
                <w:sz w:val="18"/>
                <w:szCs w:val="18"/>
              </w:rPr>
              <w:t>E2.1: Resultado do exame do documento Q72evi e da inspeção dos canais de atendimento, com indicação dos direitos atendidos, formas de autenticação, fluxo, gratuidade e eventuais inconsistências com a declaração; [P2.1]</w:t>
            </w:r>
          </w:p>
        </w:tc>
        <w:tc>
          <w:tcPr>
            <w:tcBorders/>
            <w:tcW w:w="4702" w:type="dxa"/>
            <w:vAlign w:val="center"/>
          </w:tcPr>
          <w:p ns2:paraId="11118515" ns2:textId="02403B9E">
            <w:pPr>
              <w:pBdr/>
              <w:spacing w:after="80"/>
              <w:ind w:firstLine="0" w:left="0"/>
              <w:jc w:val="both"/>
              <w:rPr>
                <w:rFonts w:ascii="Arial" w:hAnsi="Arial" w:cs="Arial"/>
                <w:sz w:val="18"/>
                <w:szCs w:val="18"/>
              </w:rPr>
            </w:pPr>
            <w:r>
              <w:rPr>
                <w:rFonts w:ascii="Arial" w:hAnsi="Arial" w:cs="Arial"/>
                <w:b/>
                <w:bCs/>
                <w:sz w:val="18"/>
                <w:szCs w:val="18"/>
              </w:rPr>
              <w:t>Falta de transparência ativa em privacidade e ausência ou precariedade de mecanismos para atendimento aos direitos dos titulares de dados pessoais.</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elaboração ou falta de divulgação pública de Política de Privacidade no sítio eletrônico institucional da prefeitura. [R5.1, P1, P1.1, P1.2, E1, E1.1, E1.2, C1, C3];</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ou incompletude de mecanismos implementados para atendimento às requisições e direitos dos titulares de dados pessoais. [R5.2, P2, P2.1, E2, E2.1, C2, C4];</w:t>
            </w:r>
          </w:p>
        </w:tc>
      </w:tr>
    </w:tbl>
    <w:p>
      <w:r>
        <w:br w:type="page"/>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Q6: A organização implementou medidas técnicas e administrativas a fim de assegurar a segurança da informação e privacidade?</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implementou processo formal de registro, cancelamento e provisionamento de usuários?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utiliza criptografia de ponta a ponta (dados em trânsito)?</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elaborou e mantém atualizado Plano de Resposta a Incidentes de Segurança?</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estabeleceu procedimentos para comunicar à ANPD e aos titulares os incidentes de violação de dados pessoais?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A organização adequou seus instrumentos contratuais com operadores de TI e provedores de computação em nuvem, prevendo salvaguardas de sigilo e responsabilidades pela proteção de dados?</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R6.1: Devido à falta de controle formal de acessos e ausência de logs de auditoria, acessos indevidos passarão despercebidos, o que poderá levar ao vazamento e alteração ilícita de dados de cidadãos, impactando a confidencialidade e a integridade da administração pública.</w:t>
            </w:r>
          </w:p>
          <w:p ns2:paraId="63566D7E" ns2:textId="69F154AC">
            <w:pPr>
              <w:pBdr/>
              <w:spacing w:after="120"/>
              <w:ind/>
              <w:jc w:val="both"/>
              <w:rPr>
                <w:rFonts w:ascii="Arial" w:hAnsi="Arial" w:cs="Arial"/>
                <w:b/>
                <w:sz w:val="20"/>
                <w:szCs w:val="20"/>
              </w:rPr>
            </w:pPr>
            <w:r>
              <w:rPr>
                <w:rFonts w:ascii="Arial" w:hAnsi="Arial" w:cs="Arial"/>
                <w:b/>
                <w:sz w:val="20"/>
                <w:szCs w:val="20"/>
              </w:rPr>
              <w:t>R6.2: Devido à inexistência de Plano de Resposta a Incidentes e fluxo de comunicação formal, violações de segurança não serão contidas tempestivamente, o que poderá levar à ampliação dos danos causados aos titulares e a severas penalidades administrativas, impactando a continuidade dos serviços públicos.</w:t>
            </w:r>
          </w:p>
          <w:p ns2:paraId="63566D7E" ns2:textId="69F154AC">
            <w:pPr>
              <w:pBdr/>
              <w:spacing w:after="120"/>
              <w:ind/>
              <w:jc w:val="both"/>
              <w:rPr>
                <w:rFonts w:ascii="Arial" w:hAnsi="Arial" w:cs="Arial"/>
                <w:b/>
                <w:sz w:val="20"/>
                <w:szCs w:val="20"/>
              </w:rPr>
            </w:pPr>
            <w:r>
              <w:rPr>
                <w:rFonts w:ascii="Arial" w:hAnsi="Arial" w:cs="Arial"/>
                <w:b/>
                <w:sz w:val="20"/>
                <w:szCs w:val="20"/>
              </w:rPr>
              <w:t>R6.3: Devido à ausência de cláusulas de proteção de dados em contratos com operadores terceirizados de TI e provedores de computação em nuvem, o ente público perderá o controle sobre seus ativos informacionais, o que poderá levar ao uso indevido de dados por terceiros, impactando a governança contratual.</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POSSÍVEIS ACHADOS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Gestores municipais responsáveis pela tecnologia da informação, segurança da informação, privacidade e gestão contratual.</w:t>
            </w:r>
          </w:p>
          <w:p ns2:paraId="07477FA7" ns2:textId="4BBAC042">
            <w:pPr>
              <w:pBdr/>
              <w:spacing w:after="120"/>
              <w:ind/>
              <w:jc w:val="both"/>
              <w:rPr>
                <w:rFonts w:ascii="Arial" w:hAnsi="Arial" w:cs="Arial"/>
                <w:sz w:val="18"/>
                <w:szCs w:val="18"/>
              </w:rPr>
            </w:pPr>
            <w:r>
              <w:rPr>
                <w:rFonts w:ascii="Arial" w:hAnsi="Arial" w:cs="Arial"/>
                <w:sz w:val="18"/>
                <w:szCs w:val="18"/>
              </w:rPr>
              <w:t>F2: Unidades administrativas das prefeituras responsáveis pela elaboração e custódia do Plano de Resposta a Incidentes e dos contratos de serviços de tecnologia.</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Resposta sobre processo formal de concessão de acessos, logs e uso de criptografia; [F1, Q101[SQ002], Q101[SQ003], Q101[SQ004], Q101[SQ005]]</w:t>
            </w:r>
          </w:p>
          <w:p ns2:paraId="1DD0E491" ns2:textId="77777777">
            <w:pPr>
              <w:pBdr/>
              <w:spacing w:after="120"/>
              <w:ind/>
              <w:jc w:val="both"/>
              <w:rPr>
                <w:rFonts w:ascii="Arial" w:hAnsi="Arial" w:cs="Arial"/>
                <w:b/>
                <w:bCs/>
                <w:sz w:val="18"/>
                <w:szCs w:val="18"/>
              </w:rPr>
            </w:pPr>
            <w:r>
              <w:rPr>
                <w:rFonts w:ascii="Arial" w:hAnsi="Arial" w:cs="Arial"/>
                <w:sz w:val="18"/>
                <w:szCs w:val="18"/>
              </w:rPr>
              <w:t>IR2: Resposta e documento do Plano de Resposta a Incidentes de Segurança com dados pessoais; [F1, F2, Q91[SQ001], Q911]</w:t>
            </w:r>
          </w:p>
          <w:p ns2:paraId="1DD0E491" ns2:textId="77777777">
            <w:pPr>
              <w:pBdr/>
              <w:spacing w:after="120"/>
              <w:ind/>
              <w:jc w:val="both"/>
              <w:rPr>
                <w:rFonts w:ascii="Arial" w:hAnsi="Arial" w:cs="Arial"/>
                <w:b/>
                <w:bCs/>
                <w:sz w:val="18"/>
                <w:szCs w:val="18"/>
              </w:rPr>
            </w:pPr>
            <w:r>
              <w:rPr>
                <w:rFonts w:ascii="Arial" w:hAnsi="Arial" w:cs="Arial"/>
                <w:sz w:val="18"/>
                <w:szCs w:val="18"/>
              </w:rPr>
              <w:t>IR3: Resposta sobre procedimento de notificação de incidentes à ANPD e aos titulares; [F1, Q91[SQ005]]</w:t>
            </w:r>
          </w:p>
          <w:p ns2:paraId="1DD0E491" ns2:textId="77777777">
            <w:pPr>
              <w:pBdr/>
              <w:spacing w:after="120"/>
              <w:ind/>
              <w:jc w:val="both"/>
              <w:rPr>
                <w:rFonts w:ascii="Arial" w:hAnsi="Arial" w:cs="Arial"/>
                <w:b/>
                <w:bCs/>
                <w:sz w:val="18"/>
                <w:szCs w:val="18"/>
              </w:rPr>
            </w:pPr>
            <w:r>
              <w:rPr>
                <w:rFonts w:ascii="Arial" w:hAnsi="Arial" w:cs="Arial"/>
                <w:sz w:val="18"/>
                <w:szCs w:val="18"/>
              </w:rPr>
              <w:t>IR4: Resposta e instrumentos contratuais sobre a adequação dos ajustes com operadores de TI e provedores de nuvem; [F1, F2, Q31[SQ005], Q31evi, Q812[SQ001], Q812[SQ004], Q812evi]</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C1: Lei Federal nº 13.709/2018 (LGPD), art. 46 — Adoção de medidas de segurança, técnicas e administrativas aptas a proteger os dados pessoais de acessos não autorizados e de situações acidentais ou ilícitas.</w:t>
            </w:r>
          </w:p>
          <w:p ns2:paraId="2667BB09" ns2:textId="2C1623C1">
            <w:pPr>
              <w:pStyle w:val="1010"/>
              <w:pBdr/>
              <w:spacing w:after="120"/>
              <w:ind/>
              <w:jc w:val="both"/>
              <w:rPr>
                <w:bCs/>
                <w:color w:val="auto"/>
                <w:sz w:val="18"/>
                <w:szCs w:val="18"/>
                <w:vertAlign w:val="superscript"/>
              </w:rPr>
            </w:pPr>
            <w:r>
              <w:rPr>
                <w:bCs/>
                <w:color w:val="auto"/>
                <w:sz w:val="18"/>
                <w:szCs w:val="18"/>
              </w:rPr>
              <w:t>C2: Lei Federal nº 13.709/2018 (LGPD), art. 48 — Comunicação obrigatória à ANPD e aos titulares sobre a ocorrência de incidentes de segurança que possam acarretar risco ou dano relevante.</w:t>
            </w:r>
          </w:p>
          <w:p ns2:paraId="2667BB09" ns2:textId="2C1623C1">
            <w:pPr>
              <w:pStyle w:val="1010"/>
              <w:pBdr/>
              <w:spacing w:after="120"/>
              <w:ind/>
              <w:jc w:val="both"/>
              <w:rPr>
                <w:bCs/>
                <w:color w:val="auto"/>
                <w:sz w:val="18"/>
                <w:szCs w:val="18"/>
                <w:vertAlign w:val="superscript"/>
              </w:rPr>
            </w:pPr>
            <w:r>
              <w:rPr>
                <w:bCs/>
                <w:color w:val="auto"/>
                <w:sz w:val="18"/>
                <w:szCs w:val="18"/>
              </w:rPr>
              <w:t>C3: Resolução CD/ANPD nº 15/2024, arts. 3º a 7º — Regulamento de Comunicação de Incidentes de Segurança, disciplinando prazos regulamentares (3 dias úteis), requisitos e obrigações do controlador na notificação à ANPD e aos titulares afetados.</w:t>
            </w:r>
          </w:p>
          <w:p ns2:paraId="2667BB09" ns2:textId="2C1623C1">
            <w:pPr>
              <w:pStyle w:val="1010"/>
              <w:pBdr/>
              <w:spacing w:after="120"/>
              <w:ind/>
              <w:jc w:val="both"/>
              <w:rPr>
                <w:bCs/>
                <w:color w:val="auto"/>
                <w:sz w:val="18"/>
                <w:szCs w:val="18"/>
                <w:vertAlign w:val="superscript"/>
              </w:rPr>
            </w:pPr>
            <w:r>
              <w:rPr>
                <w:bCs/>
                <w:color w:val="auto"/>
                <w:sz w:val="18"/>
                <w:szCs w:val="18"/>
              </w:rPr>
              <w:t>C4: Lei Federal nº 13.709/2018 (LGPD), art. 50, § 2º, I, "g" — Plano de resposta a incidentes e remediação como componente obrigatório do programa de governança em privacidade.</w:t>
            </w:r>
          </w:p>
          <w:p ns2:paraId="2667BB09" ns2:textId="2C1623C1">
            <w:pPr>
              <w:pStyle w:val="1010"/>
              <w:pBdr/>
              <w:spacing w:after="120"/>
              <w:ind/>
              <w:jc w:val="both"/>
              <w:rPr>
                <w:bCs/>
                <w:color w:val="auto"/>
                <w:sz w:val="18"/>
                <w:szCs w:val="18"/>
                <w:vertAlign w:val="superscript"/>
              </w:rPr>
            </w:pPr>
            <w:r>
              <w:rPr>
                <w:bCs/>
                <w:color w:val="auto"/>
                <w:sz w:val="18"/>
                <w:szCs w:val="18"/>
              </w:rPr>
              <w:t>C5: Lei Federal nº 13.709/2018 (LGPD), arts. 39 e 42 — Responsabilidades legais do operador e dever de observância às instruções e salvaguardas contratuais pactuadas com o controlador.</w:t>
            </w:r>
          </w:p>
          <w:p ns2:paraId="2667BB09" ns2:textId="2C1623C1">
            <w:pPr>
              <w:pStyle w:val="1010"/>
              <w:pBdr/>
              <w:spacing w:after="120"/>
              <w:ind/>
              <w:jc w:val="both"/>
              <w:rPr>
                <w:bCs/>
                <w:color w:val="auto"/>
                <w:sz w:val="18"/>
                <w:szCs w:val="18"/>
                <w:vertAlign w:val="superscript"/>
              </w:rPr>
            </w:pPr>
            <w:r>
              <w:rPr>
                <w:bCs/>
                <w:color w:val="auto"/>
                <w:sz w:val="18"/>
                <w:szCs w:val="18"/>
              </w:rPr>
              <w:t>C6: Acórdão nº 3931/2025 do Plenário do TCE-RJ (Processo TCE-RJ nº 217.899-0/2024), Voto do Relator, item 1.10 — Determinação aos jurisdicionados para instituir formalmente e manter atualizado Plano de Resposta a Incidentes, conforme disposto no art. 48 e art. 50, § 2º, I, "g", da LGPD.</w:t>
            </w:r>
          </w:p>
          <w:p ns2:paraId="2667BB09" ns2:textId="2C1623C1">
            <w:pPr>
              <w:pStyle w:val="1010"/>
              <w:pBdr/>
              <w:spacing w:after="120"/>
              <w:ind/>
              <w:jc w:val="both"/>
              <w:rPr>
                <w:bCs/>
                <w:color w:val="auto"/>
                <w:sz w:val="18"/>
                <w:szCs w:val="18"/>
                <w:vertAlign w:val="superscript"/>
              </w:rPr>
            </w:pPr>
            <w:r>
              <w:rPr>
                <w:bCs/>
                <w:color w:val="auto"/>
                <w:sz w:val="18"/>
                <w:szCs w:val="18"/>
              </w:rPr>
              <w:t>C7: Acórdão nº 3931/2025 do Plenário do TCE-RJ (Processo TCE-RJ nº 217.899-0/2024), Voto do Relator, item 1.11 — Determinação aos jurisdicionados para estabelecer procedimento alinhado ao Plano de Resposta a Incidentes para comunicar violações de dados à ANPD e aos titulares, em atendimento ao art. 48 da LGPD e à Resolução CD/ANPD nº 15/2024.</w:t>
            </w:r>
          </w:p>
          <w:p ns2:paraId="2667BB09" ns2:textId="2C1623C1">
            <w:pPr>
              <w:pStyle w:val="1010"/>
              <w:pBdr/>
              <w:spacing w:after="120"/>
              <w:ind/>
              <w:jc w:val="both"/>
              <w:rPr>
                <w:bCs/>
                <w:color w:val="auto"/>
                <w:sz w:val="18"/>
                <w:szCs w:val="18"/>
                <w:vertAlign w:val="superscript"/>
              </w:rPr>
            </w:pPr>
            <w:r>
              <w:rPr>
                <w:bCs/>
                <w:color w:val="auto"/>
                <w:sz w:val="18"/>
                <w:szCs w:val="18"/>
              </w:rPr>
              <w:t>C8: Acórdão nº 3931/2025 do Plenário do TCE-RJ (Processo TCE-RJ nº 217.899-0/2024), Voto do Relator, item 1.15 — Recomendação aos jurisdicionados para adoção de medidas técnicas e administrativas de segurança (gestão de acessos, criptografia TLS/HTTPS e repouso, firewall e proteção de perímetro).</w:t>
            </w:r>
          </w:p>
          <w:p ns2:paraId="2667BB09" ns2:textId="2C1623C1">
            <w:pPr>
              <w:pStyle w:val="1010"/>
              <w:pBdr/>
              <w:spacing w:after="120"/>
              <w:ind/>
              <w:jc w:val="both"/>
              <w:rPr>
                <w:bCs/>
                <w:color w:val="auto"/>
                <w:sz w:val="18"/>
                <w:szCs w:val="18"/>
                <w:vertAlign w:val="superscript"/>
              </w:rPr>
            </w:pPr>
            <w:r>
              <w:rPr>
                <w:bCs/>
                <w:color w:val="auto"/>
                <w:sz w:val="18"/>
                <w:szCs w:val="18"/>
              </w:rPr>
              <w:t>C9: ABNT NBR ISO/IEC 27002:2022, controle 5.15, controle 5.16, controle 5.18, controles 5.24 a 5.27, controle 8.15 e controle 8.24 — Orienta a implementação do controle de acesso, da gestão de identidades e direitos de acesso, do registro de eventos, do uso de criptografia e da gestão de incidentes de segurança da informação.</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Verificar nas respostas aos itens Q101[SQ002] a Q101[SQ005] se a organização declarou possuir processo formal de concessão de acessos, logs de sistemas e uso de criptografia; [IR1]</w:t>
            </w:r>
          </w:p>
          <w:p ns2:paraId="4C6E5B2E" ns2:textId="42100C78">
            <w:pPr>
              <w:pStyle w:val="1010"/>
              <w:pBdr/>
              <w:spacing w:after="120"/>
              <w:ind/>
              <w:jc w:val="both"/>
              <w:rPr>
                <w:b/>
                <w:bCs/>
                <w:color w:val="auto"/>
                <w:sz w:val="18"/>
                <w:szCs w:val="18"/>
              </w:rPr>
            </w:pPr>
            <w:r>
              <w:rPr>
                <w:color w:val="auto"/>
                <w:sz w:val="18"/>
                <w:szCs w:val="18"/>
              </w:rPr>
              <w:t>P2: Verificar na resposta ao item Q91[SQ001] se a organização declarou ter formalizado Plano de Resposta a Incidentes de Segurança com violação de dados pessoais; [IR2]</w:t>
            </w:r>
          </w:p>
          <w:p ns2:paraId="4C6E5B2E" ns2:textId="42100C78">
            <w:pPr>
              <w:pStyle w:val="1010"/>
              <w:pBdr/>
              <w:spacing w:after="120"/>
              <w:ind/>
              <w:jc w:val="both"/>
              <w:rPr>
                <w:b/>
                <w:bCs/>
                <w:color w:val="auto"/>
                <w:sz w:val="18"/>
                <w:szCs w:val="18"/>
              </w:rPr>
            </w:pPr>
            <w:r>
              <w:rPr>
                <w:color w:val="auto"/>
                <w:sz w:val="18"/>
                <w:szCs w:val="18"/>
              </w:rPr>
              <w:t>P2.1: Examinar o documento submetido no item Q911 para avaliar aprovação, vigência, papéis e responsabilidades, critérios de gravidade, fluxos de detecção, contenção, comunicação e recuperação e periodicidade de revisão e testes; [IR2]</w:t>
            </w:r>
          </w:p>
          <w:p ns2:paraId="4C6E5B2E" ns2:textId="42100C78">
            <w:pPr>
              <w:pStyle w:val="1010"/>
              <w:pBdr/>
              <w:spacing w:after="120"/>
              <w:ind/>
              <w:jc w:val="both"/>
              <w:rPr>
                <w:b/>
                <w:bCs/>
                <w:color w:val="auto"/>
                <w:sz w:val="18"/>
                <w:szCs w:val="18"/>
              </w:rPr>
            </w:pPr>
            <w:r>
              <w:rPr>
                <w:color w:val="auto"/>
                <w:sz w:val="18"/>
                <w:szCs w:val="18"/>
              </w:rPr>
              <w:t>P3: Verificar na resposta ao item Q91[SQ005] se a organização declarou possuir procedimentos padronizados para notificar a ANPD e os titulares em caso de incidentes relevantes; [IR3]</w:t>
            </w:r>
          </w:p>
          <w:p ns2:paraId="4C6E5B2E" ns2:textId="42100C78">
            <w:pPr>
              <w:pStyle w:val="1010"/>
              <w:pBdr/>
              <w:spacing w:after="120"/>
              <w:ind/>
              <w:jc w:val="both"/>
              <w:rPr>
                <w:b/>
                <w:bCs/>
                <w:color w:val="auto"/>
                <w:sz w:val="18"/>
                <w:szCs w:val="18"/>
              </w:rPr>
            </w:pPr>
            <w:r>
              <w:rPr>
                <w:color w:val="auto"/>
                <w:sz w:val="18"/>
                <w:szCs w:val="18"/>
              </w:rPr>
              <w:t>P4: Verificar nas respostas aos itens Q31[SQ005], Q812[SQ001] e Q812[SQ004] se a organização declarou ter adequado os contratos firmados com operadores de TI e provedores de computação em nuvem; [IR4]</w:t>
            </w:r>
          </w:p>
          <w:p ns2:paraId="4C6E5B2E" ns2:textId="42100C78">
            <w:pPr>
              <w:pStyle w:val="1010"/>
              <w:pBdr/>
              <w:spacing w:after="120"/>
              <w:ind/>
              <w:jc w:val="both"/>
              <w:rPr>
                <w:b/>
                <w:bCs/>
                <w:color w:val="auto"/>
                <w:sz w:val="18"/>
                <w:szCs w:val="18"/>
              </w:rPr>
            </w:pPr>
            <w:r>
              <w:rPr>
                <w:color w:val="auto"/>
                <w:sz w:val="18"/>
                <w:szCs w:val="18"/>
              </w:rPr>
              <w:t>P4.1: Examinar os instrumentos contratuais submetidos nos itens Q31evi e Q812evi para avaliar a existência de cláusulas sobre objeto e finalidade do tratamento, instruções do controlador, confidencialidade, medidas de segurança, subcontratação, comunicação de incidentes, devolução ou eliminação dos dados e responsabilidades das partes; [IR4]</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Registro das respostas aos itens Q101[SQ002] a Q101[SQ005] sobre controle de acessos, logs de sistemas e uso de criptografia; [P1]</w:t>
            </w:r>
          </w:p>
          <w:p ns2:paraId="1E80855F" ns2:textId="1D853748">
            <w:pPr>
              <w:pBdr/>
              <w:spacing w:after="120"/>
              <w:ind/>
              <w:jc w:val="both"/>
              <w:rPr>
                <w:rFonts w:ascii="Arial" w:hAnsi="Arial" w:cs="Arial"/>
                <w:sz w:val="18"/>
                <w:szCs w:val="18"/>
              </w:rPr>
            </w:pPr>
            <w:r>
              <w:rPr>
                <w:rFonts w:ascii="Arial" w:hAnsi="Arial" w:cs="Arial"/>
                <w:sz w:val="18"/>
                <w:szCs w:val="18"/>
              </w:rPr>
              <w:t>E2: Registro da resposta ao item Q91[SQ001] sobre a formalização do Plano de Resposta a Incidentes; [P2]</w:t>
            </w:r>
          </w:p>
          <w:p ns2:paraId="1E80855F" ns2:textId="1D853748">
            <w:pPr>
              <w:pBdr/>
              <w:spacing w:after="120"/>
              <w:ind/>
              <w:jc w:val="both"/>
              <w:rPr>
                <w:rFonts w:ascii="Arial" w:hAnsi="Arial" w:cs="Arial"/>
                <w:sz w:val="18"/>
                <w:szCs w:val="18"/>
              </w:rPr>
            </w:pPr>
            <w:r>
              <w:rPr>
                <w:rFonts w:ascii="Arial" w:hAnsi="Arial" w:cs="Arial"/>
                <w:sz w:val="18"/>
                <w:szCs w:val="18"/>
              </w:rPr>
              <w:t>E2.1: Resultado da análise do plano Q911, com registro de aprovação, vigência, conteúdo mínimo e eventuais inconsistências com a declaração; [P2.1]</w:t>
            </w:r>
          </w:p>
          <w:p ns2:paraId="1E80855F" ns2:textId="1D853748">
            <w:pPr>
              <w:pBdr/>
              <w:spacing w:after="120"/>
              <w:ind/>
              <w:jc w:val="both"/>
              <w:rPr>
                <w:rFonts w:ascii="Arial" w:hAnsi="Arial" w:cs="Arial"/>
                <w:sz w:val="18"/>
                <w:szCs w:val="18"/>
              </w:rPr>
            </w:pPr>
            <w:r>
              <w:rPr>
                <w:rFonts w:ascii="Arial" w:hAnsi="Arial" w:cs="Arial"/>
                <w:sz w:val="18"/>
                <w:szCs w:val="18"/>
              </w:rPr>
              <w:t>E3: Registro da resposta ao item Q91[SQ005] sobre procedimento de notificação de incidentes à ANPD e aos titulares; [P3]</w:t>
            </w:r>
          </w:p>
          <w:p ns2:paraId="1E80855F" ns2:textId="1D853748">
            <w:pPr>
              <w:pBdr/>
              <w:spacing w:after="120"/>
              <w:ind/>
              <w:jc w:val="both"/>
              <w:rPr>
                <w:rFonts w:ascii="Arial" w:hAnsi="Arial" w:cs="Arial"/>
                <w:sz w:val="18"/>
                <w:szCs w:val="18"/>
              </w:rPr>
            </w:pPr>
            <w:r>
              <w:rPr>
                <w:rFonts w:ascii="Arial" w:hAnsi="Arial" w:cs="Arial"/>
                <w:sz w:val="18"/>
                <w:szCs w:val="18"/>
              </w:rPr>
              <w:t>E4: Registro das respostas aos itens Q31[SQ005], Q812[SQ001] e Q812[SQ004] sobre a adequação dos contratos com operadores e provedores de nuvem; [P4]</w:t>
            </w:r>
          </w:p>
          <w:p ns2:paraId="1E80855F" ns2:textId="1D853748">
            <w:pPr>
              <w:pBdr/>
              <w:spacing w:after="120"/>
              <w:ind/>
              <w:jc w:val="both"/>
              <w:rPr>
                <w:rFonts w:ascii="Arial" w:hAnsi="Arial" w:cs="Arial"/>
                <w:sz w:val="18"/>
                <w:szCs w:val="18"/>
              </w:rPr>
            </w:pPr>
            <w:r>
              <w:rPr>
                <w:rFonts w:ascii="Arial" w:hAnsi="Arial" w:cs="Arial"/>
                <w:sz w:val="18"/>
                <w:szCs w:val="18"/>
              </w:rPr>
              <w:t>E4.1: Resultado da análise dos instrumentos contratuais Q31evi e Q812evi, com registro das cláusulas de proteção de dados existentes, ausentes ou insuficientes e de eventuais inconsistências com a declaração; [P4.1]</w:t>
            </w:r>
          </w:p>
        </w:tc>
        <w:tc>
          <w:tcPr>
            <w:tcBorders/>
            <w:tcW w:w="4702" w:type="dxa"/>
            <w:vAlign w:val="center"/>
          </w:tcPr>
          <w:p ns2:paraId="11118515" ns2:textId="02403B9E">
            <w:pPr>
              <w:pBdr/>
              <w:spacing w:after="80"/>
              <w:ind w:firstLine="0" w:left="0"/>
              <w:jc w:val="both"/>
              <w:rPr>
                <w:rFonts w:ascii="Arial" w:hAnsi="Arial" w:cs="Arial"/>
                <w:sz w:val="18"/>
                <w:szCs w:val="18"/>
              </w:rPr>
            </w:pPr>
            <w:r>
              <w:rPr>
                <w:rFonts w:ascii="Arial" w:hAnsi="Arial" w:cs="Arial"/>
                <w:b/>
                <w:bCs/>
                <w:sz w:val="18"/>
                <w:szCs w:val="18"/>
              </w:rPr>
              <w:t>Vulnerabilidade nos controles de segurança da informação, ausência de plano de resposta a incidentes e desproteção em contratos com operadores e compartilhamentos de dados.</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Deficiência nos controles formais de acesso e inexistência de rastreabilidade (logs) em sistemas municipais. [R6.1, P1, E1, C1, C8, C9];</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Inexistência de Plano de Resposta a Incidentes de Segurança da Informação envolvendo dados pessoais. [R6.2, P2, P2.1, E2, E2.1, C1, C4, C6, C9];</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Ausência de procedimento padronizado para comunicação tempestiva de incidentes de segurança à ANPD e aos titulares. [R6.2, P3, E3, C2, C3, C7];</w:t>
            </w:r>
          </w:p>
          <w:p ns2:paraId="11118515" ns2:textId="02403B9E">
            <w:pPr>
              <w:pBdr/>
              <w:spacing w:after="60"/>
              <w:ind w:firstLine="0" w:left="240"/>
              <w:jc w:val="both"/>
              <w:rPr>
                <w:rFonts w:ascii="Arial" w:hAnsi="Arial" w:cs="Arial"/>
                <w:sz w:val="18"/>
                <w:szCs w:val="18"/>
              </w:rPr>
            </w:pPr>
            <w:r>
              <w:rPr>
                <w:rFonts w:ascii="Arial" w:hAnsi="Arial" w:cs="Arial"/>
                <w:b/>
                <w:bCs/>
                <w:sz w:val="18"/>
                <w:szCs w:val="18"/>
              </w:rPr>
              <w:t>• Inexistência de cláusulas de proteção de dados e salvaguardas nos contratos firmados com operadores de TI e provedores de nuvem. [R6.3, P4, P4.1, E4, E4.1, C5];</w:t>
            </w:r>
          </w:p>
        </w:tc>
      </w:tr>
    </w:tbl>
    <w:p>
      <w:r>
        <w:br w:type="page"/>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QT1: Qual é o grau de cumprimento, pelas prefeituras municipais, das decisões proferidas pelo TCE-RJ no Processo nº 217.899-0/2024 (Acórdão nº 3931/2025), inferido a partir das respostas aos controles correspondentes no questionário de 2026? (levantamento)</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Os municípios implementaram as determinações e recomendações formuladas no Acórdão nº 3931/2025 no âmbito do Processo TCE-RJ nº 217.899-0/2024?</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Quais prefeituras reincidiram na ausência de controles específicos objeto da decisão prévia, confrontando as respostas do questionário de 2026 com os encaminhamentos individualizados de 2024?</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Como se distribuem os casos de cumprimento e descumprimento entre os 12 temas de controle monitorados (Encarregado/DPO, divulgação do DPO no portal, PSI, Política de Classificação da Informação, Política de Proteção de Dados, Plano de Capacitação, Inventário de Dados Pessoais, RIPD, Política de Privacidade no portal, Mecanismos para Direitos dos Titulares, Plano de Resposta a Incidentes e Notificação à ANPD/titulares)?</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Não se aplica: questão de levantamento, sem formulação de risco de achado.</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ANÁLISE / RESULTADOS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Gestores municipais responsáveis pelo preenchimento do questionário eletrônico de auditoria da LGPD 2026.</w:t>
            </w:r>
          </w:p>
          <w:p ns2:paraId="07477FA7" ns2:textId="4BBAC042">
            <w:pPr>
              <w:pBdr/>
              <w:spacing w:after="120"/>
              <w:ind/>
              <w:jc w:val="both"/>
              <w:rPr>
                <w:rFonts w:ascii="Arial" w:hAnsi="Arial" w:cs="Arial"/>
                <w:sz w:val="18"/>
                <w:szCs w:val="18"/>
              </w:rPr>
            </w:pPr>
            <w:r>
              <w:rPr>
                <w:rFonts w:ascii="Arial" w:hAnsi="Arial" w:cs="Arial"/>
                <w:sz w:val="18"/>
                <w:szCs w:val="18"/>
              </w:rPr>
              <w:t>F2: Sistema de apoio à fiscalização do TCE-RJ, que consolida as situações encontradas e os encaminhamentos individualizados da fiscalização de 2024.</w:t>
            </w:r>
          </w:p>
          <w:p ns2:paraId="07477FA7" ns2:textId="4BBAC042">
            <w:pPr>
              <w:pBdr/>
              <w:spacing w:after="120"/>
              <w:ind/>
              <w:jc w:val="both"/>
              <w:rPr>
                <w:rFonts w:ascii="Arial" w:hAnsi="Arial" w:cs="Arial"/>
                <w:sz w:val="18"/>
                <w:szCs w:val="18"/>
              </w:rPr>
            </w:pPr>
            <w:r>
              <w:rPr>
                <w:rFonts w:ascii="Arial" w:hAnsi="Arial" w:cs="Arial"/>
                <w:sz w:val="18"/>
                <w:szCs w:val="18"/>
              </w:rPr>
              <w:t>F3: Sistema oficial de processo eletrônico do TCE-RJ, no qual tramitam os autos do Processo nº 217.899-0/2024 e os planos de ação municipais.</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Baseline de deliberações e controles esperados por município estabelecido a partir da tabela_encaminhamentos.xlsx e da tabela_situacao_encontrada.xlsx da fiscalização de 2024; [F2, F3]</w:t>
            </w:r>
          </w:p>
          <w:p ns2:paraId="1DD0E491" ns2:textId="77777777">
            <w:pPr>
              <w:pBdr/>
              <w:spacing w:after="120"/>
              <w:ind/>
              <w:jc w:val="both"/>
              <w:rPr>
                <w:rFonts w:ascii="Arial" w:hAnsi="Arial" w:cs="Arial"/>
                <w:b/>
                <w:bCs/>
                <w:sz w:val="18"/>
                <w:szCs w:val="18"/>
              </w:rPr>
            </w:pPr>
            <w:r>
              <w:rPr>
                <w:rFonts w:ascii="Arial" w:hAnsi="Arial" w:cs="Arial"/>
                <w:sz w:val="18"/>
                <w:szCs w:val="18"/>
              </w:rPr>
              <w:t>IR2: Respostas fornecidas pelas prefeituras no questionário de 2026 sobre os 12 controles monitorados; [F1, Q41[SQ004], Q41[SQ005], Q41[SQ001], Q41[SQ002], Q41[SQ003], Q51, Q61[SQ005], Q61[SQ008], Q71, Q72, Q91[SQ001], Q91[SQ005]]</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Não se aplica como critério de conformidade: análise orientada pelas fontes e pelos procedimentos definidos.</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Mapear a matriz de deliberações anteriores importando a tabela_encaminhamentos.xlsx e a tabela_situacao_encontrada.xlsx de 2024 para parametrizar a aplicação de regras dinâmicas e o baseline de controles de cada prefeitura; [IR1]</w:t>
            </w:r>
          </w:p>
          <w:p ns2:paraId="4C6E5B2E" ns2:textId="42100C78">
            <w:pPr>
              <w:pStyle w:val="1010"/>
              <w:pBdr/>
              <w:spacing w:after="120"/>
              <w:ind/>
              <w:jc w:val="both"/>
              <w:rPr>
                <w:b/>
                <w:bCs/>
                <w:color w:val="auto"/>
                <w:sz w:val="18"/>
                <w:szCs w:val="18"/>
              </w:rPr>
            </w:pPr>
            <w:r>
              <w:rPr>
                <w:color w:val="auto"/>
                <w:sz w:val="18"/>
                <w:szCs w:val="18"/>
              </w:rPr>
              <w:t>P2: Confrontar as declarações de controle do questionário de 2026 com o baseline individualizado para identificar situações de reincidência e pendência no atendimento às deliberações; [IR2]</w:t>
            </w:r>
          </w:p>
          <w:p ns2:paraId="4C6E5B2E" ns2:textId="42100C78">
            <w:pPr>
              <w:pStyle w:val="1010"/>
              <w:pBdr/>
              <w:spacing w:after="120"/>
              <w:ind/>
              <w:jc w:val="both"/>
              <w:rPr>
                <w:b/>
                <w:bCs/>
                <w:color w:val="auto"/>
                <w:sz w:val="18"/>
                <w:szCs w:val="18"/>
              </w:rPr>
            </w:pPr>
            <w:r>
              <w:rPr>
                <w:color w:val="auto"/>
                <w:sz w:val="18"/>
                <w:szCs w:val="18"/>
              </w:rPr>
              <w:t>P3: Tabular, por município e tema, as respostas negativas ou insuficientes aos 12 controles monitorados, classificando como possível descumprimento apenas os itens constantes do baseline individualizado do respectivo município; [IR1, IR2]</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Matriz comparativa de cumprimento/reincidência por deliberação monitorada e por prefeitura (cruzamento do baseline 2024 com o survey 2026); [P1, P2]</w:t>
            </w:r>
          </w:p>
          <w:p ns2:paraId="1E80855F" ns2:textId="1D853748">
            <w:pPr>
              <w:pBdr/>
              <w:spacing w:after="120"/>
              <w:ind/>
              <w:jc w:val="both"/>
              <w:rPr>
                <w:rFonts w:ascii="Arial" w:hAnsi="Arial" w:cs="Arial"/>
                <w:sz w:val="18"/>
                <w:szCs w:val="18"/>
              </w:rPr>
            </w:pPr>
            <w:r>
              <w:rPr>
                <w:rFonts w:ascii="Arial" w:hAnsi="Arial" w:cs="Arial"/>
                <w:sz w:val="18"/>
                <w:szCs w:val="18"/>
              </w:rPr>
              <w:t>E2: Tabela consolidada da distribuição dos casos de cumprimento e possível descumprimento por tema de controle e prefeitura; [P3]</w:t>
            </w:r>
          </w:p>
        </w:tc>
        <w:tc>
          <w:tcPr>
            <w:tcBorders/>
            <w:tcW w:w="4702" w:type="dxa"/>
            <w:vAlign w:val="center"/>
          </w:tcPr>
          <w:p ns2:paraId="11118515" ns2:textId="02403B9E">
            <w:pPr>
              <w:pBdr/>
              <w:spacing w:after="120"/>
              <w:ind w:firstLine="0" w:left="0"/>
              <w:jc w:val="both"/>
              <w:rPr>
                <w:rFonts w:ascii="Arial" w:hAnsi="Arial" w:cs="Arial"/>
                <w:sz w:val="18"/>
                <w:szCs w:val="18"/>
              </w:rPr>
            </w:pPr>
            <w:r>
              <w:rPr>
                <w:rFonts w:ascii="Arial" w:hAnsi="Arial" w:cs="Arial"/>
                <w:b/>
                <w:bCs/>
                <w:sz w:val="18"/>
                <w:szCs w:val="18"/>
              </w:rPr>
              <w:t>Não se aplica: questão de levantamento, sem geração de achado individual.</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O que a análise permite dizer:</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O percentual consolidado e individualizado de cumprimento das 12 deliberações do Acórdão nº 3931/2025 pelas 91 prefeituras fluminenses.</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A identificação dos municípios que declararam não possuir controles que deveriam ter implementado em razão dos encaminhamentos individualizados de 2024.</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A distribuição dos possíveis descumprimentos entre os 12 temas monitorados.</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Limitações e cautelas:</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A classificação decorre de respostas autodeclaradas e da correspondência entre cada resposta negativa ou insuficiente e o encaminhamento individualizado aplicável ao município.</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O questionário não coleta causas específicas para cada possível descumprimento nem percentual de execução dos planos de ação.</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A análise deste levantamento subsidia o processo de monitoramento sem substituir o julgamento plenário definitivo do cumprimento das deliberações.</w:t>
            </w:r>
          </w:p>
        </w:tc>
      </w:tr>
    </w:tbl>
    <w:p>
      <w:r>
        <w:br w:type="page"/>
      </w:r>
    </w:p>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gridSpan w:val="6"/>
            <w:tcBorders/>
            <w:tcW w:w="5000" w:type="pct"/>
          </w:tcPr>
          <w:p ns2:paraId="7D29FCBB" ns2:textId="4EC62946">
            <w:pPr>
              <w:pBdr/>
              <w:spacing w:after="120"/>
              <w:ind/>
              <w:rPr>
                <w:rFonts w:ascii="Arial" w:hAnsi="Arial" w:cs="Arial"/>
                <w:sz w:val="20"/>
                <w:szCs w:val="20"/>
              </w:rPr>
            </w:pPr>
            <w:r>
              <w:t>QT2: Qual é o perfil de maturidade em proteção de dados pessoais das 91 prefeituras segundo o índice iLGPD 2026, qual a evolução observada desde 2024 e qual é a avaliação dos gestores sobre a efetividade do material didático "Os 6 passos para adequação à LGPD"? (levantamento)</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Qual é o nível de maturidade (Inexpressivo, Iniciando, Intermediário ou Aprimorado) alcançado por cada município no iLGPD 2026?</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Houve avanço, estagnação ou retrocesso das práticas municipais entre 2024 e 2026 nos indicadores comparáveis?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Em que medida os municípios contrataram consultorias ou soluções tecnológicas de terceiros para suporte à adequação à LGPD?</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O material didático orientativo elaborado pela equipe de auditoria do TCE-RJ no ciclo anterior ("Os 6 passos para adequação à LGPD" - Anexo 07 do Relatório da Fiscalização nº 60/2024) foi conhecido e utilizado pelas equipes municipais?</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Em que medida o guia "Os 6 passos para adequação à LGPD" contribuiu concretamente para nortear e impulsionar o processo de adequação das prefeituras, e quais passos apresentaram maior facilidade ou dificuldade de implementação prática?</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Quais opiniões, críticas e sugestões de melhoria (ex.: novos modelos, guias temáticos específicos, minutas contratuais, aprofundamento técnico) foram apresentadas pelos gestores para aprimorar os materiais orientativos e elevar a efetividade da fiscalização corrente?</w:t>
            </w:r>
          </w:p>
          <w:p ns2:paraId="4ED18313" ns2:textId="42BA0AFF">
            <w:pPr>
              <w:pStyle w:val="1012"/>
              <w:numPr>
                <w:ilvl w:val="0"/>
                <w:numId w:val="4"/>
              </w:numPr>
              <w:pBdr/>
              <w:spacing/>
              <w:ind/>
              <w:rPr>
                <w:rFonts w:ascii="Arial" w:hAnsi="Arial" w:cs="Arial"/>
                <w:sz w:val="20"/>
                <w:szCs w:val="20"/>
              </w:rPr>
            </w:pPr>
            <w:r>
              <w:rPr>
                <w:rFonts w:ascii="Arial" w:hAnsi="Arial" w:cs="Arial"/>
                <w:sz w:val="20"/>
                <w:szCs w:val="20"/>
              </w:rPr>
              <w:t>Quais são os principais desafios, deficiências estruturais e pontos de atenção relatados abertamente pelos jurisdicionados?</w:t>
            </w:r>
          </w:p>
        </w:tc>
      </w:tr>
      <w:tr>
        <w:trPr>
          <w:tblHeader/>
        </w:trPr>
        <w:tc>
          <w:tcPr>
            <w:gridSpan w:val="6"/>
            <w:shd w:val="clear" w:color="auto" w:fill="bdd6ee" w:themeFill="accent5" w:themeFillTint="66"/>
            <w:tcBorders/>
            <w:tcW w:w="5000" w:type="pct"/>
          </w:tcPr>
          <w:p ns2:paraId="63566D7E" ns2:textId="69F154AC">
            <w:pPr>
              <w:pBdr/>
              <w:spacing w:after="120"/>
              <w:ind/>
              <w:jc w:val="both"/>
              <w:rPr>
                <w:rFonts w:ascii="Arial" w:hAnsi="Arial" w:cs="Arial"/>
                <w:b/>
                <w:sz w:val="20"/>
                <w:szCs w:val="20"/>
              </w:rPr>
            </w:pPr>
            <w:r>
              <w:rPr>
                <w:rFonts w:ascii="Arial" w:hAnsi="Arial" w:cs="Arial"/>
                <w:b/>
                <w:sz w:val="20"/>
                <w:szCs w:val="20"/>
              </w:rPr>
              <w:t>Não se aplica: questão de levantamento, sem formulação de risco de achado.</w:t>
            </w:r>
          </w:p>
        </w:tc>
      </w:tr>
    </w:tbl>
    <w:tbl>
      <w:tblPr>
        <w:tblStyle w:val="1011"/>
        <w:tblW w:w="5000" w:type="pct"/>
        <w:tblBorders/>
        <w:tblLook w:val="04A0" w:firstRow="1" w:lastRow="0" w:firstColumn="1" w:lastColumn="0" w:noHBand="0" w:noVBand="1"/>
      </w:tblPr>
      <w:tblGrid>
        <w:gridCol w:w="2258"/>
        <w:gridCol w:w="3170"/>
        <w:gridCol w:w="3622"/>
        <w:gridCol w:w="4530"/>
        <w:gridCol w:w="4078"/>
        <w:gridCol w:w="4700"/>
      </w:tblGrid>
      <w:tr>
        <w:trPr>
          <w:tblHeader/>
        </w:trPr>
        <w:tc>
          <w:tcPr>
            <w:tcBorders/>
            <w:tcW w:w="2259" w:type="dxa"/>
            <w:vAlign w:val="center"/>
          </w:tcPr>
          <w:p ns2:paraId="5C2D7232" ns2:textId="280A56F4">
            <w:pPr>
              <w:pBdr/>
              <w:spacing w:after="0" w:before="40"/>
              <w:ind/>
              <w:jc w:val="center"/>
              <w:rPr>
                <w:rFonts w:ascii="Arial" w:hAnsi="Arial" w:cs="Arial"/>
                <w:b/>
                <w:bCs/>
                <w:sz w:val="16"/>
                <w:szCs w:val="16"/>
              </w:rPr>
            </w:pPr>
            <w:r>
              <w:rPr>
                <w:rFonts w:ascii="Arial" w:hAnsi="Arial" w:cs="Arial"/>
                <w:b/>
                <w:bCs/>
                <w:sz w:val="16"/>
                <w:szCs w:val="16"/>
              </w:rPr>
              <w:t>FONTES DE INFORMAÇÃO</w:t>
            </w:r>
          </w:p>
        </w:tc>
        <w:tc>
          <w:tcPr>
            <w:tcBorders/>
            <w:tcW w:w="3172" w:type="dxa"/>
            <w:vAlign w:val="center"/>
          </w:tcPr>
          <w:p ns2:paraId="7208CA25" ns2:textId="5376F66C">
            <w:pPr>
              <w:pBdr/>
              <w:spacing w:after="0" w:before="40"/>
              <w:ind/>
              <w:jc w:val="center"/>
              <w:rPr>
                <w:rFonts w:ascii="Arial" w:hAnsi="Arial" w:cs="Arial"/>
                <w:b/>
                <w:bCs/>
                <w:sz w:val="16"/>
                <w:szCs w:val="16"/>
              </w:rPr>
            </w:pPr>
            <w:r>
              <w:rPr>
                <w:rFonts w:ascii="Arial" w:hAnsi="Arial" w:cs="Arial"/>
                <w:b/>
                <w:bCs/>
                <w:sz w:val="16"/>
                <w:szCs w:val="16"/>
              </w:rPr>
              <w:t>INFORMAÇÕES REQUERIDAS</w:t>
            </w:r>
          </w:p>
        </w:tc>
        <w:tc>
          <w:tcPr>
            <w:tcBorders/>
            <w:tcW w:w="5471" w:type="dxa"/>
            <w:vAlign w:val="center"/>
          </w:tcPr>
          <w:p ns2:paraId="563FD7FD" ns2:textId="77777777">
            <w:pPr>
              <w:pBdr/>
              <w:spacing w:after="0" w:before="40"/>
              <w:ind/>
              <w:jc w:val="center"/>
              <w:rPr>
                <w:rFonts w:ascii="Arial" w:hAnsi="Arial" w:cs="Arial"/>
                <w:b/>
                <w:bCs/>
                <w:sz w:val="16"/>
                <w:szCs w:val="16"/>
              </w:rPr>
            </w:pPr>
            <w:r>
              <w:rPr>
                <w:rFonts w:ascii="Arial" w:hAnsi="Arial" w:cs="Arial"/>
                <w:b/>
                <w:bCs/>
                <w:sz w:val="16"/>
                <w:szCs w:val="16"/>
              </w:rPr>
              <w:t>CRITÉRIOS</w:t>
            </w:r>
          </w:p>
        </w:tc>
        <w:tc>
          <w:tcPr>
            <w:tcBorders/>
            <w:tcW w:w="2684" w:type="dxa"/>
            <w:vAlign w:val="center"/>
          </w:tcPr>
          <w:p ns2:paraId="6A4DEA23" ns2:textId="77777777">
            <w:pPr>
              <w:pBdr/>
              <w:spacing w:after="0" w:before="40"/>
              <w:ind/>
              <w:jc w:val="center"/>
              <w:rPr>
                <w:rFonts w:ascii="Arial" w:hAnsi="Arial" w:cs="Arial"/>
                <w:b/>
                <w:bCs/>
                <w:strike/>
                <w:sz w:val="16"/>
                <w:szCs w:val="16"/>
              </w:rPr>
            </w:pPr>
            <w:r>
              <w:rPr>
                <w:rFonts w:ascii="Arial" w:hAnsi="Arial" w:cs="Arial"/>
                <w:b/>
                <w:bCs/>
                <w:sz w:val="16"/>
                <w:szCs w:val="16"/>
              </w:rPr>
              <w:t>PROCEDIMENTO DE AUDITORIA</w:t>
            </w:r>
          </w:p>
        </w:tc>
        <w:tc>
          <w:tcPr>
            <w:tcBorders/>
            <w:tcW w:w="4080" w:type="dxa"/>
            <w:vAlign w:val="center"/>
          </w:tcPr>
          <w:p ns2:paraId="4A1C29C4" ns2:textId="77777777">
            <w:pPr>
              <w:pBdr/>
              <w:spacing w:after="0" w:before="40"/>
              <w:ind/>
              <w:jc w:val="center"/>
              <w:rPr>
                <w:rFonts w:ascii="Arial" w:hAnsi="Arial" w:cs="Arial"/>
                <w:b/>
                <w:bCs/>
                <w:sz w:val="16"/>
                <w:szCs w:val="16"/>
              </w:rPr>
            </w:pPr>
            <w:r>
              <w:rPr>
                <w:rFonts w:ascii="Arial" w:hAnsi="Arial" w:cs="Arial"/>
                <w:b/>
                <w:bCs/>
                <w:sz w:val="16"/>
                <w:szCs w:val="16"/>
              </w:rPr>
              <w:t>POSSÍVEIS EVIDÊNCIAS</w:t>
            </w:r>
          </w:p>
        </w:tc>
        <w:tc>
          <w:tcPr>
            <w:tcBorders/>
            <w:tcW w:w="4702" w:type="dxa"/>
            <w:vAlign w:val="center"/>
          </w:tcPr>
          <w:p ns2:paraId="357B1101" ns2:textId="77777777">
            <w:pPr>
              <w:pBdr/>
              <w:spacing w:after="0" w:before="40"/>
              <w:ind/>
              <w:jc w:val="center"/>
              <w:rPr>
                <w:rFonts w:ascii="Arial" w:hAnsi="Arial" w:cs="Arial"/>
                <w:b/>
                <w:bCs/>
                <w:sz w:val="16"/>
                <w:szCs w:val="16"/>
              </w:rPr>
            </w:pPr>
            <w:r>
              <w:rPr>
                <w:rFonts w:ascii="Arial" w:hAnsi="Arial" w:cs="Arial"/>
                <w:b/>
                <w:bCs/>
                <w:sz w:val="16"/>
                <w:szCs w:val="16"/>
              </w:rPr>
              <w:t>ANÁLISE / RESULTADOS</w:t>
            </w:r>
          </w:p>
        </w:tc>
      </w:tr>
      <w:tr>
        <w:trPr/>
        <w:tc>
          <w:tcPr>
            <w:tcBorders/>
            <w:tcW w:w="2259" w:type="dxa"/>
            <w:vAlign w:val="center"/>
          </w:tcPr>
          <w:p ns2:paraId="07477FA7" ns2:textId="4BBAC042">
            <w:pPr>
              <w:pBdr/>
              <w:spacing w:after="120"/>
              <w:ind/>
              <w:jc w:val="both"/>
              <w:rPr>
                <w:rFonts w:ascii="Arial" w:hAnsi="Arial" w:cs="Arial"/>
                <w:sz w:val="18"/>
                <w:szCs w:val="18"/>
              </w:rPr>
            </w:pPr>
            <w:r>
              <w:rPr>
                <w:rFonts w:ascii="Arial" w:hAnsi="Arial" w:cs="Arial"/>
                <w:sz w:val="18"/>
                <w:szCs w:val="18"/>
              </w:rPr>
              <w:t>F1: Sistema de questionários eletrônicos do TCE-RJ utilizado na fiscalização da LGPD de 2026.</w:t>
            </w:r>
          </w:p>
          <w:p ns2:paraId="07477FA7" ns2:textId="4BBAC042">
            <w:pPr>
              <w:pBdr/>
              <w:spacing w:after="120"/>
              <w:ind/>
              <w:jc w:val="both"/>
              <w:rPr>
                <w:rFonts w:ascii="Arial" w:hAnsi="Arial" w:cs="Arial"/>
                <w:sz w:val="18"/>
                <w:szCs w:val="18"/>
              </w:rPr>
            </w:pPr>
            <w:r>
              <w:rPr>
                <w:rFonts w:ascii="Arial" w:hAnsi="Arial" w:cs="Arial"/>
                <w:sz w:val="18"/>
                <w:szCs w:val="18"/>
              </w:rPr>
              <w:t>F2: Sistema de apoio à fiscalização do TCE-RJ, que mantém a base histórica de respostas e pontuações da fiscalização temática de 2024.</w:t>
            </w:r>
          </w:p>
          <w:p ns2:paraId="07477FA7" ns2:textId="4BBAC042">
            <w:pPr>
              <w:pBdr/>
              <w:spacing w:after="120"/>
              <w:ind/>
              <w:jc w:val="both"/>
              <w:rPr>
                <w:rFonts w:ascii="Arial" w:hAnsi="Arial" w:cs="Arial"/>
                <w:sz w:val="18"/>
                <w:szCs w:val="18"/>
              </w:rPr>
            </w:pPr>
            <w:r>
              <w:rPr>
                <w:rFonts w:ascii="Arial" w:hAnsi="Arial" w:cs="Arial"/>
                <w:sz w:val="18"/>
                <w:szCs w:val="18"/>
              </w:rPr>
              <w:t>F3: Gestores municipais responsáveis pelas informações sobre contratações, pela avaliação do guia "Os 6 passos" e pelas considerações abertas.</w:t>
            </w:r>
          </w:p>
          <w:p ns2:paraId="07477FA7" ns2:textId="4BBAC042">
            <w:pPr>
              <w:pBdr/>
              <w:spacing w:after="120"/>
              <w:ind/>
              <w:jc w:val="both"/>
              <w:rPr>
                <w:rFonts w:ascii="Arial" w:hAnsi="Arial" w:cs="Arial"/>
                <w:sz w:val="18"/>
                <w:szCs w:val="18"/>
              </w:rPr>
            </w:pPr>
            <w:r>
              <w:rPr>
                <w:rFonts w:ascii="Arial" w:hAnsi="Arial" w:cs="Arial"/>
                <w:sz w:val="18"/>
                <w:szCs w:val="18"/>
              </w:rPr>
              <w:t>F4: Repositório institucional do TCE-RJ que mantém o guia "Os 6 passos para adequação à LGPD", Anexo 07 do Relatório da Fiscalização nº 60/2024.</w:t>
            </w:r>
          </w:p>
        </w:tc>
        <w:tc>
          <w:tcPr>
            <w:tcBorders/>
            <w:tcW w:w="3172" w:type="dxa"/>
            <w:vAlign w:val="center"/>
          </w:tcPr>
          <w:p ns2:paraId="1DD0E491" ns2:textId="77777777">
            <w:pPr>
              <w:pBdr/>
              <w:spacing w:after="120"/>
              <w:ind/>
              <w:jc w:val="both"/>
              <w:rPr>
                <w:rFonts w:ascii="Arial" w:hAnsi="Arial" w:cs="Arial"/>
                <w:b/>
                <w:bCs/>
                <w:sz w:val="18"/>
                <w:szCs w:val="18"/>
              </w:rPr>
            </w:pPr>
            <w:r>
              <w:rPr>
                <w:rFonts w:ascii="Arial" w:hAnsi="Arial" w:cs="Arial"/>
                <w:sz w:val="18"/>
                <w:szCs w:val="18"/>
              </w:rPr>
              <w:t>IR1: Pontuações por dimensão temática e índice geral iLGPD 2026 calculadas para as 91 prefeituras; [F1]</w:t>
            </w:r>
          </w:p>
          <w:p ns2:paraId="1DD0E491" ns2:textId="77777777">
            <w:pPr>
              <w:pBdr/>
              <w:spacing w:after="120"/>
              <w:ind/>
              <w:jc w:val="both"/>
              <w:rPr>
                <w:rFonts w:ascii="Arial" w:hAnsi="Arial" w:cs="Arial"/>
                <w:b/>
                <w:bCs/>
                <w:sz w:val="18"/>
                <w:szCs w:val="18"/>
              </w:rPr>
            </w:pPr>
            <w:r>
              <w:rPr>
                <w:rFonts w:ascii="Arial" w:hAnsi="Arial" w:cs="Arial"/>
                <w:sz w:val="18"/>
                <w:szCs w:val="18"/>
              </w:rPr>
              <w:t>IR2: Indicadores comparáveis e histórico de notas do questionário de 2024; [F2]</w:t>
            </w:r>
          </w:p>
          <w:p ns2:paraId="1DD0E491" ns2:textId="77777777">
            <w:pPr>
              <w:pBdr/>
              <w:spacing w:after="120"/>
              <w:ind/>
              <w:jc w:val="both"/>
              <w:rPr>
                <w:rFonts w:ascii="Arial" w:hAnsi="Arial" w:cs="Arial"/>
                <w:b/>
                <w:bCs/>
                <w:sz w:val="18"/>
                <w:szCs w:val="18"/>
              </w:rPr>
            </w:pPr>
            <w:r>
              <w:rPr>
                <w:rFonts w:ascii="Arial" w:hAnsi="Arial" w:cs="Arial"/>
                <w:sz w:val="18"/>
                <w:szCs w:val="18"/>
              </w:rPr>
              <w:t>IR3: Informações prestadas sobre contratação de consultorias especializadas e soluções de software para LGPD; [F1, F3, Q111, Q112]</w:t>
            </w:r>
          </w:p>
          <w:p ns2:paraId="1DD0E491" ns2:textId="77777777">
            <w:pPr>
              <w:pBdr/>
              <w:spacing w:after="120"/>
              <w:ind/>
              <w:jc w:val="both"/>
              <w:rPr>
                <w:rFonts w:ascii="Arial" w:hAnsi="Arial" w:cs="Arial"/>
                <w:b/>
                <w:bCs/>
                <w:sz w:val="18"/>
                <w:szCs w:val="18"/>
              </w:rPr>
            </w:pPr>
            <w:r>
              <w:rPr>
                <w:rFonts w:ascii="Arial" w:hAnsi="Arial" w:cs="Arial"/>
                <w:sz w:val="18"/>
                <w:szCs w:val="18"/>
              </w:rPr>
              <w:t>IR4: Respostas quantitativas e qualitativas sobre o conhecimento, grau de utilização, utilidade prática e efetividade do guia "Os 6 passos para adequação à LGPD" no processo de adequação municipal; [F1, F3, F4, Q121, Q121[comment], Q122, Q123, Q125]</w:t>
            </w:r>
          </w:p>
          <w:p ns2:paraId="1DD0E491" ns2:textId="77777777">
            <w:pPr>
              <w:pBdr/>
              <w:spacing w:after="120"/>
              <w:ind/>
              <w:jc w:val="both"/>
              <w:rPr>
                <w:rFonts w:ascii="Arial" w:hAnsi="Arial" w:cs="Arial"/>
                <w:b/>
                <w:bCs/>
                <w:sz w:val="18"/>
                <w:szCs w:val="18"/>
              </w:rPr>
            </w:pPr>
            <w:r>
              <w:rPr>
                <w:rFonts w:ascii="Arial" w:hAnsi="Arial" w:cs="Arial"/>
                <w:sz w:val="18"/>
                <w:szCs w:val="18"/>
              </w:rPr>
              <w:t>IR5: Opiniões, críticas e propostas de aprimoramento sugeridas pelos auditados para futuros guias e materiais didáticos do Tribunal; [F1, F3, Q124, Q125]</w:t>
            </w:r>
          </w:p>
          <w:p ns2:paraId="1DD0E491" ns2:textId="77777777">
            <w:pPr>
              <w:pBdr/>
              <w:spacing w:after="120"/>
              <w:ind/>
              <w:jc w:val="both"/>
              <w:rPr>
                <w:rFonts w:ascii="Arial" w:hAnsi="Arial" w:cs="Arial"/>
                <w:b/>
                <w:bCs/>
                <w:sz w:val="18"/>
                <w:szCs w:val="18"/>
              </w:rPr>
            </w:pPr>
            <w:r>
              <w:rPr>
                <w:rFonts w:ascii="Arial" w:hAnsi="Arial" w:cs="Arial"/>
                <w:sz w:val="18"/>
                <w:szCs w:val="18"/>
              </w:rPr>
              <w:t>IR6: Relatos abertos registrados pelos jurisdicionados sobre os principais desafios e deficiências para a conformidade à LGPD; [F1, Q132]</w:t>
            </w:r>
          </w:p>
        </w:tc>
        <w:tc>
          <w:tcPr>
            <w:tcBorders/>
            <w:tcW w:w="5471" w:type="dxa"/>
            <w:vAlign w:val="center"/>
          </w:tcPr>
          <w:p ns2:paraId="2667BB09" ns2:textId="2C1623C1">
            <w:pPr>
              <w:pStyle w:val="1010"/>
              <w:pBdr/>
              <w:spacing w:after="120"/>
              <w:ind/>
              <w:jc w:val="both"/>
              <w:rPr>
                <w:bCs/>
                <w:color w:val="auto"/>
                <w:sz w:val="18"/>
                <w:szCs w:val="18"/>
                <w:vertAlign w:val="superscript"/>
              </w:rPr>
            </w:pPr>
            <w:r>
              <w:rPr>
                <w:bCs/>
                <w:color w:val="auto"/>
                <w:sz w:val="18"/>
                <w:szCs w:val="18"/>
              </w:rPr>
              <w:t>Não se aplica como critério de conformidade: análise orientada pelas fontes e pelos procedimentos definidos.</w:t>
            </w:r>
          </w:p>
        </w:tc>
        <w:tc>
          <w:tcPr>
            <w:tcBorders/>
            <w:tcW w:w="2684" w:type="dxa"/>
            <w:vAlign w:val="center"/>
          </w:tcPr>
          <w:p ns2:paraId="4C6E5B2E" ns2:textId="42100C78">
            <w:pPr>
              <w:pStyle w:val="1010"/>
              <w:pBdr/>
              <w:spacing w:after="120"/>
              <w:ind/>
              <w:jc w:val="both"/>
              <w:rPr>
                <w:b/>
                <w:bCs/>
                <w:color w:val="auto"/>
                <w:sz w:val="18"/>
                <w:szCs w:val="18"/>
              </w:rPr>
            </w:pPr>
            <w:r>
              <w:rPr>
                <w:color w:val="auto"/>
                <w:sz w:val="18"/>
                <w:szCs w:val="18"/>
              </w:rPr>
              <w:t>P1: Calcular o índice iLGPD 2026 para os 91 municípios aplicando a metodologia ponderada do Tribunal; [IR1]</w:t>
            </w:r>
          </w:p>
          <w:p ns2:paraId="4C6E5B2E" ns2:textId="42100C78">
            <w:pPr>
              <w:pStyle w:val="1010"/>
              <w:pBdr/>
              <w:spacing w:after="120"/>
              <w:ind/>
              <w:jc w:val="both"/>
              <w:rPr>
                <w:b/>
                <w:bCs/>
                <w:color w:val="auto"/>
                <w:sz w:val="18"/>
                <w:szCs w:val="18"/>
              </w:rPr>
            </w:pPr>
            <w:r>
              <w:rPr>
                <w:color w:val="auto"/>
                <w:sz w:val="18"/>
                <w:szCs w:val="18"/>
              </w:rPr>
              <w:t>P2: Confrontar os índices de 2026 com os resultados históricos de 2024 para mensurar a variação percentual agregada e individual; [IR2]</w:t>
            </w:r>
          </w:p>
          <w:p ns2:paraId="4C6E5B2E" ns2:textId="42100C78">
            <w:pPr>
              <w:pStyle w:val="1010"/>
              <w:pBdr/>
              <w:spacing w:after="120"/>
              <w:ind/>
              <w:jc w:val="both"/>
              <w:rPr>
                <w:b/>
                <w:bCs/>
                <w:color w:val="auto"/>
                <w:sz w:val="18"/>
                <w:szCs w:val="18"/>
              </w:rPr>
            </w:pPr>
            <w:r>
              <w:rPr>
                <w:color w:val="auto"/>
                <w:sz w:val="18"/>
                <w:szCs w:val="18"/>
              </w:rPr>
              <w:t>P3: Consolidar as respostas aos itens Q111 e Q112 relativas a contratações de serviços de terceiros e soluções tecnológicas voltadas à LGPD; [IR3]</w:t>
            </w:r>
          </w:p>
          <w:p ns2:paraId="4C6E5B2E" ns2:textId="42100C78">
            <w:pPr>
              <w:pStyle w:val="1010"/>
              <w:pBdr/>
              <w:spacing w:after="120"/>
              <w:ind/>
              <w:jc w:val="both"/>
              <w:rPr>
                <w:b/>
                <w:bCs/>
                <w:color w:val="auto"/>
                <w:sz w:val="18"/>
                <w:szCs w:val="18"/>
              </w:rPr>
            </w:pPr>
            <w:r>
              <w:rPr>
                <w:color w:val="auto"/>
                <w:sz w:val="18"/>
                <w:szCs w:val="18"/>
              </w:rPr>
              <w:t>P4: Tabular e analisar as respostas aos itens Q121, Q122, Q123 e Q125 sobre o guia "Os 6 passos para adequação à LGPD", mensurando utilização, relevância percebida e gargalos enfrentados na execução de cada passo; [IR4]</w:t>
            </w:r>
          </w:p>
          <w:p ns2:paraId="4C6E5B2E" ns2:textId="42100C78">
            <w:pPr>
              <w:pStyle w:val="1010"/>
              <w:pBdr/>
              <w:spacing w:after="120"/>
              <w:ind/>
              <w:jc w:val="both"/>
              <w:rPr>
                <w:b/>
                <w:bCs/>
                <w:color w:val="auto"/>
                <w:sz w:val="18"/>
                <w:szCs w:val="18"/>
              </w:rPr>
            </w:pPr>
            <w:r>
              <w:rPr>
                <w:color w:val="auto"/>
                <w:sz w:val="18"/>
                <w:szCs w:val="18"/>
              </w:rPr>
              <w:t>P5: Compilar e classificar as propostas de melhoria, críticas e demandas formuladas nos itens Q124 e Q125 para subsidiar o aprimoramento pedagógico do Tribunal e potencializar os impactos da fiscalização corrente; [IR5]</w:t>
            </w:r>
          </w:p>
          <w:p ns2:paraId="4C6E5B2E" ns2:textId="42100C78">
            <w:pPr>
              <w:pStyle w:val="1010"/>
              <w:pBdr/>
              <w:spacing w:after="120"/>
              <w:ind/>
              <w:jc w:val="both"/>
              <w:rPr>
                <w:b/>
                <w:bCs/>
                <w:color w:val="auto"/>
                <w:sz w:val="18"/>
                <w:szCs w:val="18"/>
              </w:rPr>
            </w:pPr>
            <w:r>
              <w:rPr>
                <w:color w:val="auto"/>
                <w:sz w:val="18"/>
                <w:szCs w:val="18"/>
              </w:rPr>
              <w:t>P6: Mapear e categorizar tematicamente as manifestações abertas registradas pelos gestores no item Q132; [IR6]</w:t>
            </w:r>
          </w:p>
        </w:tc>
        <w:tc>
          <w:tcPr>
            <w:tcBorders/>
            <w:tcW w:w="4080" w:type="dxa"/>
            <w:vAlign w:val="center"/>
          </w:tcPr>
          <w:p ns2:paraId="1E80855F" ns2:textId="1D853748">
            <w:pPr>
              <w:pBdr/>
              <w:spacing w:after="120"/>
              <w:ind/>
              <w:jc w:val="both"/>
              <w:rPr>
                <w:rFonts w:ascii="Arial" w:hAnsi="Arial" w:cs="Arial"/>
                <w:sz w:val="18"/>
                <w:szCs w:val="18"/>
              </w:rPr>
            </w:pPr>
            <w:r>
              <w:rPr>
                <w:rFonts w:ascii="Arial" w:hAnsi="Arial" w:cs="Arial"/>
                <w:sz w:val="18"/>
                <w:szCs w:val="18"/>
              </w:rPr>
              <w:t>E1: Tabela de escores, ranking e distribuição dos níveis de maturidade no índice iLGPD 2026; [P1]</w:t>
            </w:r>
          </w:p>
          <w:p ns2:paraId="1E80855F" ns2:textId="1D853748">
            <w:pPr>
              <w:pBdr/>
              <w:spacing w:after="120"/>
              <w:ind/>
              <w:jc w:val="both"/>
              <w:rPr>
                <w:rFonts w:ascii="Arial" w:hAnsi="Arial" w:cs="Arial"/>
                <w:sz w:val="18"/>
                <w:szCs w:val="18"/>
              </w:rPr>
            </w:pPr>
            <w:r>
              <w:rPr>
                <w:rFonts w:ascii="Arial" w:hAnsi="Arial" w:cs="Arial"/>
                <w:sz w:val="18"/>
                <w:szCs w:val="18"/>
              </w:rPr>
              <w:t>E2: Gráficos e painéis de evolução comparativa 2024–2026 por dimensão de privacidade; [P2]</w:t>
            </w:r>
          </w:p>
          <w:p ns2:paraId="1E80855F" ns2:textId="1D853748">
            <w:pPr>
              <w:pBdr/>
              <w:spacing w:after="120"/>
              <w:ind/>
              <w:jc w:val="both"/>
              <w:rPr>
                <w:rFonts w:ascii="Arial" w:hAnsi="Arial" w:cs="Arial"/>
                <w:sz w:val="18"/>
                <w:szCs w:val="18"/>
              </w:rPr>
            </w:pPr>
            <w:r>
              <w:rPr>
                <w:rFonts w:ascii="Arial" w:hAnsi="Arial" w:cs="Arial"/>
                <w:sz w:val="18"/>
                <w:szCs w:val="18"/>
              </w:rPr>
              <w:t>E3: Relatório analítico sobre o panorama de contratações de consultorias e soluções tecnológicas municipais; [P3]</w:t>
            </w:r>
          </w:p>
          <w:p ns2:paraId="1E80855F" ns2:textId="1D853748">
            <w:pPr>
              <w:pBdr/>
              <w:spacing w:after="120"/>
              <w:ind/>
              <w:jc w:val="both"/>
              <w:rPr>
                <w:rFonts w:ascii="Arial" w:hAnsi="Arial" w:cs="Arial"/>
                <w:sz w:val="18"/>
                <w:szCs w:val="18"/>
              </w:rPr>
            </w:pPr>
            <w:r>
              <w:rPr>
                <w:rFonts w:ascii="Arial" w:hAnsi="Arial" w:cs="Arial"/>
                <w:sz w:val="18"/>
                <w:szCs w:val="18"/>
              </w:rPr>
              <w:t>E4: Painel diagnóstico de avaliação do guia pedagógico "Os 6 passos para adequação à LGPD", contendo notas de utilidade, gargalos metodológicos apontados e índice de conhecimento prévio pelos gestores; [P4]</w:t>
            </w:r>
          </w:p>
          <w:p ns2:paraId="1E80855F" ns2:textId="1D853748">
            <w:pPr>
              <w:pBdr/>
              <w:spacing w:after="120"/>
              <w:ind/>
              <w:jc w:val="both"/>
              <w:rPr>
                <w:rFonts w:ascii="Arial" w:hAnsi="Arial" w:cs="Arial"/>
                <w:sz w:val="18"/>
                <w:szCs w:val="18"/>
              </w:rPr>
            </w:pPr>
            <w:r>
              <w:rPr>
                <w:rFonts w:ascii="Arial" w:hAnsi="Arial" w:cs="Arial"/>
                <w:sz w:val="18"/>
                <w:szCs w:val="18"/>
              </w:rPr>
              <w:t>E5: Caderno de propostas e oportunidades de melhoria sugeridas pelos auditados para o aperfeiçoamento das ações indutoras do Tribunal de Contas; [P5]</w:t>
            </w:r>
          </w:p>
          <w:p ns2:paraId="1E80855F" ns2:textId="1D853748">
            <w:pPr>
              <w:pBdr/>
              <w:spacing w:after="120"/>
              <w:ind/>
              <w:jc w:val="both"/>
              <w:rPr>
                <w:rFonts w:ascii="Arial" w:hAnsi="Arial" w:cs="Arial"/>
                <w:sz w:val="18"/>
                <w:szCs w:val="18"/>
              </w:rPr>
            </w:pPr>
            <w:r>
              <w:rPr>
                <w:rFonts w:ascii="Arial" w:hAnsi="Arial" w:cs="Arial"/>
                <w:sz w:val="18"/>
                <w:szCs w:val="18"/>
              </w:rPr>
              <w:t>E6: Matriz temática de desafios práticos e gargalos estruturais compilados a partir dos relatos livres dos jurisdicionados; [P6]</w:t>
            </w:r>
          </w:p>
        </w:tc>
        <w:tc>
          <w:tcPr>
            <w:tcBorders/>
            <w:tcW w:w="4702" w:type="dxa"/>
            <w:vAlign w:val="center"/>
          </w:tcPr>
          <w:p ns2:paraId="11118515" ns2:textId="02403B9E">
            <w:pPr>
              <w:pBdr/>
              <w:spacing w:after="120"/>
              <w:ind w:firstLine="0" w:left="0"/>
              <w:jc w:val="both"/>
              <w:rPr>
                <w:rFonts w:ascii="Arial" w:hAnsi="Arial" w:cs="Arial"/>
                <w:sz w:val="18"/>
                <w:szCs w:val="18"/>
              </w:rPr>
            </w:pPr>
            <w:r>
              <w:rPr>
                <w:rFonts w:ascii="Arial" w:hAnsi="Arial" w:cs="Arial"/>
                <w:b/>
                <w:bCs/>
                <w:sz w:val="18"/>
                <w:szCs w:val="18"/>
              </w:rPr>
              <w:t>Não se aplica: questão de levantamento, sem geração de achado individual.</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O que a análise permite dizer:</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O panorama atualizado e comparativo do grau de conformidade e maturidade das administrações municipais em relação às exigências da LGPD.</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A mensuração do impacto pedagógico e orientador da atuação prévia do TCE-RJ por meio do guia "Os 6 passos para adequação à LGPD", identificando em que medida o material serviu de suporte prático aos municípios e quais foram seus pontos fortes e limitações.</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As principais carências, desafios técnicos e demandas relatadas pelos municípios, orientando futuras ações capacitadoras, notas técnicas e materiais instrucionais da Corte de Contas.</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O mapeamento do ecossistema de contratações públicas de consultorias e soluções tecnológicas no âmbito municipal voltadas à governança em privacidade.</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Limitações e cautelas:</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Os dados do iLGPD baseiam-se em respostas declaratórias e amostragens documentais, expressando uma aproximação diagnóstica da maturidade institucional.</w:t>
            </w:r>
          </w:p>
          <w:p ns2:paraId="11118515" ns2:textId="02403B9E">
            <w:pPr>
              <w:pBdr/>
              <w:spacing w:after="120"/>
              <w:ind w:firstLine="0" w:left="0"/>
              <w:jc w:val="both"/>
              <w:rPr>
                <w:rFonts w:ascii="Arial" w:hAnsi="Arial" w:cs="Arial"/>
                <w:sz w:val="18"/>
                <w:szCs w:val="18"/>
              </w:rPr>
            </w:pPr>
            <w:r>
              <w:rPr>
                <w:rFonts w:ascii="Arial" w:hAnsi="Arial" w:cs="Arial"/>
                <w:b/>
                <w:bCs/>
                <w:sz w:val="18"/>
                <w:szCs w:val="18"/>
              </w:rPr>
              <w:t>A avaliação do material didático expressa a percepção dos respondentes e pode ser influenciada pela rotatividade das equipes municipais.</w:t>
            </w:r>
          </w:p>
        </w:tc>
      </w:tr>
    </w:tbl>
    <w:p/>
    <w:tbl>
      <w:tblPr>
        <w:tblStyle w:val="1011"/>
        <w:tblW w:w="5000" w:type="pct"/>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1873"/>
        <w:gridCol w:w="10495"/>
      </w:tblGrid>
      <w:tr>
        <w:trPr/>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654" w:type="pct"/>
          </w:tcPr>
          <w:p ns2:paraId="27086525" ns2:textId="5BC84706">
            <w:pPr>
              <w:pBdr/>
              <w:spacing w:line="276" w:lineRule="auto"/>
              <w:ind/>
              <w:rPr>
                <w:rFonts w:ascii="Arial" w:hAnsi="Arial" w:cs="Arial"/>
                <w:b/>
                <w:bCs/>
              </w:rPr>
            </w:pPr>
            <w:r>
              <w:rPr>
                <w:rFonts w:ascii="Arial" w:hAnsi="Arial" w:cs="Arial"/>
              </w:rPr>
              <w:br w:type="page" w:clear="all"/>
            </w:r>
            <w:r>
              <w:rPr>
                <w:rFonts w:ascii="Arial" w:hAnsi="Arial" w:cs="Arial"/>
                <w:b/>
                <w:bCs/>
              </w:rPr>
              <w:t xml:space="preserve">Equipe de Auditoria</w:t>
            </w:r>
            <w:r>
              <w:rPr>
                <w:rFonts w:ascii="Arial" w:hAnsi="Arial" w:cs="Arial"/>
                <w:b/>
                <w:bCs/>
              </w:rPr>
            </w:r>
            <w:r>
              <w:rPr>
                <w:rFonts w:ascii="Arial" w:hAnsi="Arial" w:cs="Arial"/>
                <w:b/>
                <w:bCs/>
              </w:rPr>
            </w:r>
          </w:p>
        </w:tc>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346" w:type="pct"/>
          </w:tcPr>
          <w:p ns2:paraId="081D154F" ns2:textId="77777777">
            <w:pPr>
              <w:pBdr/>
              <w:spacing w:line="276" w:lineRule="auto"/>
              <w:ind/>
              <w:rPr>
                <w:rFonts w:ascii="Arial" w:hAnsi="Arial" w:cs="Arial"/>
                <w:b/>
                <w:bCs/>
              </w:rPr>
            </w:pPr>
            <w:r>
              <w:rPr>
                <w:rFonts w:ascii="Arial" w:hAnsi="Arial" w:cs="Arial"/>
                <w:b/>
                <w:bCs/>
              </w:rPr>
              <w:t xml:space="preserve">Supervisor</w:t>
            </w:r>
            <w:r>
              <w:rPr>
                <w:rFonts w:ascii="Arial" w:hAnsi="Arial" w:cs="Arial"/>
                <w:b/>
                <w:bCs/>
              </w:rPr>
            </w:r>
            <w:r>
              <w:rPr>
                <w:rFonts w:ascii="Arial" w:hAnsi="Arial" w:cs="Arial"/>
                <w:b/>
                <w:bCs/>
              </w:rPr>
            </w:r>
          </w:p>
        </w:tc>
      </w:tr>
      <w:tr>
        <w:trPr/>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654" w:type="pct"/>
          </w:tcPr>
          <w:p ns2:paraId="1C42D2D4" ns2:textId="44C819D1">
            <w:pPr>
              <w:pBdr/>
              <w:spacing w:line="276" w:lineRule="auto"/>
              <w:ind/>
              <w:rPr>
                <w:rFonts w:ascii="Arial" w:hAnsi="Arial" w:cs="Arial"/>
              </w:rPr>
            </w:pPr>
            <w:r>
              <w:rPr>
                <w:rFonts w:ascii="Arial" w:hAnsi="Arial" w:cs="Arial"/>
                <w:color w:val="212529"/>
                <w:shd w:val="clear" w:color="auto" w:fill="ffffff"/>
              </w:rPr>
              <w:t/>
            </w:r>
          </w:p>
        </w:tc>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346" w:type="pct"/>
          </w:tcPr>
          <w:p ns2:paraId="4A9ED85F" ns2:textId="2B0DC6CF">
            <w:pPr>
              <w:pBdr/>
              <w:spacing w:line="276" w:lineRule="auto"/>
              <w:ind/>
              <w:rPr>
                <w:rFonts w:ascii="Arial" w:hAnsi="Arial" w:cs="Arial"/>
              </w:rPr>
            </w:pPr>
            <w:r>
              <w:rPr>
                <w:rFonts w:ascii="Arial" w:hAnsi="Arial" w:cs="Arial"/>
                <w:lang w:eastAsia="en-US"/>
              </w:rPr>
              <w:t/>
            </w:r>
          </w:p>
        </w:tc>
      </w:tr>
      <w:tr>
        <w:trPr/>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654" w:type="pct"/>
          </w:tcPr>
          <w:p ns2:paraId="477C9695" ns2:textId="261A00B8">
            <w:pPr>
              <w:pBdr/>
              <w:spacing w:line="276" w:lineRule="auto"/>
              <w:ind/>
              <w:rPr>
                <w:rFonts w:ascii="Arial" w:hAnsi="Arial" w:cs="Arial"/>
                <w:color w:val="212529"/>
                <w:shd w:val="clear" w:color="auto" w:fill="ffffff"/>
              </w:rPr>
            </w:pPr>
            <w:r>
              <w:rPr>
                <w:rFonts w:ascii="Arial" w:hAnsi="Arial" w:cs="Arial"/>
                <w:color w:val="212529"/>
                <w:shd w:val="clear" w:color="auto" w:fill="ffffff"/>
              </w:rPr>
              <w:t/>
            </w:r>
          </w:p>
        </w:tc>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346" w:type="pct"/>
          </w:tcPr>
          <w:p ns2:paraId="11A9A3E1" ns2:textId="77777777">
            <w:pPr>
              <w:pBdr/>
              <w:spacing w:line="276" w:lineRule="auto"/>
              <w:ind/>
              <w:rPr>
                <w:rFonts w:ascii="Arial" w:hAnsi="Arial" w:cs="Arial"/>
                <w:lang w:eastAsia="en-US"/>
              </w:rPr>
            </w:pPr>
            <w:r>
              <w:rPr>
                <w:rFonts w:ascii="Arial" w:hAnsi="Arial" w:cs="Arial"/>
                <w:lang w:eastAsia="en-US"/>
              </w:rPr>
              <w:t/>
            </w:r>
          </w:p>
        </w:tc>
      </w:tr>
      <w:tr>
        <w:trPr/>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654" w:type="pct"/>
          </w:tcPr>
          <w:p ns2:paraId="7C650FE0" ns2:textId="156A8C0C">
            <w:pPr>
              <w:pBdr/>
              <w:spacing w:line="276" w:lineRule="auto"/>
              <w:ind/>
              <w:rPr>
                <w:rFonts w:ascii="Arial" w:hAnsi="Arial" w:cs="Arial"/>
              </w:rPr>
            </w:pPr>
            <w:r>
              <w:rPr>
                <w:rFonts w:ascii="Arial" w:hAnsi="Arial" w:cs="Arial"/>
              </w:rPr>
              <w:t/>
            </w:r>
          </w:p>
        </w:tc>
        <w:tc>
          <w:tcPr>
            <w:tcBorders>
              <w:top w:val="single" w:color="000000" w:themeColor="text1" w:sz="0" w:space="0"/>
              <w:left w:val="single" w:color="000000" w:themeColor="text1" w:sz="0" w:space="0"/>
              <w:bottom w:val="single" w:color="000000" w:themeColor="text1" w:sz="0" w:space="0"/>
              <w:right w:val="single" w:color="000000" w:themeColor="text1" w:sz="0" w:space="0"/>
            </w:tcBorders>
            <w:tcW w:w="2346" w:type="pct"/>
          </w:tcPr>
          <w:p ns2:paraId="4C1EF345" ns2:textId="77777777">
            <w:pPr>
              <w:pBdr/>
              <w:spacing w:line="276" w:lineRule="auto"/>
              <w:ind/>
              <w:rPr>
                <w:rFonts w:ascii="Arial" w:hAnsi="Arial" w:cs="Arial"/>
              </w:rPr>
            </w:pPr>
            <w:r>
              <w:rPr>
                <w:rFonts w:ascii="Arial" w:hAnsi="Arial" w:cs="Arial"/>
              </w:rPr>
              <w:t/>
            </w:r>
          </w:p>
        </w:tc>
      </w:tr>
    </w:tbl>
    <w:sectPr>
      <w:headerReference w:type="default" r:id="rId9"/>
      <w:footnotePr/>
      <w:endnotePr/>
      <w:type w:val="nextPage"/>
      <w:pgSz w:h="16840" w:orient="landscape" w:w="23808"/>
      <w:pgMar w:top="720" w:right="720" w:bottom="720" w:left="72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0858211D" w14:textId="77777777">
      <w:pPr>
        <w:pBdr/>
        <w:spacing/>
        <w:ind/>
        <w:rPr/>
      </w:pPr>
      <w:r>
        <w:separator/>
      </w:r>
      <w:r/>
    </w:p>
  </w:endnote>
  <w:endnote w:type="continuationSeparator" w:id="0">
    <w:p w14:paraId="3475EB2F" w14:textId="77777777">
      <w:pPr>
        <w:pBdr/>
        <w:spacing/>
        <w:ind/>
        <w:rPr/>
      </w:pPr>
      <w:r>
        <w:continuationSeparator/>
      </w:r>
      <w:r/>
    </w:p>
  </w:endnote>
  <w:endnote w:type="continuationNotice" w:id="1">
    <w:p w14:paraId="7A504E6D"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MT">
    <w:panose1 w:val="020B0604020202020204"/>
  </w:font>
  <w:font w:name="Wingdings">
    <w:panose1 w:val="05010000000000000000"/>
  </w:font>
  <w:font w:name="Courier New">
    <w:panose1 w:val="02070309020205020404"/>
  </w:font>
  <w:font w:name="Symbol">
    <w:panose1 w:val="05010000000000000000"/>
  </w:font>
  <w:font w:name="TimesNewRoman">
    <w:panose1 w:val="02020603050405020304"/>
  </w:font>
  <w:font w:name="Segoe UI">
    <w:panose1 w:val="020B05020404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86B9FD3" w14:textId="77777777">
      <w:pPr>
        <w:pBdr/>
        <w:spacing/>
        <w:ind/>
        <w:rPr/>
      </w:pPr>
      <w:r>
        <w:separator/>
      </w:r>
      <w:r/>
    </w:p>
  </w:footnote>
  <w:footnote w:type="continuationSeparator" w:id="0">
    <w:p w14:paraId="3DE19FB1" w14:textId="77777777">
      <w:pPr>
        <w:pBdr/>
        <w:spacing/>
        <w:ind/>
        <w:rPr/>
      </w:pPr>
      <w:r>
        <w:continuationSeparator/>
      </w:r>
      <w:r/>
    </w:p>
  </w:footnote>
  <w:footnote w:type="continuationNotice" w:id="1">
    <w:p w14:paraId="16EFF2DF" w14:textId="77777777">
      <w:pPr>
        <w:pBdr/>
        <w:spacing/>
        <w:ind/>
        <w:rPr/>
      </w:pPr>
      <w: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p14">
  <w:tbl>
    <w:tblPr>
      <w:tblStyle w:val="1011"/>
      <w:tblW w:w="2239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838"/>
      <w:gridCol w:w="7093"/>
      <w:gridCol w:w="13466"/>
    </w:tblGrid>
    <w:tr>
      <w:trPr/>
      <w:tc>
        <w:tcPr>
          <w:tcBorders/>
          <w:tcW w:w="1838" w:type="dxa"/>
        </w:tcPr>
        <w:p ns2:paraId="4885B09B" ns2:textId="42238352">
          <w:pPr>
            <w:pStyle w:val="1008"/>
            <w:pBdr/>
            <w:spacing w:before="0"/>
            <w:ind w:left="0"/>
            <w:rPr/>
          </w:pPr>
          <w:r/>
          <w:r/>
        </w:p>
      </w:tc>
      <w:tc>
        <w:tcPr>
          <w:tcBorders/>
          <w:tcW w:w="7093" w:type="dxa"/>
        </w:tcPr>
        <w:p ns2:paraId="7692314E" ns2:textId="7732243A">
          <w:pPr>
            <w:pStyle w:val="1004"/>
            <w:pBdr/>
            <w:spacing/>
            <w:ind/>
            <w:rPr>
              <w:rFonts w:ascii="Arial" w:hAnsi="Arial" w:cs="Arial"/>
              <w:sz w:val="16"/>
              <w:szCs w:val="16"/>
            </w:rPr>
          </w:pPr>
          <w:r>
            <w:rPr>
              <w:rFonts w:ascii="Arial" w:hAnsi="Arial" w:cs="Arial"/>
              <w:sz w:val="16"/>
              <w:szCs w:val="16"/>
            </w:rPr>
            <w:t xml:space="preserve">SECRETARIA-GERAL</w:t>
          </w:r>
          <w:r>
            <w:rPr>
              <w:rFonts w:ascii="Arial" w:hAnsi="Arial" w:cs="Arial"/>
              <w:spacing w:val="-2"/>
              <w:sz w:val="16"/>
              <w:szCs w:val="16"/>
            </w:rPr>
            <w:t xml:space="preserve"> </w:t>
          </w:r>
          <w:r>
            <w:rPr>
              <w:rFonts w:ascii="Arial" w:hAnsi="Arial" w:cs="Arial"/>
              <w:sz w:val="16"/>
              <w:szCs w:val="16"/>
            </w:rPr>
            <w:t xml:space="preserve">DE</w:t>
          </w:r>
          <w:r>
            <w:rPr>
              <w:rFonts w:ascii="Arial" w:hAnsi="Arial" w:cs="Arial"/>
              <w:spacing w:val="-1"/>
              <w:sz w:val="16"/>
              <w:szCs w:val="16"/>
            </w:rPr>
            <w:t xml:space="preserve"> </w:t>
          </w:r>
          <w:r>
            <w:rPr>
              <w:rFonts w:ascii="Arial" w:hAnsi="Arial" w:cs="Arial"/>
              <w:sz w:val="16"/>
              <w:szCs w:val="16"/>
            </w:rPr>
            <w:t xml:space="preserve">CONTROLE</w:t>
          </w:r>
          <w:r>
            <w:rPr>
              <w:rFonts w:ascii="Arial" w:hAnsi="Arial" w:cs="Arial"/>
              <w:spacing w:val="-1"/>
              <w:sz w:val="16"/>
              <w:szCs w:val="16"/>
            </w:rPr>
            <w:t xml:space="preserve"> </w:t>
          </w:r>
          <w:r>
            <w:rPr>
              <w:rFonts w:ascii="Arial" w:hAnsi="Arial" w:cs="Arial"/>
              <w:sz w:val="16"/>
              <w:szCs w:val="16"/>
            </w:rPr>
            <w:t xml:space="preserve">EXTERNO</w:t>
          </w:r>
          <w:r>
            <w:rPr>
              <w:rFonts w:ascii="Arial" w:hAnsi="Arial" w:cs="Arial"/>
              <w:sz w:val="16"/>
              <w:szCs w:val="16"/>
            </w:rPr>
          </w:r>
          <w:r>
            <w:rPr>
              <w:rFonts w:ascii="Arial" w:hAnsi="Arial" w:cs="Arial"/>
              <w:sz w:val="16"/>
              <w:szCs w:val="16"/>
            </w:rPr>
          </w:r>
        </w:p>
        <w:p ns2:paraId="617A7E23" ns2:textId="59A4ABCC">
          <w:pPr>
            <w:pStyle w:val="1008"/>
            <w:pBdr/>
            <w:tabs>
              <w:tab w:val="left" w:leader="none" w:pos="6105"/>
            </w:tabs>
            <w:spacing w:before="0"/>
            <w:ind w:left="0"/>
            <w:jc w:val="left"/>
            <w:rPr>
              <w:rFonts w:eastAsia="Arial MT"/>
              <w:b w:val="0"/>
              <w:bCs w:val="0"/>
              <w:sz w:val="16"/>
              <w:szCs w:val="16"/>
            </w:rPr>
          </w:pPr>
          <w:r>
            <w:rPr>
              <w:rFonts w:eastAsia="Arial MT"/>
              <w:b w:val="0"/>
              <w:bCs w:val="0"/>
              <w:sz w:val="16"/>
              <w:szCs w:val="16"/>
            </w:rPr>
            <w:t xml:space="preserve">SUBSECRETARIA DE CONTROLE DE POLÍTICAS DE CIDADANIA</w:t>
          </w:r>
          <w:r>
            <w:rPr>
              <w:rFonts w:eastAsia="Arial MT"/>
              <w:b w:val="0"/>
              <w:bCs w:val="0"/>
              <w:sz w:val="16"/>
              <w:szCs w:val="16"/>
            </w:rPr>
          </w:r>
          <w:r>
            <w:rPr>
              <w:rFonts w:eastAsia="Arial MT"/>
              <w:b w:val="0"/>
              <w:bCs w:val="0"/>
              <w:sz w:val="16"/>
              <w:szCs w:val="16"/>
            </w:rPr>
          </w:r>
        </w:p>
        <w:p ns2:paraId="4BD4FB4E" ns2:textId="3216BC59">
          <w:pPr>
            <w:pStyle w:val="1008"/>
            <w:pBdr/>
            <w:spacing w:before="0"/>
            <w:ind w:left="0"/>
            <w:jc w:val="left"/>
            <w:rPr>
              <w:sz w:val="16"/>
              <w:szCs w:val="16"/>
            </w:rPr>
          </w:pPr>
          <w:r>
            <w:rPr>
              <w:rFonts w:eastAsia="Arial MT"/>
              <w:b w:val="0"/>
              <w:bCs w:val="0"/>
              <w:sz w:val="16"/>
              <w:szCs w:val="16"/>
            </w:rPr>
            <w:t xml:space="preserve">COORDENADORIA DE AUDITORIA DE POLÍTICAS EM TECNOLOGIA DA INFORMAÇÃO</w:t>
          </w:r>
          <w:r>
            <w:rPr>
              <w:sz w:val="16"/>
              <w:szCs w:val="16"/>
            </w:rPr>
          </w:r>
          <w:r>
            <w:rPr>
              <w:sz w:val="16"/>
              <w:szCs w:val="16"/>
            </w:rPr>
          </w:r>
        </w:p>
      </w:tc>
      <w:tc>
        <w:tcPr>
          <w:tcBorders/>
          <w:tcW w:w="13466" w:type="dxa"/>
        </w:tcPr>
        <w:p ns2:paraId="17267BE2" ns2:textId="617A7088">
          <w:pPr>
            <w:pBdr/>
            <w:tabs>
              <w:tab w:val="left" w:leader="none" w:pos="2142"/>
              <w:tab w:val="right" w:leader="none" w:pos="14034"/>
            </w:tabs>
            <w:spacing w:after="120"/>
            <w:ind w:firstLine="386" w:left="-386"/>
            <w:rPr>
              <w:rFonts w:ascii="Arial" w:hAnsi="Arial" w:cs="Arial"/>
              <w:sz w:val="18"/>
              <w:szCs w:val="18"/>
            </w:rPr>
          </w:pPr>
          <w:r>
            <w:rPr>
              <w:rFonts w:ascii="Arial" w:hAnsi="Arial" w:cs="Arial"/>
              <w:b/>
              <w:bCs/>
              <w:sz w:val="18"/>
              <w:szCs w:val="18"/>
            </w:rPr>
            <w:t>FISCALIZAÇÃO</w:t>
          </w:r>
          <w:r>
            <w:rPr>
              <w:rFonts w:ascii="Arial" w:hAnsi="Arial" w:cs="Arial"/>
              <w:sz w:val="18"/>
              <w:szCs w:val="18"/>
            </w:rPr>
            <w:t>: 22/2026</w:t>
          </w:r>
        </w:p>
        <w:p ns2:paraId="3A6B45F9" ns2:textId="6FCBAC11">
          <w:pPr>
            <w:pBdr/>
            <w:spacing w:after="120"/>
            <w:ind/>
            <w:jc w:val="both"/>
            <w:rPr>
              <w:rFonts w:ascii="Arial" w:hAnsi="Arial" w:cs="Arial"/>
              <w:sz w:val="18"/>
              <w:szCs w:val="18"/>
            </w:rPr>
          </w:pPr>
          <w:r>
            <w:rPr>
              <w:rFonts w:ascii="Arial" w:hAnsi="Arial" w:cs="Arial"/>
              <w:b/>
              <w:bCs/>
              <w:sz w:val="18"/>
              <w:szCs w:val="18"/>
            </w:rPr>
            <w:t>JURISDICIONADOS</w:t>
          </w:r>
          <w:r>
            <w:rPr>
              <w:rFonts w:ascii="Arial" w:hAnsi="Arial" w:cs="Arial"/>
              <w:sz w:val="18"/>
              <w:szCs w:val="18"/>
            </w:rPr>
            <w:t>: 91 prefeituras municipais jurisdicionadas ao TCE-RJ</w:t>
          </w:r>
        </w:p>
        <w:p ns2:paraId="44B9C6BD" ns2:textId="61CE63E0">
          <w:pPr>
            <w:pStyle w:val="1027"/>
            <w:pBdr/>
            <w:spacing w:after="120"/>
            <w:ind/>
            <w:rPr>
              <w:rFonts w:ascii="Arial" w:hAnsi="Arial" w:cs="Arial"/>
            </w:rPr>
          </w:pPr>
          <w:r>
            <w:rPr>
              <w:rFonts w:ascii="Arial" w:hAnsi="Arial" w:cs="Arial"/>
              <w:b/>
              <w:bCs/>
              <w:sz w:val="18"/>
              <w:szCs w:val="18"/>
            </w:rPr>
            <w:t>OBJETIVO DA AUDITORIA</w:t>
          </w:r>
          <w:r>
            <w:rPr>
              <w:rFonts w:ascii="Arial" w:hAnsi="Arial" w:cs="Arial"/>
              <w:sz w:val="18"/>
              <w:szCs w:val="18"/>
            </w:rPr>
            <w:t>: Verificar a conformidade das prefeituras municipais jurisdicionadas à Lei 13.709/2018 (Lei Geral de Proteção aos Dados – LGPD), bem como monitorar o cumprimento das decisões do processo TCE-RJ nº 217.899-0/2024</w:t>
          </w:r>
        </w:p>
      </w:tc>
    </w:tr>
  </w:tbl>
  <w:p ns2:paraId="3AB268CB" ns2:textId="77777777">
    <w:pPr>
      <w:pBdr/>
      <w:spacing/>
      <w:ind/>
      <w:jc w:val="center"/>
      <w:rPr>
        <w:bCs/>
        <w:sz w:val="12"/>
        <w:szCs w:val="12"/>
      </w:rPr>
    </w:pPr>
    <w:r>
      <w:rPr>
        <w:bCs/>
        <w:sz w:val="12"/>
        <w:szCs w:val="12"/>
      </w:rPr>
    </w:r>
    <w:r>
      <w:rPr>
        <w:bCs/>
        <w:sz w:val="12"/>
        <w:szCs w:val="12"/>
      </w:rPr>
    </w:r>
    <w:r>
      <w:rPr>
        <w:bCs/>
        <w:sz w:val="12"/>
        <w:szCs w:val="12"/>
      </w:rPr>
    </w:r>
  </w:p>
  <w:p ns2:paraId="10951264" ns2:textId="77777777">
    <w:pPr>
      <w:pStyle w:val="1004"/>
      <w:pBdr/>
      <w:spacing/>
      <w:ind/>
      <w:rPr>
        <w:sz w:val="2"/>
        <w:szCs w:val="2"/>
      </w:rPr>
    </w:pPr>
    <w:r>
      <w:rPr>
        <w:sz w:val="2"/>
        <w:szCs w:val="2"/>
      </w:rPr>
    </w:r>
    <w:r>
      <w:rPr>
        <w:sz w:val="2"/>
        <w:szCs w:val="2"/>
      </w:rPr>
    </w:r>
    <w:r>
      <w:rPr>
        <w:sz w:val="2"/>
        <w:szCs w:val="2"/>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B6A245D"/>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20FF090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4CD138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FD831B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3398136D"/>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52BE16D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578F57F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5D4027F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72F56DB6"/>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9">
    <w:nsid w:val="76AC7162"/>
    <w:lvl w:ilvl="0">
      <w:isLgl w:val="false"/>
      <w:lvlJc w:val="left"/>
      <w:lvlText w:val="C%1."/>
      <w:numFmt w:val="decimal"/>
      <w:pPr>
        <w:pBdr/>
        <w:spacing/>
        <w:ind w:hanging="360" w:left="360"/>
      </w:pPr>
      <w:rPr>
        <w:rFonts w:hint="default"/>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0">
    <w:nsid w:val="7E4D28B5"/>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7F38510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2">
    <w:nsid w:val="0B6A245D"/>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0B6A245D"/>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0B6A245D"/>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1"/>
  </w:num>
  <w:num w:numId="2">
    <w:abstractNumId w:val="11"/>
  </w:num>
  <w:num w:numId="3">
    <w:abstractNumId w:val="10"/>
  </w:num>
  <w:num w:numId="4">
    <w:abstractNumId w:val="0"/>
  </w:num>
  <w:num w:numId="5">
    <w:abstractNumId w:val="7"/>
  </w:num>
  <w:num w:numId="6">
    <w:abstractNumId w:val="3"/>
  </w:num>
  <w:num w:numId="7">
    <w:abstractNumId w:val="6"/>
  </w:num>
  <w:num w:numId="8">
    <w:abstractNumId w:val="5"/>
  </w:num>
  <w:num w:numId="9">
    <w:abstractNumId w:val="4"/>
  </w:num>
  <w:num w:numId="10">
    <w:abstractNumId w:val="2"/>
  </w:num>
  <w:num w:numId="11">
    <w:abstractNumId w:val="8"/>
  </w:num>
  <w:num w:numId="12">
    <w:abstractNumId w:val="9"/>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pt-BR"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3">
    <w:name w:val="Table Grid Light"/>
    <w:basedOn w:val="10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1"/>
    <w:basedOn w:val="10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2"/>
    <w:basedOn w:val="10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3"/>
    <w:basedOn w:val="10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4"/>
    <w:basedOn w:val="10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5"/>
    <w:basedOn w:val="10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w:basedOn w:val="10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1"/>
    <w:basedOn w:val="10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2"/>
    <w:basedOn w:val="10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3"/>
    <w:basedOn w:val="10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4"/>
    <w:basedOn w:val="10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5"/>
    <w:basedOn w:val="10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6"/>
    <w:basedOn w:val="10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w:basedOn w:val="10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1"/>
    <w:basedOn w:val="10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2"/>
    <w:basedOn w:val="10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3"/>
    <w:basedOn w:val="10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4"/>
    <w:basedOn w:val="10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5"/>
    <w:basedOn w:val="10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6"/>
    <w:basedOn w:val="10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w:basedOn w:val="10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1"/>
    <w:basedOn w:val="10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2"/>
    <w:basedOn w:val="10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3"/>
    <w:basedOn w:val="10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4"/>
    <w:basedOn w:val="10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5"/>
    <w:basedOn w:val="10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6"/>
    <w:basedOn w:val="10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w:basedOn w:val="10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1"/>
    <w:basedOn w:val="10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2"/>
    <w:basedOn w:val="10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3"/>
    <w:basedOn w:val="10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4"/>
    <w:basedOn w:val="10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5"/>
    <w:basedOn w:val="10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6"/>
    <w:basedOn w:val="10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1"/>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2"/>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3"/>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4"/>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5"/>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6"/>
    <w:basedOn w:val="10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6 Colorful"/>
    <w:basedOn w:val="10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5">
    <w:name w:val="Grid Table 6 Colorful - Accent 1"/>
    <w:basedOn w:val="10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6">
    <w:name w:val="Grid Table 6 Colorful - Accent 2"/>
    <w:basedOn w:val="10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7">
    <w:name w:val="Grid Table 6 Colorful - Accent 3"/>
    <w:basedOn w:val="10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8">
    <w:name w:val="Grid Table 6 Colorful - Accent 4"/>
    <w:basedOn w:val="10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9">
    <w:name w:val="Grid Table 6 Colorful - Accent 5"/>
    <w:basedOn w:val="10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0">
    <w:name w:val="Grid Table 6 Colorful - Accent 6"/>
    <w:basedOn w:val="10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1">
    <w:name w:val="Grid Table 7 Colorful"/>
    <w:basedOn w:val="10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1"/>
    <w:basedOn w:val="10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2"/>
    <w:basedOn w:val="10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3"/>
    <w:basedOn w:val="10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4"/>
    <w:basedOn w:val="10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5"/>
    <w:basedOn w:val="10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6"/>
    <w:basedOn w:val="10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1"/>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2"/>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3"/>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4"/>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5"/>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6"/>
    <w:basedOn w:val="10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w:basedOn w:val="10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1"/>
    <w:basedOn w:val="10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2"/>
    <w:basedOn w:val="10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3"/>
    <w:basedOn w:val="10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4"/>
    <w:basedOn w:val="10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5"/>
    <w:basedOn w:val="10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6"/>
    <w:basedOn w:val="10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w:basedOn w:val="10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1"/>
    <w:basedOn w:val="10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2"/>
    <w:basedOn w:val="10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3"/>
    <w:basedOn w:val="10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4"/>
    <w:basedOn w:val="10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5"/>
    <w:basedOn w:val="10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6"/>
    <w:basedOn w:val="10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w:basedOn w:val="10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1"/>
    <w:basedOn w:val="10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2"/>
    <w:basedOn w:val="10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3"/>
    <w:basedOn w:val="10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4"/>
    <w:basedOn w:val="10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5"/>
    <w:basedOn w:val="10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6"/>
    <w:basedOn w:val="10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5 Dark"/>
    <w:basedOn w:val="10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1"/>
    <w:basedOn w:val="10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2"/>
    <w:basedOn w:val="10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3"/>
    <w:basedOn w:val="10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4"/>
    <w:basedOn w:val="10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5"/>
    <w:basedOn w:val="10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6"/>
    <w:basedOn w:val="10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6 Colorful"/>
    <w:basedOn w:val="10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1"/>
    <w:basedOn w:val="10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2"/>
    <w:basedOn w:val="10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3"/>
    <w:basedOn w:val="10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4"/>
    <w:basedOn w:val="10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5"/>
    <w:basedOn w:val="10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6"/>
    <w:basedOn w:val="10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7 Colorful"/>
    <w:basedOn w:val="10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1">
    <w:name w:val="List Table 7 Colorful - Accent 1"/>
    <w:basedOn w:val="10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922">
    <w:name w:val="List Table 7 Colorful - Accent 2"/>
    <w:basedOn w:val="10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3">
    <w:name w:val="List Table 7 Colorful - Accent 3"/>
    <w:basedOn w:val="10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4">
    <w:name w:val="List Table 7 Colorful - Accent 4"/>
    <w:basedOn w:val="10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5">
    <w:name w:val="List Table 7 Colorful - Accent 5"/>
    <w:basedOn w:val="10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926">
    <w:name w:val="List Table 7 Colorful - Accent 6"/>
    <w:basedOn w:val="10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7">
    <w:name w:val="Lined - Accent"/>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1"/>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2"/>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3"/>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4"/>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5"/>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6"/>
    <w:basedOn w:val="10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w:basedOn w:val="10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1"/>
    <w:basedOn w:val="10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2"/>
    <w:basedOn w:val="10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3"/>
    <w:basedOn w:val="10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4"/>
    <w:basedOn w:val="10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5"/>
    <w:basedOn w:val="10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6"/>
    <w:basedOn w:val="10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w:basedOn w:val="10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1"/>
    <w:basedOn w:val="10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2"/>
    <w:basedOn w:val="10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3"/>
    <w:basedOn w:val="10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4"/>
    <w:basedOn w:val="10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5"/>
    <w:basedOn w:val="10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6"/>
    <w:basedOn w:val="10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8">
    <w:name w:val="Heading 1"/>
    <w:basedOn w:val="1000"/>
    <w:next w:val="1000"/>
    <w:link w:val="9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49">
    <w:name w:val="Heading 2"/>
    <w:basedOn w:val="1000"/>
    <w:next w:val="1000"/>
    <w:link w:val="9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50">
    <w:name w:val="Heading 3"/>
    <w:basedOn w:val="1000"/>
    <w:next w:val="1000"/>
    <w:link w:val="9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51">
    <w:name w:val="Heading 4"/>
    <w:basedOn w:val="1000"/>
    <w:next w:val="1000"/>
    <w:link w:val="9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52">
    <w:name w:val="Heading 5"/>
    <w:basedOn w:val="1000"/>
    <w:next w:val="1000"/>
    <w:link w:val="9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53">
    <w:name w:val="Heading 6"/>
    <w:basedOn w:val="1000"/>
    <w:next w:val="1000"/>
    <w:link w:val="9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54">
    <w:name w:val="Heading 7"/>
    <w:basedOn w:val="1000"/>
    <w:next w:val="1000"/>
    <w:link w:val="9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5">
    <w:name w:val="Heading 8"/>
    <w:basedOn w:val="1000"/>
    <w:next w:val="1000"/>
    <w:link w:val="9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6">
    <w:name w:val="Heading 9"/>
    <w:basedOn w:val="1000"/>
    <w:next w:val="1000"/>
    <w:link w:val="9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7">
    <w:name w:val="Heading 1 Char"/>
    <w:basedOn w:val="1001"/>
    <w:link w:val="948"/>
    <w:uiPriority w:val="9"/>
    <w:pPr>
      <w:pBdr/>
      <w:spacing/>
      <w:ind/>
    </w:pPr>
    <w:rPr>
      <w:rFonts w:ascii="Arial" w:hAnsi="Arial" w:eastAsia="Arial" w:cs="Arial"/>
      <w:color w:val="0f4761" w:themeColor="accent1" w:themeShade="BF"/>
      <w:sz w:val="40"/>
      <w:szCs w:val="40"/>
    </w:rPr>
  </w:style>
  <w:style w:type="character" w:styleId="958">
    <w:name w:val="Heading 2 Char"/>
    <w:basedOn w:val="1001"/>
    <w:link w:val="949"/>
    <w:uiPriority w:val="9"/>
    <w:pPr>
      <w:pBdr/>
      <w:spacing/>
      <w:ind/>
    </w:pPr>
    <w:rPr>
      <w:rFonts w:ascii="Arial" w:hAnsi="Arial" w:eastAsia="Arial" w:cs="Arial"/>
      <w:color w:val="0f4761" w:themeColor="accent1" w:themeShade="BF"/>
      <w:sz w:val="32"/>
      <w:szCs w:val="32"/>
    </w:rPr>
  </w:style>
  <w:style w:type="character" w:styleId="959">
    <w:name w:val="Heading 3 Char"/>
    <w:basedOn w:val="1001"/>
    <w:link w:val="950"/>
    <w:uiPriority w:val="9"/>
    <w:pPr>
      <w:pBdr/>
      <w:spacing/>
      <w:ind/>
    </w:pPr>
    <w:rPr>
      <w:rFonts w:ascii="Arial" w:hAnsi="Arial" w:eastAsia="Arial" w:cs="Arial"/>
      <w:color w:val="0f4761" w:themeColor="accent1" w:themeShade="BF"/>
      <w:sz w:val="28"/>
      <w:szCs w:val="28"/>
    </w:rPr>
  </w:style>
  <w:style w:type="character" w:styleId="960">
    <w:name w:val="Heading 4 Char"/>
    <w:basedOn w:val="1001"/>
    <w:link w:val="951"/>
    <w:uiPriority w:val="9"/>
    <w:pPr>
      <w:pBdr/>
      <w:spacing/>
      <w:ind/>
    </w:pPr>
    <w:rPr>
      <w:rFonts w:ascii="Arial" w:hAnsi="Arial" w:eastAsia="Arial" w:cs="Arial"/>
      <w:i/>
      <w:iCs/>
      <w:color w:val="0f4761" w:themeColor="accent1" w:themeShade="BF"/>
    </w:rPr>
  </w:style>
  <w:style w:type="character" w:styleId="961">
    <w:name w:val="Heading 5 Char"/>
    <w:basedOn w:val="1001"/>
    <w:link w:val="952"/>
    <w:uiPriority w:val="9"/>
    <w:pPr>
      <w:pBdr/>
      <w:spacing/>
      <w:ind/>
    </w:pPr>
    <w:rPr>
      <w:rFonts w:ascii="Arial" w:hAnsi="Arial" w:eastAsia="Arial" w:cs="Arial"/>
      <w:color w:val="0f4761" w:themeColor="accent1" w:themeShade="BF"/>
    </w:rPr>
  </w:style>
  <w:style w:type="character" w:styleId="962">
    <w:name w:val="Heading 6 Char"/>
    <w:basedOn w:val="1001"/>
    <w:link w:val="953"/>
    <w:uiPriority w:val="9"/>
    <w:pPr>
      <w:pBdr/>
      <w:spacing/>
      <w:ind/>
    </w:pPr>
    <w:rPr>
      <w:rFonts w:ascii="Arial" w:hAnsi="Arial" w:eastAsia="Arial" w:cs="Arial"/>
      <w:i/>
      <w:iCs/>
      <w:color w:val="595959" w:themeColor="text1" w:themeTint="A6"/>
    </w:rPr>
  </w:style>
  <w:style w:type="character" w:styleId="963">
    <w:name w:val="Heading 7 Char"/>
    <w:basedOn w:val="1001"/>
    <w:link w:val="954"/>
    <w:uiPriority w:val="9"/>
    <w:pPr>
      <w:pBdr/>
      <w:spacing/>
      <w:ind/>
    </w:pPr>
    <w:rPr>
      <w:rFonts w:ascii="Arial" w:hAnsi="Arial" w:eastAsia="Arial" w:cs="Arial"/>
      <w:color w:val="595959" w:themeColor="text1" w:themeTint="A6"/>
    </w:rPr>
  </w:style>
  <w:style w:type="character" w:styleId="964">
    <w:name w:val="Heading 8 Char"/>
    <w:basedOn w:val="1001"/>
    <w:link w:val="955"/>
    <w:uiPriority w:val="9"/>
    <w:pPr>
      <w:pBdr/>
      <w:spacing/>
      <w:ind/>
    </w:pPr>
    <w:rPr>
      <w:rFonts w:ascii="Arial" w:hAnsi="Arial" w:eastAsia="Arial" w:cs="Arial"/>
      <w:i/>
      <w:iCs/>
      <w:color w:val="272727" w:themeColor="text1" w:themeTint="D8"/>
    </w:rPr>
  </w:style>
  <w:style w:type="character" w:styleId="965">
    <w:name w:val="Heading 9 Char"/>
    <w:basedOn w:val="1001"/>
    <w:link w:val="956"/>
    <w:uiPriority w:val="9"/>
    <w:pPr>
      <w:pBdr/>
      <w:spacing/>
      <w:ind/>
    </w:pPr>
    <w:rPr>
      <w:rFonts w:ascii="Arial" w:hAnsi="Arial" w:eastAsia="Arial" w:cs="Arial"/>
      <w:i/>
      <w:iCs/>
      <w:color w:val="272727" w:themeColor="text1" w:themeTint="D8"/>
    </w:rPr>
  </w:style>
  <w:style w:type="character" w:styleId="966">
    <w:name w:val="Title Char"/>
    <w:basedOn w:val="1001"/>
    <w:link w:val="1008"/>
    <w:uiPriority w:val="10"/>
    <w:pPr>
      <w:pBdr/>
      <w:spacing/>
      <w:ind/>
    </w:pPr>
    <w:rPr>
      <w:rFonts w:ascii="Arial" w:hAnsi="Arial" w:eastAsia="Arial" w:cs="Arial"/>
      <w:spacing w:val="-10"/>
      <w:sz w:val="56"/>
      <w:szCs w:val="56"/>
    </w:rPr>
  </w:style>
  <w:style w:type="paragraph" w:styleId="967">
    <w:name w:val="Subtitle"/>
    <w:basedOn w:val="1000"/>
    <w:next w:val="1000"/>
    <w:link w:val="968"/>
    <w:uiPriority w:val="11"/>
    <w:qFormat/>
    <w:pPr>
      <w:numPr>
        <w:ilvl w:val="1"/>
      </w:numPr>
      <w:pBdr/>
      <w:spacing/>
      <w:ind/>
    </w:pPr>
    <w:rPr>
      <w:color w:val="595959" w:themeColor="text1" w:themeTint="A6"/>
      <w:spacing w:val="15"/>
      <w:sz w:val="28"/>
      <w:szCs w:val="28"/>
    </w:rPr>
  </w:style>
  <w:style w:type="character" w:styleId="968">
    <w:name w:val="Subtitle Char"/>
    <w:basedOn w:val="1001"/>
    <w:link w:val="967"/>
    <w:uiPriority w:val="11"/>
    <w:pPr>
      <w:pBdr/>
      <w:spacing/>
      <w:ind/>
    </w:pPr>
    <w:rPr>
      <w:color w:val="595959" w:themeColor="text1" w:themeTint="A6"/>
      <w:spacing w:val="15"/>
      <w:sz w:val="28"/>
      <w:szCs w:val="28"/>
    </w:rPr>
  </w:style>
  <w:style w:type="paragraph" w:styleId="969">
    <w:name w:val="Quote"/>
    <w:basedOn w:val="1000"/>
    <w:next w:val="1000"/>
    <w:link w:val="970"/>
    <w:uiPriority w:val="29"/>
    <w:qFormat/>
    <w:pPr>
      <w:pBdr/>
      <w:spacing w:before="160"/>
      <w:ind/>
      <w:jc w:val="center"/>
    </w:pPr>
    <w:rPr>
      <w:i/>
      <w:iCs/>
      <w:color w:val="404040" w:themeColor="text1" w:themeTint="BF"/>
    </w:rPr>
  </w:style>
  <w:style w:type="character" w:styleId="970">
    <w:name w:val="Quote Char"/>
    <w:basedOn w:val="1001"/>
    <w:link w:val="969"/>
    <w:uiPriority w:val="29"/>
    <w:pPr>
      <w:pBdr/>
      <w:spacing/>
      <w:ind/>
    </w:pPr>
    <w:rPr>
      <w:i/>
      <w:iCs/>
      <w:color w:val="404040" w:themeColor="text1" w:themeTint="BF"/>
    </w:rPr>
  </w:style>
  <w:style w:type="character" w:styleId="971">
    <w:name w:val="Intense Emphasis"/>
    <w:basedOn w:val="1001"/>
    <w:uiPriority w:val="21"/>
    <w:qFormat/>
    <w:pPr>
      <w:pBdr/>
      <w:spacing/>
      <w:ind/>
    </w:pPr>
    <w:rPr>
      <w:i/>
      <w:iCs/>
      <w:color w:val="0f4761" w:themeColor="accent1" w:themeShade="BF"/>
    </w:rPr>
  </w:style>
  <w:style w:type="paragraph" w:styleId="972">
    <w:name w:val="Intense Quote"/>
    <w:basedOn w:val="1000"/>
    <w:next w:val="1000"/>
    <w:link w:val="97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3">
    <w:name w:val="Intense Quote Char"/>
    <w:basedOn w:val="1001"/>
    <w:link w:val="972"/>
    <w:uiPriority w:val="30"/>
    <w:pPr>
      <w:pBdr/>
      <w:spacing/>
      <w:ind/>
    </w:pPr>
    <w:rPr>
      <w:i/>
      <w:iCs/>
      <w:color w:val="0f4761" w:themeColor="accent1" w:themeShade="BF"/>
    </w:rPr>
  </w:style>
  <w:style w:type="character" w:styleId="974">
    <w:name w:val="Intense Reference"/>
    <w:basedOn w:val="1001"/>
    <w:uiPriority w:val="32"/>
    <w:qFormat/>
    <w:pPr>
      <w:pBdr/>
      <w:spacing/>
      <w:ind/>
    </w:pPr>
    <w:rPr>
      <w:b/>
      <w:bCs/>
      <w:smallCaps/>
      <w:color w:val="0f4761" w:themeColor="accent1" w:themeShade="BF"/>
      <w:spacing w:val="5"/>
    </w:rPr>
  </w:style>
  <w:style w:type="paragraph" w:styleId="975">
    <w:name w:val="No Spacing"/>
    <w:basedOn w:val="1000"/>
    <w:uiPriority w:val="1"/>
    <w:qFormat/>
    <w:pPr>
      <w:pBdr/>
      <w:spacing w:after="0" w:line="240" w:lineRule="auto"/>
      <w:ind/>
    </w:pPr>
  </w:style>
  <w:style w:type="character" w:styleId="976">
    <w:name w:val="Subtle Emphasis"/>
    <w:basedOn w:val="1001"/>
    <w:uiPriority w:val="19"/>
    <w:qFormat/>
    <w:pPr>
      <w:pBdr/>
      <w:spacing/>
      <w:ind/>
    </w:pPr>
    <w:rPr>
      <w:i/>
      <w:iCs/>
      <w:color w:val="404040" w:themeColor="text1" w:themeTint="BF"/>
    </w:rPr>
  </w:style>
  <w:style w:type="character" w:styleId="977">
    <w:name w:val="Emphasis"/>
    <w:basedOn w:val="1001"/>
    <w:uiPriority w:val="20"/>
    <w:qFormat/>
    <w:pPr>
      <w:pBdr/>
      <w:spacing/>
      <w:ind/>
    </w:pPr>
    <w:rPr>
      <w:i/>
      <w:iCs/>
    </w:rPr>
  </w:style>
  <w:style w:type="character" w:styleId="978">
    <w:name w:val="Strong"/>
    <w:basedOn w:val="1001"/>
    <w:uiPriority w:val="22"/>
    <w:qFormat/>
    <w:pPr>
      <w:pBdr/>
      <w:spacing/>
      <w:ind/>
    </w:pPr>
    <w:rPr>
      <w:b/>
      <w:bCs/>
    </w:rPr>
  </w:style>
  <w:style w:type="character" w:styleId="979">
    <w:name w:val="Subtle Reference"/>
    <w:basedOn w:val="1001"/>
    <w:uiPriority w:val="31"/>
    <w:qFormat/>
    <w:pPr>
      <w:pBdr/>
      <w:spacing/>
      <w:ind/>
    </w:pPr>
    <w:rPr>
      <w:smallCaps/>
      <w:color w:val="5a5a5a" w:themeColor="text1" w:themeTint="A5"/>
    </w:rPr>
  </w:style>
  <w:style w:type="character" w:styleId="980">
    <w:name w:val="Book Title"/>
    <w:basedOn w:val="1001"/>
    <w:uiPriority w:val="33"/>
    <w:qFormat/>
    <w:pPr>
      <w:pBdr/>
      <w:spacing/>
      <w:ind/>
    </w:pPr>
    <w:rPr>
      <w:b/>
      <w:bCs/>
      <w:i/>
      <w:iCs/>
      <w:spacing w:val="5"/>
    </w:rPr>
  </w:style>
  <w:style w:type="character" w:styleId="981">
    <w:name w:val="Header Char"/>
    <w:basedOn w:val="1001"/>
    <w:link w:val="1004"/>
    <w:uiPriority w:val="99"/>
    <w:pPr>
      <w:pBdr/>
      <w:spacing/>
      <w:ind/>
    </w:pPr>
  </w:style>
  <w:style w:type="character" w:styleId="982">
    <w:name w:val="Footer Char"/>
    <w:basedOn w:val="1001"/>
    <w:link w:val="1006"/>
    <w:uiPriority w:val="99"/>
    <w:pPr>
      <w:pBdr/>
      <w:spacing/>
      <w:ind/>
    </w:pPr>
  </w:style>
  <w:style w:type="paragraph" w:styleId="983">
    <w:name w:val="Caption"/>
    <w:basedOn w:val="1000"/>
    <w:next w:val="1000"/>
    <w:uiPriority w:val="35"/>
    <w:unhideWhenUsed/>
    <w:qFormat/>
    <w:pPr>
      <w:pBdr/>
      <w:spacing w:after="200" w:line="240" w:lineRule="auto"/>
      <w:ind/>
    </w:pPr>
    <w:rPr>
      <w:i/>
      <w:iCs/>
      <w:color w:val="0e2841" w:themeColor="text2"/>
      <w:sz w:val="18"/>
      <w:szCs w:val="18"/>
    </w:rPr>
  </w:style>
  <w:style w:type="character" w:styleId="984">
    <w:name w:val="Footnote Text Char"/>
    <w:basedOn w:val="1001"/>
    <w:link w:val="1018"/>
    <w:uiPriority w:val="99"/>
    <w:semiHidden/>
    <w:pPr>
      <w:pBdr/>
      <w:spacing/>
      <w:ind/>
    </w:pPr>
    <w:rPr>
      <w:sz w:val="20"/>
      <w:szCs w:val="20"/>
    </w:rPr>
  </w:style>
  <w:style w:type="paragraph" w:styleId="985">
    <w:name w:val="endnote text"/>
    <w:basedOn w:val="1000"/>
    <w:link w:val="986"/>
    <w:uiPriority w:val="99"/>
    <w:semiHidden/>
    <w:unhideWhenUsed/>
    <w:pPr>
      <w:pBdr/>
      <w:spacing w:after="0" w:line="240" w:lineRule="auto"/>
      <w:ind/>
    </w:pPr>
    <w:rPr>
      <w:sz w:val="20"/>
      <w:szCs w:val="20"/>
    </w:rPr>
  </w:style>
  <w:style w:type="character" w:styleId="986">
    <w:name w:val="Endnote Text Char"/>
    <w:basedOn w:val="1001"/>
    <w:link w:val="985"/>
    <w:uiPriority w:val="99"/>
    <w:semiHidden/>
    <w:pPr>
      <w:pBdr/>
      <w:spacing/>
      <w:ind/>
    </w:pPr>
    <w:rPr>
      <w:sz w:val="20"/>
      <w:szCs w:val="20"/>
    </w:rPr>
  </w:style>
  <w:style w:type="character" w:styleId="987">
    <w:name w:val="endnote reference"/>
    <w:basedOn w:val="1001"/>
    <w:uiPriority w:val="99"/>
    <w:semiHidden/>
    <w:unhideWhenUsed/>
    <w:pPr>
      <w:pBdr/>
      <w:spacing/>
      <w:ind/>
    </w:pPr>
    <w:rPr>
      <w:vertAlign w:val="superscript"/>
    </w:rPr>
  </w:style>
  <w:style w:type="paragraph" w:styleId="988">
    <w:name w:val="toc 1"/>
    <w:basedOn w:val="1000"/>
    <w:next w:val="1000"/>
    <w:uiPriority w:val="39"/>
    <w:unhideWhenUsed/>
    <w:pPr>
      <w:pBdr/>
      <w:spacing w:after="100"/>
      <w:ind/>
    </w:pPr>
  </w:style>
  <w:style w:type="paragraph" w:styleId="989">
    <w:name w:val="toc 2"/>
    <w:basedOn w:val="1000"/>
    <w:next w:val="1000"/>
    <w:uiPriority w:val="39"/>
    <w:unhideWhenUsed/>
    <w:pPr>
      <w:pBdr/>
      <w:spacing w:after="100"/>
      <w:ind w:left="220"/>
    </w:pPr>
  </w:style>
  <w:style w:type="paragraph" w:styleId="990">
    <w:name w:val="toc 3"/>
    <w:basedOn w:val="1000"/>
    <w:next w:val="1000"/>
    <w:uiPriority w:val="39"/>
    <w:unhideWhenUsed/>
    <w:pPr>
      <w:pBdr/>
      <w:spacing w:after="100"/>
      <w:ind w:left="440"/>
    </w:pPr>
  </w:style>
  <w:style w:type="paragraph" w:styleId="991">
    <w:name w:val="toc 4"/>
    <w:basedOn w:val="1000"/>
    <w:next w:val="1000"/>
    <w:uiPriority w:val="39"/>
    <w:unhideWhenUsed/>
    <w:pPr>
      <w:pBdr/>
      <w:spacing w:after="100"/>
      <w:ind w:left="660"/>
    </w:pPr>
  </w:style>
  <w:style w:type="paragraph" w:styleId="992">
    <w:name w:val="toc 5"/>
    <w:basedOn w:val="1000"/>
    <w:next w:val="1000"/>
    <w:uiPriority w:val="39"/>
    <w:unhideWhenUsed/>
    <w:pPr>
      <w:pBdr/>
      <w:spacing w:after="100"/>
      <w:ind w:left="880"/>
    </w:pPr>
  </w:style>
  <w:style w:type="paragraph" w:styleId="993">
    <w:name w:val="toc 6"/>
    <w:basedOn w:val="1000"/>
    <w:next w:val="1000"/>
    <w:uiPriority w:val="39"/>
    <w:unhideWhenUsed/>
    <w:pPr>
      <w:pBdr/>
      <w:spacing w:after="100"/>
      <w:ind w:left="1100"/>
    </w:pPr>
  </w:style>
  <w:style w:type="paragraph" w:styleId="994">
    <w:name w:val="toc 7"/>
    <w:basedOn w:val="1000"/>
    <w:next w:val="1000"/>
    <w:uiPriority w:val="39"/>
    <w:unhideWhenUsed/>
    <w:pPr>
      <w:pBdr/>
      <w:spacing w:after="100"/>
      <w:ind w:left="1320"/>
    </w:pPr>
  </w:style>
  <w:style w:type="paragraph" w:styleId="995">
    <w:name w:val="toc 8"/>
    <w:basedOn w:val="1000"/>
    <w:next w:val="1000"/>
    <w:uiPriority w:val="39"/>
    <w:unhideWhenUsed/>
    <w:pPr>
      <w:pBdr/>
      <w:spacing w:after="100"/>
      <w:ind w:left="1540"/>
    </w:pPr>
  </w:style>
  <w:style w:type="paragraph" w:styleId="996">
    <w:name w:val="toc 9"/>
    <w:basedOn w:val="1000"/>
    <w:next w:val="1000"/>
    <w:uiPriority w:val="39"/>
    <w:unhideWhenUsed/>
    <w:pPr>
      <w:pBdr/>
      <w:spacing w:after="100"/>
      <w:ind w:left="1760"/>
    </w:pPr>
  </w:style>
  <w:style w:type="character" w:styleId="997">
    <w:name w:val="Placeholder Text"/>
    <w:basedOn w:val="1001"/>
    <w:uiPriority w:val="99"/>
    <w:semiHidden/>
    <w:pPr>
      <w:pBdr/>
      <w:spacing/>
      <w:ind/>
    </w:pPr>
    <w:rPr>
      <w:color w:val="666666"/>
    </w:rPr>
  </w:style>
  <w:style w:type="paragraph" w:styleId="998">
    <w:name w:val="TOC Heading"/>
    <w:uiPriority w:val="39"/>
    <w:unhideWhenUsed/>
    <w:pPr>
      <w:pBdr/>
      <w:spacing/>
      <w:ind/>
    </w:pPr>
  </w:style>
  <w:style w:type="paragraph" w:styleId="999">
    <w:name w:val="table of figures"/>
    <w:basedOn w:val="1000"/>
    <w:next w:val="1000"/>
    <w:uiPriority w:val="99"/>
    <w:unhideWhenUsed/>
    <w:pPr>
      <w:pBdr/>
      <w:spacing w:after="0" w:afterAutospacing="0"/>
      <w:ind/>
    </w:pPr>
  </w:style>
  <w:style w:type="paragraph" w:styleId="1000" w:default="1">
    <w:name w:val="Normal"/>
    <w:qFormat/>
    <w:pPr>
      <w:pBdr/>
      <w:spacing w:after="0" w:line="240" w:lineRule="auto"/>
      <w:ind/>
    </w:pPr>
    <w:rPr>
      <w:rFonts w:ascii="Times New Roman" w:hAnsi="Times New Roman" w:eastAsia="Times New Roman" w:cs="Times New Roman"/>
      <w:sz w:val="24"/>
      <w:szCs w:val="24"/>
      <w:lang w:eastAsia="pt-BR"/>
    </w:rPr>
  </w:style>
  <w:style w:type="character" w:styleId="1001" w:default="1">
    <w:name w:val="Default Paragraph Font"/>
    <w:uiPriority w:val="1"/>
    <w:semiHidden/>
    <w:unhideWhenUsed/>
    <w:pPr>
      <w:pBdr/>
      <w:spacing/>
      <w:ind/>
    </w:pPr>
  </w:style>
  <w:style w:type="table" w:styleId="10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03" w:default="1">
    <w:name w:val="No List"/>
    <w:uiPriority w:val="99"/>
    <w:semiHidden/>
    <w:unhideWhenUsed/>
    <w:pPr>
      <w:pBdr/>
      <w:spacing/>
      <w:ind/>
    </w:pPr>
  </w:style>
  <w:style w:type="paragraph" w:styleId="1004">
    <w:name w:val="Header"/>
    <w:basedOn w:val="1000"/>
    <w:link w:val="1005"/>
    <w:uiPriority w:val="99"/>
    <w:unhideWhenUsed/>
    <w:pPr>
      <w:pBdr/>
      <w:tabs>
        <w:tab w:val="center" w:leader="none" w:pos="4252"/>
        <w:tab w:val="right" w:leader="none" w:pos="8504"/>
      </w:tabs>
      <w:spacing/>
      <w:ind/>
    </w:pPr>
    <w:rPr>
      <w:rFonts w:asciiTheme="minorHAnsi" w:hAnsiTheme="minorHAnsi" w:eastAsiaTheme="minorHAnsi" w:cstheme="minorBidi"/>
      <w:sz w:val="22"/>
      <w:szCs w:val="22"/>
      <w:lang w:eastAsia="en-US"/>
    </w:rPr>
  </w:style>
  <w:style w:type="character" w:styleId="1005" w:customStyle="1">
    <w:name w:val="Cabeçalho Char"/>
    <w:basedOn w:val="1001"/>
    <w:link w:val="1004"/>
    <w:uiPriority w:val="99"/>
    <w:pPr>
      <w:pBdr/>
      <w:spacing/>
      <w:ind/>
    </w:pPr>
  </w:style>
  <w:style w:type="paragraph" w:styleId="1006">
    <w:name w:val="Footer"/>
    <w:basedOn w:val="1000"/>
    <w:link w:val="1007"/>
    <w:uiPriority w:val="99"/>
    <w:unhideWhenUsed/>
    <w:pPr>
      <w:pBdr/>
      <w:tabs>
        <w:tab w:val="center" w:leader="none" w:pos="4252"/>
        <w:tab w:val="right" w:leader="none" w:pos="8504"/>
      </w:tabs>
      <w:spacing/>
      <w:ind/>
    </w:pPr>
    <w:rPr>
      <w:rFonts w:asciiTheme="minorHAnsi" w:hAnsiTheme="minorHAnsi" w:eastAsiaTheme="minorHAnsi" w:cstheme="minorBidi"/>
      <w:sz w:val="22"/>
      <w:szCs w:val="22"/>
      <w:lang w:eastAsia="en-US"/>
    </w:rPr>
  </w:style>
  <w:style w:type="character" w:styleId="1007" w:customStyle="1">
    <w:name w:val="Rodapé Char"/>
    <w:basedOn w:val="1001"/>
    <w:link w:val="1006"/>
    <w:uiPriority w:val="99"/>
    <w:pPr>
      <w:pBdr/>
      <w:spacing/>
      <w:ind/>
    </w:pPr>
  </w:style>
  <w:style w:type="paragraph" w:styleId="1008">
    <w:name w:val="Title"/>
    <w:basedOn w:val="1000"/>
    <w:link w:val="1009"/>
    <w:uiPriority w:val="10"/>
    <w:qFormat/>
    <w:pPr>
      <w:widowControl w:val="false"/>
      <w:pBdr/>
      <w:spacing w:before="83"/>
      <w:ind w:right="310" w:left="277"/>
      <w:jc w:val="center"/>
    </w:pPr>
    <w:rPr>
      <w:rFonts w:ascii="Arial" w:hAnsi="Arial" w:eastAsia="Arial" w:cs="Arial"/>
      <w:b/>
      <w:bCs/>
      <w:sz w:val="23"/>
      <w:szCs w:val="23"/>
      <w:lang w:val="pt-PT" w:eastAsia="en-US"/>
    </w:rPr>
  </w:style>
  <w:style w:type="character" w:styleId="1009" w:customStyle="1">
    <w:name w:val="Título Char"/>
    <w:basedOn w:val="1001"/>
    <w:link w:val="1008"/>
    <w:uiPriority w:val="10"/>
    <w:pPr>
      <w:pBdr/>
      <w:spacing/>
      <w:ind/>
    </w:pPr>
    <w:rPr>
      <w:rFonts w:ascii="Arial" w:hAnsi="Arial" w:eastAsia="Arial" w:cs="Arial"/>
      <w:b/>
      <w:bCs/>
      <w:sz w:val="23"/>
      <w:szCs w:val="23"/>
      <w:lang w:val="pt-PT"/>
    </w:rPr>
  </w:style>
  <w:style w:type="paragraph" w:styleId="1010" w:customStyle="1">
    <w:name w:val="Default"/>
    <w:pPr>
      <w:pBdr/>
      <w:spacing w:after="0" w:line="240" w:lineRule="auto"/>
      <w:ind/>
    </w:pPr>
    <w:rPr>
      <w:rFonts w:ascii="Arial" w:hAnsi="Arial" w:eastAsia="Times New Roman" w:cs="Arial"/>
      <w:color w:val="000000"/>
      <w:sz w:val="24"/>
      <w:szCs w:val="24"/>
      <w:lang w:eastAsia="pt-BR"/>
    </w:rPr>
  </w:style>
  <w:style w:type="table" w:styleId="1011">
    <w:name w:val="Table Grid"/>
    <w:basedOn w:val="1002"/>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2">
    <w:name w:val="List Paragraph"/>
    <w:basedOn w:val="1000"/>
    <w:uiPriority w:val="34"/>
    <w:qFormat/>
    <w:pPr>
      <w:pBdr/>
      <w:spacing/>
      <w:ind w:left="720"/>
      <w:contextualSpacing w:val="true"/>
    </w:pPr>
  </w:style>
  <w:style w:type="character" w:styleId="1013">
    <w:name w:val="annotation reference"/>
    <w:basedOn w:val="1001"/>
    <w:uiPriority w:val="99"/>
    <w:semiHidden/>
    <w:unhideWhenUsed/>
    <w:pPr>
      <w:pBdr/>
      <w:spacing/>
      <w:ind/>
    </w:pPr>
    <w:rPr>
      <w:sz w:val="16"/>
      <w:szCs w:val="16"/>
    </w:rPr>
  </w:style>
  <w:style w:type="paragraph" w:styleId="1014">
    <w:name w:val="annotation text"/>
    <w:basedOn w:val="1000"/>
    <w:link w:val="1015"/>
    <w:uiPriority w:val="99"/>
    <w:unhideWhenUsed/>
    <w:pPr>
      <w:pBdr/>
      <w:spacing/>
      <w:ind/>
    </w:pPr>
    <w:rPr>
      <w:sz w:val="20"/>
      <w:szCs w:val="20"/>
    </w:rPr>
  </w:style>
  <w:style w:type="character" w:styleId="1015" w:customStyle="1">
    <w:name w:val="Texto de comentário Char"/>
    <w:basedOn w:val="1001"/>
    <w:link w:val="1014"/>
    <w:uiPriority w:val="99"/>
    <w:pPr>
      <w:pBdr/>
      <w:spacing/>
      <w:ind/>
    </w:pPr>
    <w:rPr>
      <w:rFonts w:ascii="Times New Roman" w:hAnsi="Times New Roman" w:eastAsia="Times New Roman" w:cs="Times New Roman"/>
      <w:sz w:val="20"/>
      <w:szCs w:val="20"/>
      <w:lang w:eastAsia="pt-BR"/>
    </w:rPr>
  </w:style>
  <w:style w:type="paragraph" w:styleId="1016">
    <w:name w:val="annotation subject"/>
    <w:basedOn w:val="1014"/>
    <w:next w:val="1014"/>
    <w:link w:val="1017"/>
    <w:uiPriority w:val="99"/>
    <w:semiHidden/>
    <w:unhideWhenUsed/>
    <w:pPr>
      <w:pBdr/>
      <w:spacing/>
      <w:ind/>
    </w:pPr>
    <w:rPr>
      <w:b/>
      <w:bCs/>
    </w:rPr>
  </w:style>
  <w:style w:type="character" w:styleId="1017" w:customStyle="1">
    <w:name w:val="Assunto do comentário Char"/>
    <w:basedOn w:val="1015"/>
    <w:link w:val="1016"/>
    <w:uiPriority w:val="99"/>
    <w:semiHidden/>
    <w:pPr>
      <w:pBdr/>
      <w:spacing/>
      <w:ind/>
    </w:pPr>
    <w:rPr>
      <w:rFonts w:ascii="Times New Roman" w:hAnsi="Times New Roman" w:eastAsia="Times New Roman" w:cs="Times New Roman"/>
      <w:b/>
      <w:bCs/>
      <w:sz w:val="20"/>
      <w:szCs w:val="20"/>
      <w:lang w:eastAsia="pt-BR"/>
    </w:rPr>
  </w:style>
  <w:style w:type="paragraph" w:styleId="1018">
    <w:name w:val="footnote text"/>
    <w:basedOn w:val="1000"/>
    <w:link w:val="1019"/>
    <w:uiPriority w:val="99"/>
    <w:semiHidden/>
    <w:unhideWhenUsed/>
    <w:pPr>
      <w:pBdr/>
      <w:spacing/>
      <w:ind/>
    </w:pPr>
    <w:rPr>
      <w:sz w:val="20"/>
      <w:szCs w:val="20"/>
    </w:rPr>
  </w:style>
  <w:style w:type="character" w:styleId="1019" w:customStyle="1">
    <w:name w:val="Texto de nota de rodapé Char"/>
    <w:basedOn w:val="1001"/>
    <w:link w:val="1018"/>
    <w:uiPriority w:val="99"/>
    <w:semiHidden/>
    <w:pPr>
      <w:pBdr/>
      <w:spacing/>
      <w:ind/>
    </w:pPr>
    <w:rPr>
      <w:rFonts w:ascii="Times New Roman" w:hAnsi="Times New Roman" w:eastAsia="Times New Roman" w:cs="Times New Roman"/>
      <w:sz w:val="20"/>
      <w:szCs w:val="20"/>
      <w:lang w:eastAsia="pt-BR"/>
    </w:rPr>
  </w:style>
  <w:style w:type="character" w:styleId="1020">
    <w:name w:val="footnote reference"/>
    <w:basedOn w:val="1001"/>
    <w:uiPriority w:val="99"/>
    <w:unhideWhenUsed/>
    <w:pPr>
      <w:pBdr/>
      <w:spacing/>
      <w:ind/>
    </w:pPr>
    <w:rPr>
      <w:vertAlign w:val="superscript"/>
    </w:rPr>
  </w:style>
  <w:style w:type="character" w:styleId="1021">
    <w:name w:val="Hyperlink"/>
    <w:basedOn w:val="1001"/>
    <w:uiPriority w:val="99"/>
    <w:unhideWhenUsed/>
    <w:pPr>
      <w:pBdr/>
      <w:spacing/>
      <w:ind/>
    </w:pPr>
    <w:rPr>
      <w:color w:val="0563c1" w:themeColor="hyperlink"/>
      <w:u w:val="single"/>
    </w:rPr>
  </w:style>
  <w:style w:type="character" w:styleId="1022">
    <w:name w:val="Unresolved Mention"/>
    <w:basedOn w:val="1001"/>
    <w:uiPriority w:val="99"/>
    <w:semiHidden/>
    <w:unhideWhenUsed/>
    <w:pPr>
      <w:pBdr/>
      <w:spacing/>
      <w:ind/>
    </w:pPr>
    <w:rPr>
      <w:color w:val="605e5c"/>
      <w:shd w:val="clear" w:color="auto" w:fill="e1dfdd"/>
    </w:rPr>
  </w:style>
  <w:style w:type="character" w:styleId="1023">
    <w:name w:val="FollowedHyperlink"/>
    <w:basedOn w:val="1001"/>
    <w:uiPriority w:val="99"/>
    <w:semiHidden/>
    <w:unhideWhenUsed/>
    <w:pPr>
      <w:pBdr/>
      <w:spacing/>
      <w:ind/>
    </w:pPr>
    <w:rPr>
      <w:color w:val="954f72" w:themeColor="followedHyperlink"/>
      <w:u w:val="single"/>
    </w:rPr>
  </w:style>
  <w:style w:type="paragraph" w:styleId="1024">
    <w:name w:val="Balloon Text"/>
    <w:basedOn w:val="1000"/>
    <w:link w:val="1025"/>
    <w:uiPriority w:val="99"/>
    <w:semiHidden/>
    <w:unhideWhenUsed/>
    <w:pPr>
      <w:pBdr/>
      <w:spacing/>
      <w:ind/>
    </w:pPr>
    <w:rPr>
      <w:rFonts w:ascii="Segoe UI" w:hAnsi="Segoe UI" w:cs="Segoe UI"/>
      <w:sz w:val="18"/>
      <w:szCs w:val="18"/>
    </w:rPr>
  </w:style>
  <w:style w:type="character" w:styleId="1025" w:customStyle="1">
    <w:name w:val="Texto de balão Char"/>
    <w:basedOn w:val="1001"/>
    <w:link w:val="1024"/>
    <w:uiPriority w:val="99"/>
    <w:semiHidden/>
    <w:pPr>
      <w:pBdr/>
      <w:spacing/>
      <w:ind/>
    </w:pPr>
    <w:rPr>
      <w:rFonts w:ascii="Segoe UI" w:hAnsi="Segoe UI" w:eastAsia="Times New Roman" w:cs="Segoe UI"/>
      <w:sz w:val="18"/>
      <w:szCs w:val="18"/>
      <w:lang w:eastAsia="pt-BR"/>
    </w:rPr>
  </w:style>
  <w:style w:type="paragraph" w:styleId="1026">
    <w:name w:val="Revision"/>
    <w:hidden/>
    <w:uiPriority w:val="99"/>
    <w:semiHidden/>
    <w:pPr>
      <w:pBdr/>
      <w:spacing w:after="0" w:line="240" w:lineRule="auto"/>
      <w:ind/>
    </w:pPr>
    <w:rPr>
      <w:rFonts w:ascii="Times New Roman" w:hAnsi="Times New Roman" w:eastAsia="Times New Roman" w:cs="Times New Roman"/>
      <w:sz w:val="24"/>
      <w:szCs w:val="24"/>
      <w:lang w:eastAsia="pt-BR"/>
    </w:rPr>
  </w:style>
  <w:style w:type="paragraph" w:styleId="1027">
    <w:name w:val="Body Text"/>
    <w:basedOn w:val="1000"/>
    <w:link w:val="1028"/>
    <w:pPr>
      <w:pBdr/>
      <w:spacing/>
      <w:ind/>
      <w:jc w:val="both"/>
    </w:pPr>
    <w:rPr>
      <w:rFonts w:ascii="TimesNewRoman" w:hAnsi="TimesNewRoman"/>
      <w:sz w:val="19"/>
      <w:szCs w:val="19"/>
    </w:rPr>
  </w:style>
  <w:style w:type="character" w:styleId="1028" w:customStyle="1">
    <w:name w:val="Corpo de texto Char"/>
    <w:basedOn w:val="1001"/>
    <w:link w:val="1027"/>
    <w:pPr>
      <w:pBdr/>
      <w:spacing/>
      <w:ind/>
    </w:pPr>
    <w:rPr>
      <w:rFonts w:ascii="TimesNewRoman" w:hAnsi="TimesNewRoman" w:eastAsia="Times New Roman" w:cs="Times New Roman"/>
      <w:sz w:val="19"/>
      <w:szCs w:val="19"/>
      <w:lang w:eastAsia="pt-BR"/>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customXml" Target="../customXml/item3.xml" /><Relationship Id="rId13" Type="http://schemas.openxmlformats.org/officeDocument/2006/relationships/customXml" Target="../customXml/item4.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2c24b4c-a19a-4093-bf78-d5942ee237c3" xsi:nil="true"/>
    <lcf76f155ced4ddcb4097134ff3c332f xmlns="fdb186c7-7373-495f-878c-f0f79ab3613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A0C7017C8683A4E8D8838A33F67DDC9" ma:contentTypeVersion="10" ma:contentTypeDescription="Crie um novo documento." ma:contentTypeScope="" ma:versionID="40418b09319f9a2ee1ad34ac94a4982c">
  <xsd:schema xmlns:xsd="http://www.w3.org/2001/XMLSchema" xmlns:xs="http://www.w3.org/2001/XMLSchema" xmlns:p="http://schemas.microsoft.com/office/2006/metadata/properties" xmlns:ns2="fdb186c7-7373-495f-878c-f0f79ab36130" xmlns:ns3="a2c24b4c-a19a-4093-bf78-d5942ee237c3" targetNamespace="http://schemas.microsoft.com/office/2006/metadata/properties" ma:root="true" ma:fieldsID="279706ca315d76014cd459137316f840" ns2:_="" ns3:_="">
    <xsd:import namespace="fdb186c7-7373-495f-878c-f0f79ab36130"/>
    <xsd:import namespace="a2c24b4c-a19a-4093-bf78-d5942ee237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86c7-7373-495f-878c-f0f79ab361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b94074d8-97da-4deb-a367-6d65a6a9ab5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c24b4c-a19a-4093-bf78-d5942ee237c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7689da7-651f-49aa-89b2-0746064c56a5}" ma:internalName="TaxCatchAll" ma:showField="CatchAllData" ma:web="a2c24b4c-a19a-4093-bf78-d5942ee237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BFA4F3B-2708-4731-A0D3-85F4C0631F4E">
  <ds:schemaRefs>
    <ds:schemaRef ds:uri="http://schemas.microsoft.com/office/2006/metadata/properties"/>
    <ds:schemaRef ds:uri="http://schemas.microsoft.com/office/infopath/2007/PartnerControls"/>
    <ds:schemaRef ds:uri="a2c24b4c-a19a-4093-bf78-d5942ee237c3"/>
    <ds:schemaRef ds:uri="fdb186c7-7373-495f-878c-f0f79ab36130"/>
    <ds:schemaRef ds:uri="http://www.w3.org/2001/XMLSchema-instance"/>
  </ds:schemaRefs>
</ds:datastoreItem>
</file>

<file path=customXml/itemProps2.xml><?xml version="1.0" encoding="utf-8"?>
<ds:datastoreItem xmlns:ds="http://schemas.openxmlformats.org/officeDocument/2006/customXml" ds:itemID="09CE5C4D-344E-4B9A-BACC-B692E5F42C94">
  <ds:schemaRefs>
    <ds:schemaRef ds:uri="http://schemas.microsoft.com/sharepoint/v3/contenttype/forms"/>
  </ds:schemaRefs>
</ds:datastoreItem>
</file>

<file path=customXml/itemProps3.xml><?xml version="1.0" encoding="utf-8"?>
<ds:datastoreItem xmlns:ds="http://schemas.openxmlformats.org/officeDocument/2006/customXml" ds:itemID="9B3B699C-58A5-4E30-B28D-A0EBD2730770">
  <ds:schemaRefs>
    <ds:schemaRef ds:uri="http://schemas.openxmlformats.org/officeDocument/2006/bibliography"/>
  </ds:schemaRefs>
</ds:datastoreItem>
</file>

<file path=customXml/itemProps4.xml><?xml version="1.0" encoding="utf-8"?>
<ds:datastoreItem xmlns:ds="http://schemas.openxmlformats.org/officeDocument/2006/customXml" ds:itemID="C460D41C-4D86-48AB-A742-517920900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86c7-7373-495f-878c-f0f79ab36130"/>
    <ds:schemaRef ds:uri="a2c24b4c-a19a-4093-bf78-d5942ee237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Souza Lima</dc:creator>
  <cp:keywords/>
  <dc:description/>
  <cp:revision>3058</cp:revision>
  <dcterms:created xsi:type="dcterms:W3CDTF">2023-08-10T03:29:00Z</dcterms:created>
  <dcterms:modified xsi:type="dcterms:W3CDTF">2026-09-11T21:20:15Z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0x0101005A0C7017C8683A4E8D8838A33F67DDC9</vt:lpwstr>
  </property>
  <property fmtid="{D5CDD505-2E9C-101B-9397-08002B2CF9AE}" pid="3" name="Order">
    <vt:r8>61100.000000</vt:r8>
  </property>
  <property fmtid="{D5CDD505-2E9C-101B-9397-08002B2CF9AE}" pid="4" name="xd_Signature">
    <vt:bool>false</vt:bool>
  </property>
  <property fmtid="{D5CDD505-2E9C-101B-9397-08002B2CF9AE}" pid="5" name="xd_ProgID">
    <vt:lpwstr/>
  </property>
  <property fmtid="{D5CDD505-2E9C-101B-9397-08002B2CF9AE}" pid="6" name="ComplianceAssetId">
    <vt:lpwstr/>
  </property>
  <property fmtid="{D5CDD505-2E9C-101B-9397-08002B2CF9AE}" pid="7" name="TemplateUrl">
    <vt:lpwstr/>
  </property>
  <property fmtid="{D5CDD505-2E9C-101B-9397-08002B2CF9AE}" pid="8" name="_ExtendedDescription">
    <vt:lpwstr/>
  </property>
  <property fmtid="{D5CDD505-2E9C-101B-9397-08002B2CF9AE}" pid="9" name="TriggerFlowInfo">
    <vt:lpwstr/>
  </property>
  <property fmtid="{D5CDD505-2E9C-101B-9397-08002B2CF9AE}" pid="10" name="MediaServiceImageTags">
    <vt:lpwstr/>
  </property>
  <property fmtid="{D5CDD505-2E9C-101B-9397-08002B2CF9AE}" pid="11" name="docLang">
    <vt:lpwstr>pt</vt:lpwstr>
  </property>
</Properties>
</file>