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r="http://schemas.openxmlformats.org/officeDocument/2006/relationships" xmlns:w="http://schemas.openxmlformats.org/wordprocessingml/2006/main" ns1:Ignorable="w14 w15 w16se w16cid w16 w16cex w16sdtdh wp14">
  <w:body>
    <w:p ns2:paraId="71BC7204" ns2:textId="77777777">
      <w:pPr>
        <w:pBdr/>
        <w:spacing/>
        <w:ind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</w:p>
    <w:p ns2:paraId="0D1BC449" ns2:textId="55C49607">
      <w:pPr>
        <w:pBdr/>
        <w:spacing/>
        <w:ind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  <w:bCs/>
        </w:rPr>
        <w:t>MATRIZ DE PLANEJAMENTO</w:t>
      </w:r>
    </w:p>
    <w:p ns2:paraId="46357FAD" ns2:textId="77777777">
      <w:pPr>
        <w:pBdr/>
        <w:spacing/>
        <w:ind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</w:p>
    <w:p ns2:paraId="5D2618CF" ns2:textId="6C9D6D25">
      <w:pPr>
        <w:pBdr/>
        <w:spacing w:after="200"/>
        <w:ind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QUESTÃO GERAL DE AUDITORIA: Qual é o grau de conformidade das 91 prefeituras municipais jurisdicionadas com os requisitos selecionados da Lei nº 13.709/2018 (LGPD) e o nível de cumprimento das decisões proferidas no Processo TCE-RJ nº 217.899-0/2024, considerando a evolução em relação ao ciclo de 2024?</w:t>
      </w:r>
    </w:p>
    <w:tbl>
      <w:tblPr>
        <w:tblStyle w:val="1011"/>
        <w:tblW w:w="5000" w:type="pct"/>
        <w:tblBorders/>
        <w:tblLook w:val="04A0" w:firstRow="1" w:lastRow="0" w:firstColumn="1" w:lastColumn="0" w:noHBand="0" w:noVBand="1"/>
      </w:tblPr>
      <w:tblGrid>
        <w:gridCol w:w="2258"/>
        <w:gridCol w:w="3170"/>
        <w:gridCol w:w="3622"/>
        <w:gridCol w:w="4530"/>
        <w:gridCol w:w="4078"/>
        <w:gridCol w:w="4700"/>
      </w:tblGrid>
      <w:tr>
        <w:trPr>
          <w:tblHeader/>
        </w:trPr>
        <w:tc>
          <w:tcPr>
            <w:gridSpan w:val="6"/>
            <w:tcBorders/>
            <w:tcW w:w="5000" w:type="pct"/>
          </w:tcPr>
          <w:p ns2:paraId="7D29FCBB" ns2:textId="4EC62946">
            <w:pPr>
              <w:pBdr/>
              <w:spacing w:after="120"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b/>
                <w:bCs/>
                <w:rFonts w:ascii="Arial" w:hAnsi="Arial" w:cs="Arial" w:eastAsia="Arial"/>
                <w:sz w:val="20"/>
                <w:szCs w:val="20"/>
              </w:rPr>
              <w:t>Q1: A organização conduziu iniciativas preparatórias de adequação à LGPD, instituiu programa de governança em privacidade e designou formalmente o Encarregado pelo tratamento de dados pessoais (DPO), divulgando seus contatos em seu portal oficial?</w:t>
            </w:r>
          </w:p>
          <w:p ns2:paraId="4ED18313" ns2:textId="42BA0AFF">
            <w:pPr>
              <w:pStyle w:val="1012"/>
              <w:numPr>
                <w:ilvl w:val="0"/>
                <w:numId w:val="4"/>
              </w:num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A organização conduziu iniciativas para identificar, planejar e executar medidas preparatórias para adequação à LGPD, formalizando plano de ação ou programa de governança em privacidade?</w:t>
            </w:r>
          </w:p>
          <w:p ns2:paraId="4ED18313" ns2:textId="42BA0AFF">
            <w:pPr>
              <w:pStyle w:val="1012"/>
              <w:numPr>
                <w:ilvl w:val="0"/>
                <w:numId w:val="4"/>
              </w:num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A organização considerou em sua iniciativa de adequação à LGPD os encaminhamentos do Acórdão nº 3931/2025?</w:t>
            </w:r>
          </w:p>
          <w:p ns2:paraId="4ED18313" ns2:textId="42BA0AFF">
            <w:pPr>
              <w:pStyle w:val="1012"/>
              <w:numPr>
                <w:ilvl w:val="0"/>
                <w:numId w:val="4"/>
              </w:num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A organização nomeou formalmente o Encarregado pelo tratamento de dados pessoais (DPO) e publicou o ato de designação em veículo oficial?</w:t>
            </w:r>
          </w:p>
          <w:p ns2:paraId="4ED18313" ns2:textId="42BA0AFF">
            <w:pPr>
              <w:pStyle w:val="1012"/>
              <w:numPr>
                <w:ilvl w:val="0"/>
                <w:numId w:val="4"/>
              </w:num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A identidade e as informações de contato do Encarregado (nome, e-mail e telefone) estão divulgadas publicamente, em local de fácil acesso, no sítio eletrônico oficial da organização?</w:t>
            </w:r>
          </w:p>
        </w:tc>
      </w:tr>
      <w:tr>
        <w:trPr>
          <w:tblHeader/>
        </w:trPr>
        <w:tc>
          <w:tcPr>
            <w:gridSpan w:val="6"/>
            <w:shd w:val="clear" w:color="auto" w:fill="bdd6ee" w:themeFill="accent5" w:themeFillTint="66"/>
            <w:tcBorders/>
            <w:tcW w:w="5000" w:type="pct"/>
          </w:tcPr>
          <w:p ns2:paraId="63566D7E" ns2:textId="69F154AC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R1.1: Devido à ausência de planejamento prévio e de programa estruturado de governança em privacidade, poderá haver inércia ou fragmentação das ações de adequação à LGPD, o que poderá levar ao desperdício de recursos e à desconformidade generalizada, impactando a eficácia da gestão municipal.</w:t>
            </w:r>
          </w:p>
          <w:p ns2:paraId="63566D7E" ns2:textId="69F154AC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R1.2: Devido à ausência de designação formal de Encarregado pelo tratamento de dados pessoais (DPO), poderá não haver interlocutor institucional perante a ANPD e os titulares de dados, o que poderá levar ao descumprimento de prazos e deveres legais, impactando a juridicidade e a transparência do município.</w:t>
            </w:r>
          </w:p>
          <w:p ns2:paraId="63566D7E" ns2:textId="69F154AC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R1.3: Devido à falta de divulgação da identidade e dos canais de contato do Encarregado no portal oficial, poderá haver restrição indevida ao exercício de direitos pelos cidadãos, o que poderá levar à frustração de garantias fundamentais e a representações perante órgãos de controle, impactando a publicidade dos atos administrativos.</w:t>
            </w:r>
          </w:p>
        </w:tc>
      </w:tr>
    </w:tbl>
    <w:tbl>
      <w:tblPr>
        <w:tblStyle w:val="1011"/>
        <w:tblW w:w="5000" w:type="pct"/>
        <w:tblBorders/>
        <w:tblLook w:val="04A0" w:firstRow="1" w:lastRow="0" w:firstColumn="1" w:lastColumn="0" w:noHBand="0" w:noVBand="1"/>
      </w:tblPr>
      <w:tblGrid>
        <w:gridCol w:w="2258"/>
        <w:gridCol w:w="3170"/>
        <w:gridCol w:w="3622"/>
        <w:gridCol w:w="4530"/>
        <w:gridCol w:w="4078"/>
        <w:gridCol w:w="4700"/>
      </w:tblGrid>
      <w:tr>
        <w:trPr>
          <w:tblHeader/>
        </w:trPr>
        <w:tc>
          <w:tcPr>
            <w:tcBorders/>
            <w:tcW w:w="2259" w:type="dxa"/>
            <w:vAlign w:val="center"/>
          </w:tcPr>
          <w:p ns2:paraId="5C2D7232" ns2:textId="280A56F4">
            <w:pPr>
              <w:pBdr/>
              <w:spacing w:after="0" w:before="40"/>
              <w:ind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FONTES DE INFORMAÇÃO</w:t>
            </w:r>
          </w:p>
        </w:tc>
        <w:tc>
          <w:tcPr>
            <w:tcBorders/>
            <w:tcW w:w="3172" w:type="dxa"/>
            <w:vAlign w:val="center"/>
          </w:tcPr>
          <w:p ns2:paraId="7208CA25" ns2:textId="5376F66C">
            <w:pPr>
              <w:pBdr/>
              <w:spacing w:after="0" w:before="40"/>
              <w:ind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INFORMAÇÕES REQUERIDAS</w:t>
            </w:r>
          </w:p>
        </w:tc>
        <w:tc>
          <w:tcPr>
            <w:tcBorders/>
            <w:tcW w:w="5471" w:type="dxa"/>
            <w:vAlign w:val="center"/>
          </w:tcPr>
          <w:p ns2:paraId="563FD7FD" ns2:textId="77777777">
            <w:pPr>
              <w:pBdr/>
              <w:spacing w:after="0" w:before="40"/>
              <w:ind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CRITÉRIOS</w:t>
            </w:r>
          </w:p>
        </w:tc>
        <w:tc>
          <w:tcPr>
            <w:tcBorders/>
            <w:tcW w:w="2684" w:type="dxa"/>
            <w:vAlign w:val="center"/>
          </w:tcPr>
          <w:p ns2:paraId="6A4DEA23" ns2:textId="77777777">
            <w:pPr>
              <w:pBdr/>
              <w:spacing w:after="0" w:before="40"/>
              <w:ind/>
              <w:jc w:val="center"/>
              <w:rPr>
                <w:rFonts w:ascii="Arial" w:hAnsi="Arial" w:cs="Arial"/>
                <w:b/>
                <w:bCs/>
                <w:strike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PROCEDIMENTO DE AUDITORIA</w:t>
            </w:r>
          </w:p>
        </w:tc>
        <w:tc>
          <w:tcPr>
            <w:tcBorders/>
            <w:tcW w:w="4080" w:type="dxa"/>
            <w:vAlign w:val="center"/>
          </w:tcPr>
          <w:p ns2:paraId="4A1C29C4" ns2:textId="77777777">
            <w:pPr>
              <w:pBdr/>
              <w:spacing w:after="0" w:before="40"/>
              <w:ind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POSSÍVEIS EVIDÊNCIAS</w:t>
            </w:r>
          </w:p>
        </w:tc>
        <w:tc>
          <w:tcPr>
            <w:tcBorders/>
            <w:tcW w:w="4702" w:type="dxa"/>
            <w:vAlign w:val="center"/>
          </w:tcPr>
          <w:p ns2:paraId="357B1101" ns2:textId="77777777">
            <w:pPr>
              <w:pBdr/>
              <w:spacing w:after="0" w:before="40"/>
              <w:ind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POSSÍVEIS ACHADOS</w:t>
            </w:r>
          </w:p>
        </w:tc>
      </w:tr>
      <w:tr>
        <w:trPr/>
        <w:tc>
          <w:tcPr>
            <w:tcBorders/>
            <w:tcW w:w="2259" w:type="dxa"/>
            <w:vAlign w:val="center"/>
          </w:tcPr>
          <w:p ns2:paraId="07477FA7" ns2:textId="4BBAC042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F1: Gestores municipais responsáveis pela governança em privacidade e pelo preenchimento do questionário eletrônico de auditoria da LGPD.</w:t>
            </w:r>
          </w:p>
          <w:p ns2:paraId="07477FA7" ns2:textId="4BBAC042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F2: Unidades administrativas das prefeituras responsáveis pela governança em privacidade e pela gestão dos atos de designação do Encarregado.</w:t>
            </w:r>
          </w:p>
          <w:p ns2:paraId="07477FA7" ns2:textId="4BBAC042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F3: Portal institucional oficial de cada prefeitura municipal.</w:t>
            </w:r>
          </w:p>
        </w:tc>
        <w:tc>
          <w:tcPr>
            <w:tcBorders/>
            <w:tcW w:w="3172" w:type="dxa"/>
            <w:vAlign w:val="center"/>
          </w:tcPr>
          <w:p ns2:paraId="1DD0E491" ns2:textId="77777777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IR1: Resposta sobre a execução de iniciativas preparatórias, justificativa de não aplicabilidade quando selecionada a alternativa A1, consideração dos encaminhamentos do Acórdão nº 3931/2025 e elaboração e o registro do Plano de Ação determinado no item 1.1, acompanhada da comprovação documental do plano e do programa de governança em privacidade; [F1, F2, Q21, Q21just, Q23, Q24, Q211evi, Q212evi]</w:t>
            </w:r>
          </w:p>
          <w:p ns2:paraId="1DD0E491" ns2:textId="77777777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IR2: Resposta e ato formal de nomeação do Encarregado de Dados publicado em diário oficial; [F1, F2, Q41[SQ004], Q414evi]</w:t>
            </w:r>
          </w:p>
          <w:p ns2:paraId="1DD0E491" ns2:textId="77777777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IR3: Informação da URL e comprovação da disponibilização pública dos contatos do Encarregado no sítio eletrônico; [F1, F3, Q41[SQ005], Q415]</w:t>
            </w:r>
          </w:p>
        </w:tc>
        <w:tc>
          <w:tcPr>
            <w:tcBorders/>
            <w:tcW w:w="5471" w:type="dxa"/>
            <w:vAlign w:val="center"/>
          </w:tcPr>
          <w:p ns2:paraId="2667BB09" ns2:textId="2C1623C1">
            <w:pPr>
              <w:pStyle w:val="1010"/>
              <w:pBdr/>
              <w:spacing w:after="12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C1: Lei Federal nº 13.709/2018 (LGPD), art. 41, caput — Obrigação expressa do controlador de indicar o encarregado pelo tratamento de dados pessoais.</w:t>
            </w:r>
          </w:p>
          <w:p ns2:paraId="2667BB09" ns2:textId="2C1623C1">
            <w:pPr>
              <w:pStyle w:val="1010"/>
              <w:pBdr/>
              <w:spacing w:after="12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C2: Lei Federal nº 13.709/2018 (LGPD), art. 41, § 1º — Dever de divulgar publicamente a identidade e as informações de contato do encarregado, de forma clara e objetiva, preferencialmente no sítio eletrônico do controlador.</w:t>
            </w:r>
          </w:p>
          <w:p ns2:paraId="2667BB09" ns2:textId="2C1623C1">
            <w:pPr>
              <w:pStyle w:val="1010"/>
              <w:pBdr/>
              <w:spacing w:after="12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C3: Resolução CD/ANPD nº 18/2024, arts. 4º e 5º — Regulamento de atuação do encarregado pelo tratamento de dados pessoais, disciplinando a formalização do ato de designação e a ampla divulgação de seus dados de contato nos canais oficiais.</w:t>
            </w:r>
          </w:p>
          <w:p ns2:paraId="2667BB09" ns2:textId="2C1623C1">
            <w:pPr>
              <w:pStyle w:val="1010"/>
              <w:pBdr/>
              <w:spacing w:after="12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C4: Lei Federal nº 13.709/2018 (LGPD), art. 50, caput e § 2º, I — Implementação de regras de boas práticas e de programa de governança em privacidade que assegure a conformidade das atividades de tratamento de dados pessoais.</w:t>
            </w:r>
          </w:p>
          <w:p ns2:paraId="2667BB09" ns2:textId="2C1623C1">
            <w:pPr>
              <w:pStyle w:val="1010"/>
              <w:pBdr/>
              <w:spacing w:after="12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C5: Acórdão nº 3931/2025 do Plenário do TCE-RJ (Processo TCE-RJ nº 217.899-0/2024), Voto do Relator, item 1.1 — Determinação aos jurisdicionados para estruturar, em até 60 dias, as medidas de adequação em Plano de Ação formal registrado em processo administrativo.</w:t>
            </w:r>
          </w:p>
          <w:p ns2:paraId="2667BB09" ns2:textId="2C1623C1">
            <w:pPr>
              <w:pStyle w:val="1010"/>
              <w:pBdr/>
              <w:spacing w:after="12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C6: Acórdão nº 3931/2025 do Plenário do TCE-RJ (Processo TCE-RJ nº 217.899-0/2024), Voto do Relator, item 1.2 — Determinação aos jurisdicionados para nomear o encarregado pelo tratamento de dados pessoais e publicar o ato em veículo de comunicação oficial.</w:t>
            </w:r>
          </w:p>
          <w:p ns2:paraId="2667BB09" ns2:textId="2C1623C1">
            <w:pPr>
              <w:pStyle w:val="1010"/>
              <w:pBdr/>
              <w:spacing w:after="12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C7: Acórdão nº 3931/2025 do Plenário do TCE-RJ (Processo TCE-RJ nº 217.899-0/2024), Voto do Relator, item 1.3 — Determinação aos jurisdicionados para publicar em seu portal institucional, de forma clara e objetiva, a identidade e informações de contato do encarregado pelo tratamento de dados pessoais.</w:t>
            </w:r>
          </w:p>
          <w:p ns2:paraId="2667BB09" ns2:textId="2C1623C1">
            <w:pPr>
              <w:pStyle w:val="1010"/>
              <w:pBdr/>
              <w:spacing w:after="12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C8: Guia do Framework de Privacidade e Segurança da Informação — PPSI 2.0, medida 0.10 — Orienta instituir e implementar Programa de Governança em Privacidade com ações, políticas, normas, procedimentos, papéis, responsabilidades, prazos, controles, indicadores e revisão periódica.</w:t>
            </w:r>
          </w:p>
          <w:p ns2:paraId="2667BB09" ns2:textId="2C1623C1">
            <w:pPr>
              <w:pStyle w:val="1010"/>
              <w:pBdr/>
              <w:spacing w:after="12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C9: Guia do Framework de Privacidade e Segurança da Informação — PPSI 2.0, medida 0.4 — Orienta designar formalmente o Encarregado pelo tratamento de dados pessoais e respectivo substituto.</w:t>
            </w:r>
          </w:p>
          <w:p ns2:paraId="2667BB09" ns2:textId="2C1623C1">
            <w:pPr>
              <w:pStyle w:val="1010"/>
              <w:pBdr/>
              <w:spacing w:after="12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C10: Guia do Framework de Privacidade e Segurança da Informação — PPSI 2.0, medida 21.4 — Orienta divulgar publicamente e manter atualizadas a identidade e as informações de contato do Encarregado e de seu substituto, em local de destaque e fácil acesso no sítio eletrônico.</w:t>
            </w:r>
          </w:p>
        </w:tc>
        <w:tc>
          <w:tcPr>
            <w:tcBorders/>
            <w:tcW w:w="2684" w:type="dxa"/>
            <w:vAlign w:val="center"/>
          </w:tcPr>
          <w:p ns2:paraId="4C6E5B2E" ns2:textId="42100C78">
            <w:pPr>
              <w:pStyle w:val="1010"/>
              <w:pBdr/>
              <w:spacing w:after="120"/>
              <w:ind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P1: Verificar nas respostas às questões Q21, Q23 e Q24 e, quando Q21 = A1, na justificativa Q21just se a organização declarou ter realizado iniciativas preparatórias, elaborado plano de ação ou programa de governança em privacidade, considerado os encaminhamentos aplicáveis do Acórdão nº 3931/2025 e elaborado e registrado o Plano de Ação no prazo determinado; [IR1]</w:t>
            </w:r>
          </w:p>
          <w:p ns2:paraId="4C6E5B2E" ns2:textId="42100C78">
            <w:pPr>
              <w:pStyle w:val="1010"/>
              <w:pBdr/>
              <w:spacing w:after="120"/>
              <w:ind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P1.1: Examinar os documentos submetidos nos itens Q211evi e Q212evi para avaliar sua autenticidade aparente, aprovação, vigência e aderência mínima ao escopo declarado, incluindo ações, responsáveis e prazos para adequação à LGPD; [IR1]</w:t>
            </w:r>
          </w:p>
          <w:p ns2:paraId="4C6E5B2E" ns2:textId="42100C78">
            <w:pPr>
              <w:pStyle w:val="1010"/>
              <w:pBdr/>
              <w:spacing w:after="120"/>
              <w:ind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P2: Verificar na resposta à questão Q41[SQ004] se a organização declarou ter designado formalmente o Encarregado pelo tratamento de dados pessoais; [IR2]</w:t>
            </w:r>
          </w:p>
          <w:p ns2:paraId="4C6E5B2E" ns2:textId="42100C78">
            <w:pPr>
              <w:pStyle w:val="1010"/>
              <w:pBdr/>
              <w:spacing w:after="120"/>
              <w:ind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P2.1: Examinar o documento submetido no item Q414evi para confirmar a existência, validade, autoridade signatária, vigência e publicação oficial do ato de designação do Encarregado; [IR2]</w:t>
            </w:r>
          </w:p>
          <w:p ns2:paraId="4C6E5B2E" ns2:textId="42100C78">
            <w:pPr>
              <w:pStyle w:val="1010"/>
              <w:pBdr/>
              <w:spacing w:after="120"/>
              <w:ind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P3: Verificar na resposta à questão Q41[SQ005] se a organização declarou divulgar publicamente a identidade e os canais de contato do Encarregado; [IR3]</w:t>
            </w:r>
          </w:p>
          <w:p ns2:paraId="4C6E5B2E" ns2:textId="42100C78">
            <w:pPr>
              <w:pStyle w:val="1010"/>
              <w:pBdr/>
              <w:spacing w:after="120"/>
              <w:ind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P3.1: Inspecionar o endereço eletrônico informado no item Q415 para confirmar a disponibilidade, clareza, atualidade e facilidade de acesso à identidade e aos canais de contato do Encarregado; [IR3]</w:t>
            </w:r>
          </w:p>
        </w:tc>
        <w:tc>
          <w:tcPr>
            <w:tcBorders/>
            <w:tcW w:w="4080" w:type="dxa"/>
            <w:vAlign w:val="center"/>
          </w:tcPr>
          <w:p ns2:paraId="1E80855F" ns2:textId="1D853748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E1: Registro das respostas às questões Q21, Q23 e Q24 e, quando aplicável, da justificativa Q21just sobre iniciativas preparatórias, plano de ação, programa de governança em privacidade, consideração dos encaminhamentos do Acórdão nº 3931/2025 e elaboração e registro do Plano de Ação determinado no item 1.1; [P1]</w:t>
            </w:r>
          </w:p>
          <w:p ns2:paraId="1E80855F" ns2:textId="1D853748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E1.1: Resultado da análise dos documentos Q211evi e Q212evi, com registro de existência, aprovação, vigência, conteúdo mínimo e eventuais inconsistências com a declaração; [P1.1]</w:t>
            </w:r>
          </w:p>
          <w:p ns2:paraId="1E80855F" ns2:textId="1D853748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E2: Registro da resposta à questão Q41[SQ004] sobre a designação formal do Encarregado; [P2]</w:t>
            </w:r>
          </w:p>
          <w:p ns2:paraId="1E80855F" ns2:textId="1D853748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E2.1: Resultado da análise do ato Q414evi, com registro de validade, autoridade signatária, vigência, publicação e eventuais inconsistências com a declaração; [P2.1]</w:t>
            </w:r>
          </w:p>
          <w:p ns2:paraId="1E80855F" ns2:textId="1D853748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E3: Registro da resposta à questão Q41[SQ005] sobre a divulgação pública da identidade e dos contatos do Encarregado; [P3]</w:t>
            </w:r>
          </w:p>
          <w:p ns2:paraId="1E80855F" ns2:textId="1D853748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E3.1: Registro da inspeção do endereço Q415, incluindo disponibilidade da página, conteúdo publicado, atualidade e facilidade de acesso; [P3.1]</w:t>
            </w:r>
          </w:p>
        </w:tc>
        <w:tc>
          <w:tcPr>
            <w:tcBorders/>
            <w:tcW w:w="4702" w:type="dxa"/>
            <w:vAlign w:val="center"/>
          </w:tcPr>
          <w:p ns2:paraId="11118515" ns2:textId="02403B9E">
            <w:pPr>
              <w:pBdr/>
              <w:spacing w:after="80"/>
              <w:ind w:firstLine="0" w:left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Deficiência na preparação institucional em privacidade.</w:t>
            </w:r>
          </w:p>
          <w:p ns2:paraId="11118515" ns2:textId="02403B9E">
            <w:pPr>
              <w:pBdr/>
              <w:spacing w:after="60"/>
              <w:ind w:firstLine="0" w:left="24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• Ausência de plano de ação ou de programa estruturado de governança em privacidade para direcionar a adequação à LGPD. [R1.1, P1, P1.1, E1, E1.1, C4, C5, C8];</w:t>
            </w:r>
          </w:p>
          <w:p ns2:paraId="11118515" ns2:textId="02403B9E">
            <w:pPr>
              <w:pBdr/>
              <w:spacing w:after="80"/>
              <w:ind w:firstLine="0" w:left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Ausência ou irregularidade na atuação do Encarregado pelo tratamento de dados pessoais.</w:t>
            </w:r>
          </w:p>
          <w:p ns2:paraId="11118515" ns2:textId="02403B9E">
            <w:pPr>
              <w:pBdr/>
              <w:spacing w:after="60"/>
              <w:ind w:firstLine="0" w:left="24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• Ausência de designação formal de Encarregado pelo tratamento de dados pessoais (DPO) publicada em veículo oficial. [R1.2, P2, P2.1, E2, E2.1, C1, C3, C6, C9];</w:t>
            </w:r>
          </w:p>
          <w:p ns2:paraId="11118515" ns2:textId="02403B9E">
            <w:pPr>
              <w:pBdr/>
              <w:spacing w:after="60"/>
              <w:ind w:firstLine="0" w:left="24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• Ausência de divulgação pública da identidade e dos canais de contato do Encarregado no sítio eletrônico oficial. [R1.3, P3, P3.1, E3, E3.1, C2, C3, C7, C10];</w:t>
            </w:r>
          </w:p>
        </w:tc>
      </w:tr>
    </w:tbl>
    <w:p>
      <w:r>
        <w:br w:type="page"/>
      </w:r>
    </w:p>
    <w:tbl>
      <w:tblPr>
        <w:tblStyle w:val="1011"/>
        <w:tblW w:w="5000" w:type="pct"/>
        <w:tblBorders/>
        <w:tblLook w:val="04A0" w:firstRow="1" w:lastRow="0" w:firstColumn="1" w:lastColumn="0" w:noHBand="0" w:noVBand="1"/>
      </w:tblPr>
      <w:tblGrid>
        <w:gridCol w:w="2258"/>
        <w:gridCol w:w="3170"/>
        <w:gridCol w:w="3622"/>
        <w:gridCol w:w="4530"/>
        <w:gridCol w:w="4078"/>
        <w:gridCol w:w="4700"/>
      </w:tblGrid>
      <w:tr>
        <w:trPr>
          <w:tblHeader/>
        </w:trPr>
        <w:tc>
          <w:tcPr>
            <w:gridSpan w:val="6"/>
            <w:tcBorders/>
            <w:tcW w:w="5000" w:type="pct"/>
          </w:tcPr>
          <w:p ns2:paraId="7D29FCBB" ns2:textId="4EC62946">
            <w:pPr>
              <w:pBdr/>
              <w:spacing w:after="120"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b/>
                <w:bCs/>
                <w:rFonts w:ascii="Arial" w:hAnsi="Arial" w:cs="Arial" w:eastAsia="Arial"/>
                <w:sz w:val="20"/>
                <w:szCs w:val="20"/>
              </w:rPr>
              <w:t>Q2: A organização instituiu formalmente políticas de proteção de dados, segurança da informação e classificação da informação, e promoveu capacitação e conscientização periódica de seus colaboradores?</w:t>
            </w:r>
          </w:p>
          <w:p ns2:paraId="4ED18313" ns2:textId="42BA0AFF">
            <w:pPr>
              <w:pStyle w:val="1012"/>
              <w:numPr>
                <w:ilvl w:val="0"/>
                <w:numId w:val="4"/>
              </w:num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A organização instituiu formalmente e mantém atualizadas sua Política de Proteção de Dados Pessoais, Política de Segurança da Informação (PSI) e Política de Classificação da Informação?</w:t>
            </w:r>
          </w:p>
          <w:p ns2:paraId="4ED18313" ns2:textId="42BA0AFF">
            <w:pPr>
              <w:pStyle w:val="1012"/>
              <w:numPr>
                <w:ilvl w:val="0"/>
                <w:numId w:val="4"/>
              </w:num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As políticas de classificação da informação contemplam regras específicas sobre dados pessoais sensíveis e dados de crianças e de adolescentes?</w:t>
            </w:r>
          </w:p>
          <w:p ns2:paraId="4ED18313" ns2:textId="42BA0AFF">
            <w:pPr>
              <w:pStyle w:val="1012"/>
              <w:numPr>
                <w:ilvl w:val="0"/>
                <w:numId w:val="4"/>
              </w:num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A organização possui plano de capacitação e realizou ações de treinamento em proteção de dados pessoais para seus colaboradores, abordando de forma integrada a transparência da gestão (LAI)?</w:t>
            </w:r>
          </w:p>
        </w:tc>
      </w:tr>
      <w:tr>
        <w:trPr>
          <w:tblHeader/>
        </w:trPr>
        <w:tc>
          <w:tcPr>
            <w:gridSpan w:val="6"/>
            <w:shd w:val="clear" w:color="auto" w:fill="bdd6ee" w:themeFill="accent5" w:themeFillTint="66"/>
            <w:tcBorders/>
            <w:tcW w:w="5000" w:type="pct"/>
          </w:tcPr>
          <w:p ns2:paraId="63566D7E" ns2:textId="69F154AC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R2.1: Devido à ausência de políticas institucionais formalizadas (proteção de dados, PSI e classificação), poderá não haver diretrizes operacionais claras para os servidores, o que poderá levar a práticas inadequadas de tratamento e manuseio indevido de dados, impactando a conformidade legal e a integridade informacional.</w:t>
            </w:r>
          </w:p>
          <w:p ns2:paraId="63566D7E" ns2:textId="69F154AC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R2.2: Devido à omissão de regras de classificação sobre dados pessoais sensíveis e de crianças/adolescentes, poderá haver exposição indevida de dados hipervulneráveis, o que poderá levar a graves violações de direitos, impactando a responsabilidade civil do município.</w:t>
            </w:r>
          </w:p>
          <w:p ns2:paraId="63566D7E" ns2:textId="69F154AC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R2.3: Devido à falta de capacitação periódica e conscientização dos colaboradores, poderá haver erros operacionais no manuseio diário de dados de cidadãos, o que poderá levar a incidentes de segurança e vazamentos acidentais, impactando a confiança da sociedade na gestão pública.</w:t>
            </w:r>
          </w:p>
        </w:tc>
      </w:tr>
    </w:tbl>
    <w:tbl>
      <w:tblPr>
        <w:tblStyle w:val="1011"/>
        <w:tblW w:w="5000" w:type="pct"/>
        <w:tblBorders/>
        <w:tblLook w:val="04A0" w:firstRow="1" w:lastRow="0" w:firstColumn="1" w:lastColumn="0" w:noHBand="0" w:noVBand="1"/>
      </w:tblPr>
      <w:tblGrid>
        <w:gridCol w:w="2258"/>
        <w:gridCol w:w="3170"/>
        <w:gridCol w:w="3622"/>
        <w:gridCol w:w="4530"/>
        <w:gridCol w:w="4078"/>
        <w:gridCol w:w="4700"/>
      </w:tblGrid>
      <w:tr>
        <w:trPr>
          <w:tblHeader/>
        </w:trPr>
        <w:tc>
          <w:tcPr>
            <w:tcBorders/>
            <w:tcW w:w="2259" w:type="dxa"/>
            <w:vAlign w:val="center"/>
          </w:tcPr>
          <w:p ns2:paraId="5C2D7232" ns2:textId="280A56F4">
            <w:pPr>
              <w:pBdr/>
              <w:spacing w:after="0" w:before="40"/>
              <w:ind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FONTES DE INFORMAÇÃO</w:t>
            </w:r>
          </w:p>
        </w:tc>
        <w:tc>
          <w:tcPr>
            <w:tcBorders/>
            <w:tcW w:w="3172" w:type="dxa"/>
            <w:vAlign w:val="center"/>
          </w:tcPr>
          <w:p ns2:paraId="7208CA25" ns2:textId="5376F66C">
            <w:pPr>
              <w:pBdr/>
              <w:spacing w:after="0" w:before="40"/>
              <w:ind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INFORMAÇÕES REQUERIDAS</w:t>
            </w:r>
          </w:p>
        </w:tc>
        <w:tc>
          <w:tcPr>
            <w:tcBorders/>
            <w:tcW w:w="5471" w:type="dxa"/>
            <w:vAlign w:val="center"/>
          </w:tcPr>
          <w:p ns2:paraId="563FD7FD" ns2:textId="77777777">
            <w:pPr>
              <w:pBdr/>
              <w:spacing w:after="0" w:before="40"/>
              <w:ind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CRITÉRIOS</w:t>
            </w:r>
          </w:p>
        </w:tc>
        <w:tc>
          <w:tcPr>
            <w:tcBorders/>
            <w:tcW w:w="2684" w:type="dxa"/>
            <w:vAlign w:val="center"/>
          </w:tcPr>
          <w:p ns2:paraId="6A4DEA23" ns2:textId="77777777">
            <w:pPr>
              <w:pBdr/>
              <w:spacing w:after="0" w:before="40"/>
              <w:ind/>
              <w:jc w:val="center"/>
              <w:rPr>
                <w:rFonts w:ascii="Arial" w:hAnsi="Arial" w:cs="Arial"/>
                <w:b/>
                <w:bCs/>
                <w:strike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PROCEDIMENTO DE AUDITORIA</w:t>
            </w:r>
          </w:p>
        </w:tc>
        <w:tc>
          <w:tcPr>
            <w:tcBorders/>
            <w:tcW w:w="4080" w:type="dxa"/>
            <w:vAlign w:val="center"/>
          </w:tcPr>
          <w:p ns2:paraId="4A1C29C4" ns2:textId="77777777">
            <w:pPr>
              <w:pBdr/>
              <w:spacing w:after="0" w:before="40"/>
              <w:ind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POSSÍVEIS EVIDÊNCIAS</w:t>
            </w:r>
          </w:p>
        </w:tc>
        <w:tc>
          <w:tcPr>
            <w:tcBorders/>
            <w:tcW w:w="4702" w:type="dxa"/>
            <w:vAlign w:val="center"/>
          </w:tcPr>
          <w:p ns2:paraId="357B1101" ns2:textId="77777777">
            <w:pPr>
              <w:pBdr/>
              <w:spacing w:after="0" w:before="40"/>
              <w:ind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POSSÍVEIS ACHADOS</w:t>
            </w:r>
          </w:p>
        </w:tc>
      </w:tr>
      <w:tr>
        <w:trPr/>
        <w:tc>
          <w:tcPr>
            <w:tcBorders/>
            <w:tcW w:w="2259" w:type="dxa"/>
            <w:vAlign w:val="center"/>
          </w:tcPr>
          <w:p ns2:paraId="07477FA7" ns2:textId="4BBAC042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F1: Gestores municipais responsáveis pela governança em privacidade, segurança da informação e capacitação de pessoal.</w:t>
            </w:r>
          </w:p>
          <w:p ns2:paraId="07477FA7" ns2:textId="4BBAC042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F2: Unidades administrativas das prefeituras responsáveis pela edição e custódia das políticas institucionais e dos registros de capacitação.</w:t>
            </w:r>
          </w:p>
        </w:tc>
        <w:tc>
          <w:tcPr>
            <w:tcBorders/>
            <w:tcW w:w="3172" w:type="dxa"/>
            <w:vAlign w:val="center"/>
          </w:tcPr>
          <w:p ns2:paraId="1DD0E491" ns2:textId="77777777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IR1: Respostas sobre a formalização e a publicação da Política de Proteção de Dados Pessoais, acompanhadas do ato formal comprobatório; [F1, F2, Q41[SQ003], Q417, Q411evi]</w:t>
            </w:r>
          </w:p>
          <w:p ns2:paraId="1DD0E491" ns2:textId="77777777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IR2: Respostas sobre a formalização e a publicação da PSI e sobre a formalização da Política de Classificação da Informação, acompanhadas dos atos formais comprobatórios; [F1, F2, Q41[SQ001], Q416, Q41[SQ002], Q412evi, Q413evi]</w:t>
            </w:r>
          </w:p>
          <w:p ns2:paraId="1DD0E491" ns2:textId="77777777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IR3: Resposta, declaração de maturidade e Plano de Capacitação em proteção de dados e LAI; [F1, F2, Q51, Q511evi, Q52]</w:t>
            </w:r>
          </w:p>
        </w:tc>
        <w:tc>
          <w:tcPr>
            <w:tcBorders/>
            <w:tcW w:w="5471" w:type="dxa"/>
            <w:vAlign w:val="center"/>
          </w:tcPr>
          <w:p ns2:paraId="2667BB09" ns2:textId="2C1623C1">
            <w:pPr>
              <w:pStyle w:val="1010"/>
              <w:pBdr/>
              <w:spacing w:after="12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C1: Lei Federal nº 13.709/2018 (LGPD), art. 50, § 2º, I, "a" — Formulação de regras de boas práticas e de governança que contemplem políticas institucionais de proteção de dados pessoais.</w:t>
            </w:r>
          </w:p>
          <w:p ns2:paraId="2667BB09" ns2:textId="2C1623C1">
            <w:pPr>
              <w:pStyle w:val="1010"/>
              <w:pBdr/>
              <w:spacing w:after="12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C2: Lei Federal nº 13.709/2018 (LGPD), arts. 46 e 47 — Dever dos agentes de tratamento de adotar medidas de segurança, técnicas e administrativas aptas a proteger dados pessoais, expedindo normas internas de segurança e governança.</w:t>
            </w:r>
          </w:p>
          <w:p ns2:paraId="2667BB09" ns2:textId="2C1623C1">
            <w:pPr>
              <w:pStyle w:val="1010"/>
              <w:pBdr/>
              <w:spacing w:after="12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C3: Lei Federal nº 13.709/2018 (LGPD), art. 50, § 2º, I, "c" — Realização de ações educativas, mecanismos internos de supervisão e capacitação permanente de colaboradores sobre proteção de dados pessoais.</w:t>
            </w:r>
          </w:p>
          <w:p ns2:paraId="2667BB09" ns2:textId="2C1623C1">
            <w:pPr>
              <w:pStyle w:val="1010"/>
              <w:pBdr/>
              <w:spacing w:after="12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C4: Acórdão nº 3931/2025 do Plenário do TCE-RJ (Processo TCE-RJ nº 217.899-0/2024), Voto do Relator, item 1.6 — Determinação aos jurisdicionados para elaborar, aprovar e publicar sua Política de Proteção de Dados Pessoais (PPDP), observando as melhores práticas do PPSI do Governo Federal e da ABNT NBR ISO/IEC 27701:2019, em especial a cláusula 5.3.2 e a cláusula 6.2.1.1.</w:t>
            </w:r>
          </w:p>
          <w:p ns2:paraId="2667BB09" ns2:textId="2C1623C1">
            <w:pPr>
              <w:pStyle w:val="1010"/>
              <w:pBdr/>
              <w:spacing w:after="12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C5: Acórdão nº 3931/2025 do Plenário do TCE-RJ (Processo TCE-RJ nº 217.899-0/2024), Voto do Relator, item 1.5 — Determinação aos jurisdicionados para elaborar, aprovar e publicar a Política de Segurança da Informação (PSI), dispondo de princípios, diretrizes, procedimentos, responsabilidades e controles de segurança.</w:t>
            </w:r>
          </w:p>
          <w:p ns2:paraId="2667BB09" ns2:textId="2C1623C1">
            <w:pPr>
              <w:pStyle w:val="1010"/>
              <w:pBdr/>
              <w:spacing w:after="12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C6: Acórdão nº 3931/2025 do Plenário do TCE-RJ (Processo TCE-RJ nº 217.899-0/2024), Voto do Relator, item 1.14 — Recomendação aos jurisdicionados para instituir formalmente e manter atualizada Política de Classificação da Informação que aborde dados sensíveis e dados de crianças e de adolescentes.</w:t>
            </w:r>
          </w:p>
          <w:p ns2:paraId="2667BB09" ns2:textId="2C1623C1">
            <w:pPr>
              <w:pStyle w:val="1010"/>
              <w:pBdr/>
              <w:spacing w:after="12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C7: Acórdão nº 3931/2025 do Plenário do TCE-RJ (Processo TCE-RJ nº 217.899-0/2024), Voto do Relator, item 1.13 — Recomendação aos jurisdicionados para avaliar a oportunidade e conveniência de elaborar plano de capacitação e desenvolver ações contínuas de capacitação e conscientização em proteção de dados pessoais.</w:t>
            </w:r>
          </w:p>
          <w:p ns2:paraId="2667BB09" ns2:textId="2C1623C1">
            <w:pPr>
              <w:pStyle w:val="1010"/>
              <w:pBdr/>
              <w:spacing w:after="12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C8: Guia do Framework de Privacidade e Segurança da Informação — PPSI 2.0, medida 0.12 — Orienta instituir e implementar Política de Proteção de Dados Pessoais que estabeleça diretrizes, papéis e responsabilidades, seja divulgada e passe por revisão periódica ou quando houver mudanças significativas.</w:t>
            </w:r>
          </w:p>
          <w:p ns2:paraId="2667BB09" ns2:textId="2C1623C1">
            <w:pPr>
              <w:pStyle w:val="1010"/>
              <w:pBdr/>
              <w:spacing w:after="12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C9: ABNT NBR ISO/IEC 27701:2019, cláusula 5.3.2 e cláusula 6.2.1.1 — Requer que a política do sistema de gestão da segurança da informação seja estendida por declarações pertinentes à proteção de informações de identificação pessoal e que as políticas de segurança contemplem os requisitos de privacidade aplicáveis.</w:t>
            </w:r>
          </w:p>
          <w:p ns2:paraId="2667BB09" ns2:textId="2C1623C1">
            <w:pPr>
              <w:pStyle w:val="1010"/>
              <w:pBdr/>
              <w:spacing w:after="12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C10: ABNT NBR ISO/IEC 27002:2022, controle 5.1, controle 5.12 e controle 6.3 — Orienta a definição e revisão das políticas de segurança da informação, a classificação da informação segundo as necessidades de proteção e a realização periódica de conscientização, educação e treinamento em segurança da informação.</w:t>
            </w:r>
          </w:p>
          <w:p ns2:paraId="2667BB09" ns2:textId="2C1623C1">
            <w:pPr>
              <w:pStyle w:val="1010"/>
              <w:pBdr/>
              <w:spacing w:after="12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C11: Guia do Framework de Privacidade e Segurança da Informação — PPSI 2.0, medida 0.11 — Orienta instituir e implementar Política de Segurança da Informação formalmente aprovada pela autoridade máxima, com diretrizes, responsabilidades e competências, e revisá-la periodicamente ou diante de mudanças significativas.</w:t>
            </w:r>
          </w:p>
          <w:p ns2:paraId="2667BB09" ns2:textId="2C1623C1">
            <w:pPr>
              <w:pStyle w:val="1010"/>
              <w:pBdr/>
              <w:spacing w:after="12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C12: Guia do Framework de Privacidade e Segurança da Informação — PPSI 2.0, medida 3.7 — Orienta estabelecer e manter esquema de classificação de dados baseado na criticidade, com critérios específicos e revisão anual ou diante de mudanças significativas.</w:t>
            </w:r>
          </w:p>
          <w:p ns2:paraId="2667BB09" ns2:textId="2C1623C1">
            <w:pPr>
              <w:pStyle w:val="1010"/>
              <w:pBdr/>
              <w:spacing w:after="12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C13: Guia do Framework de Privacidade e Segurança da Informação — PPSI 2.0, medidas 20.2 e 20.3 — Orienta manter programa contínuo de conscientização em privacidade e proteção de dados pessoais e incluir, nos instrumentos de desenvolvimento de pessoas, necessidades de capacitação adequadas às funções exercidas.</w:t>
            </w:r>
          </w:p>
        </w:tc>
        <w:tc>
          <w:tcPr>
            <w:tcBorders/>
            <w:tcW w:w="2684" w:type="dxa"/>
            <w:vAlign w:val="center"/>
          </w:tcPr>
          <w:p ns2:paraId="4C6E5B2E" ns2:textId="42100C78">
            <w:pPr>
              <w:pStyle w:val="1010"/>
              <w:pBdr/>
              <w:spacing w:after="120"/>
              <w:ind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P1: Verificar nas respostas às questões Q41[SQ003] e Q417 se a organização declarou ter formalizado e publicado sua Política de Proteção de Dados Pessoais; [IR1]</w:t>
            </w:r>
          </w:p>
          <w:p ns2:paraId="4C6E5B2E" ns2:textId="42100C78">
            <w:pPr>
              <w:pStyle w:val="1010"/>
              <w:pBdr/>
              <w:spacing w:after="120"/>
              <w:ind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P1.1: Examinar o documento submetido no item Q411evi para avaliar sua autenticidade aparente, aprovação, vigência, publicação, escopo institucional e conteúdo mínimo de proteção de dados pessoais; [IR1]</w:t>
            </w:r>
          </w:p>
          <w:p ns2:paraId="4C6E5B2E" ns2:textId="42100C78">
            <w:pPr>
              <w:pStyle w:val="1010"/>
              <w:pBdr/>
              <w:spacing w:after="120"/>
              <w:ind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P2: Verificar nas respostas às questões Q41[SQ001], Q416 e Q41[SQ002] se a organização declarou ter instituído e publicado a Política de Segurança da Informação e instituído a Política de Classificação da Informação; [IR2]</w:t>
            </w:r>
          </w:p>
          <w:p ns2:paraId="4C6E5B2E" ns2:textId="42100C78">
            <w:pPr>
              <w:pStyle w:val="1010"/>
              <w:pBdr/>
              <w:spacing w:after="120"/>
              <w:ind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P2.1: Examinar os documentos submetidos nos itens Q412evi e Q413evi para avaliar aprovação, vigência, publicação, responsabilidades, controles de segurança e regras de classificação aplicáveis a dados pessoais sensíveis e a dados de crianças e adolescentes; [IR2]</w:t>
            </w:r>
          </w:p>
          <w:p ns2:paraId="4C6E5B2E" ns2:textId="42100C78">
            <w:pPr>
              <w:pStyle w:val="1010"/>
              <w:pBdr/>
              <w:spacing w:after="120"/>
              <w:ind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P3: Verificar nas respostas às questões Q51 e Q52 se a organização declarou possuir plano de capacitação e realizar treinamentos que integrem proteção de dados pessoais e transparência; [IR3]</w:t>
            </w:r>
          </w:p>
          <w:p ns2:paraId="4C6E5B2E" ns2:textId="42100C78">
            <w:pPr>
              <w:pStyle w:val="1010"/>
              <w:pBdr/>
              <w:spacing w:after="120"/>
              <w:ind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P3.1: Examinar o documento submetido no item Q511evi para avaliar aprovação, vigência, público-alvo, conteúdo programático e periodicidade prevista das ações de capacitação; [IR3]</w:t>
            </w:r>
          </w:p>
        </w:tc>
        <w:tc>
          <w:tcPr>
            <w:tcBorders/>
            <w:tcW w:w="4080" w:type="dxa"/>
            <w:vAlign w:val="center"/>
          </w:tcPr>
          <w:p ns2:paraId="1E80855F" ns2:textId="1D853748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E1: Registro das respostas às questões Q41[SQ003] e Q417 sobre a formalização e a publicação da Política de Proteção de Dados Pessoais; [P1]</w:t>
            </w:r>
          </w:p>
          <w:p ns2:paraId="1E80855F" ns2:textId="1D853748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E1.1: Resultado da análise da política Q411evi, com registro de aprovação, vigência, publicação, conteúdo mínimo e eventuais inconsistências com a declaração; [P1.1]</w:t>
            </w:r>
          </w:p>
          <w:p ns2:paraId="1E80855F" ns2:textId="1D853748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E2: Registro das respostas às questões Q41[SQ001], Q416 e Q41[SQ002] sobre a instituição e a publicação da PSI e a instituição da Política de Classificação da Informação; [P2]</w:t>
            </w:r>
          </w:p>
          <w:p ns2:paraId="1E80855F" ns2:textId="1D853748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E2.1: Resultado da análise das políticas Q412evi e Q413evi, com registro de formalização, conteúdo mínimo e eventuais inconsistências com as declarações; [P2.1]</w:t>
            </w:r>
          </w:p>
          <w:p ns2:paraId="1E80855F" ns2:textId="1D853748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E3: Registro das respostas às questões Q51 e Q52 sobre o plano de capacitação e os treinamentos realizados; [P3]</w:t>
            </w:r>
          </w:p>
          <w:p ns2:paraId="1E80855F" ns2:textId="1D853748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E3.1: Resultado da análise do plano Q511evi, com indicação de aprovação, vigência, abrangência temática, público-alvo, periodicidade e eventuais inconsistências com a declaração; [P3.1]</w:t>
            </w:r>
          </w:p>
        </w:tc>
        <w:tc>
          <w:tcPr>
            <w:tcBorders/>
            <w:tcW w:w="4702" w:type="dxa"/>
            <w:vAlign w:val="center"/>
          </w:tcPr>
          <w:p ns2:paraId="11118515" ns2:textId="02403B9E">
            <w:pPr>
              <w:pBdr/>
              <w:spacing w:after="80"/>
              <w:ind w:firstLine="0" w:left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Inexistência ou insuficiência de políticas normativas institucionais e carência de capacitação periódica de servidores em proteção de dados pessoais.</w:t>
            </w:r>
          </w:p>
          <w:p ns2:paraId="11118515" ns2:textId="02403B9E">
            <w:pPr>
              <w:pBdr/>
              <w:spacing w:after="60"/>
              <w:ind w:firstLine="0" w:left="24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• Ausência de formalização e publicação de Política de Proteção de Dados Pessoais no âmbito da administração municipal. [R2.1, P1, P1.1, E1, E1.1, C1, C4, C8, C9];</w:t>
            </w:r>
          </w:p>
          <w:p ns2:paraId="11118515" ns2:textId="02403B9E">
            <w:pPr>
              <w:pBdr/>
              <w:spacing w:after="60"/>
              <w:ind w:firstLine="0" w:left="24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• Inexistência de Política de Segurança da Informação (PSI) ou de Política de Classificação da Informação formalmente instituídas. [R2.1, R2.2, P2, P2.1, E2, E2.1, C2, C5, C6, C10, C11, C12];</w:t>
            </w:r>
          </w:p>
          <w:p ns2:paraId="11118515" ns2:textId="02403B9E">
            <w:pPr>
              <w:pBdr/>
              <w:spacing w:after="60"/>
              <w:ind w:firstLine="0" w:left="24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• Ausência de plano de capacitação e de ações periódicas de conscientização de servidores em proteção de dados pessoais e transparência pública. [R2.3, P3, P3.1, E3, E3.1, C3, C7, C10, C13];</w:t>
            </w:r>
          </w:p>
        </w:tc>
      </w:tr>
    </w:tbl>
    <w:p>
      <w:r>
        <w:br w:type="page"/>
      </w:r>
    </w:p>
    <w:tbl>
      <w:tblPr>
        <w:tblStyle w:val="1011"/>
        <w:tblW w:w="5000" w:type="pct"/>
        <w:tblBorders/>
        <w:tblLook w:val="04A0" w:firstRow="1" w:lastRow="0" w:firstColumn="1" w:lastColumn="0" w:noHBand="0" w:noVBand="1"/>
      </w:tblPr>
      <w:tblGrid>
        <w:gridCol w:w="2258"/>
        <w:gridCol w:w="3170"/>
        <w:gridCol w:w="3622"/>
        <w:gridCol w:w="4530"/>
        <w:gridCol w:w="4078"/>
        <w:gridCol w:w="4700"/>
      </w:tblGrid>
      <w:tr>
        <w:trPr>
          <w:tblHeader/>
        </w:trPr>
        <w:tc>
          <w:tcPr>
            <w:gridSpan w:val="6"/>
            <w:tcBorders/>
            <w:tcW w:w="5000" w:type="pct"/>
          </w:tcPr>
          <w:p ns2:paraId="7D29FCBB" ns2:textId="4EC62946">
            <w:pPr>
              <w:pBdr/>
              <w:spacing w:after="120"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b/>
                <w:bCs/>
                <w:rFonts w:ascii="Arial" w:hAnsi="Arial" w:cs="Arial" w:eastAsia="Arial"/>
                <w:sz w:val="20"/>
                <w:szCs w:val="20"/>
              </w:rPr>
              <w:t>Q3: A organização identificou seus processos de negócio com dados pessoais, documentou finalidades e bases legais e instituiu Inventário de Dados Pessoais e Registro das Operações de Tratamento (ROPA)?</w:t>
            </w:r>
          </w:p>
          <w:p ns2:paraId="4ED18313" ns2:textId="42BA0AFF">
            <w:pPr>
              <w:pStyle w:val="1012"/>
              <w:numPr>
                <w:ilvl w:val="0"/>
                <w:numId w:val="4"/>
              </w:num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A organização realizou levantamento dos processos de negócio que realizam tratamento de dados pessoais, identificando dados tratados, responsáveis e locais de armazenamento?</w:t>
            </w:r>
          </w:p>
          <w:p ns2:paraId="4ED18313" ns2:textId="42BA0AFF">
            <w:pPr>
              <w:pStyle w:val="1012"/>
              <w:numPr>
                <w:ilvl w:val="0"/>
                <w:numId w:val="4"/>
              </w:num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A organização identificou e documentou as finalidades públicas legítimas e as bases legais que autorizam cada operação de tratamento de dados pessoais?</w:t>
            </w:r>
          </w:p>
          <w:p ns2:paraId="4ED18313" ns2:textId="42BA0AFF">
            <w:pPr>
              <w:pStyle w:val="1012"/>
              <w:numPr>
                <w:ilvl w:val="0"/>
                <w:numId w:val="4"/>
              </w:num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A organização instituiu e mantém atualizado Inventário de Dados Pessoais abrangendo suas principais atividades de tratamento?</w:t>
            </w:r>
          </w:p>
          <w:p ns2:paraId="4ED18313" ns2:textId="42BA0AFF">
            <w:pPr>
              <w:pStyle w:val="1012"/>
              <w:numPr>
                <w:ilvl w:val="0"/>
                <w:numId w:val="4"/>
              </w:num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A organização mantém Registro das Operações de Tratamento de Dados Pessoais (ROPA), na forma exigida pelo art. 37 da LGPD?</w:t>
            </w:r>
          </w:p>
          <w:p ns2:paraId="4ED18313" ns2:textId="42BA0AFF">
            <w:pPr>
              <w:pStyle w:val="1012"/>
              <w:numPr>
                <w:ilvl w:val="0"/>
                <w:numId w:val="4"/>
              </w:num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A organização avaliou se a coleta de dados pessoais e o tempo de retenção/armazenamento estão limitados ao estritamente necessário (princípios da necessidade e minimização)?</w:t>
            </w:r>
          </w:p>
        </w:tc>
      </w:tr>
      <w:tr>
        <w:trPr>
          <w:tblHeader/>
        </w:trPr>
        <w:tc>
          <w:tcPr>
            <w:gridSpan w:val="6"/>
            <w:shd w:val="clear" w:color="auto" w:fill="bdd6ee" w:themeFill="accent5" w:themeFillTint="66"/>
            <w:tcBorders/>
            <w:tcW w:w="5000" w:type="pct"/>
          </w:tcPr>
          <w:p ns2:paraId="63566D7E" ns2:textId="69F154AC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R3.1: Devido à falta de mapeamento dos processos de negócio e dos locais de armazenamento, a organização desconhecerá o ciclo de vida das informações, o que poderá levar ao extravio de dados ou acessos indevidos, impactando o controle patrimonial da informação municipal.</w:t>
            </w:r>
          </w:p>
          <w:p ns2:paraId="63566D7E" ns2:textId="69F154AC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R3.2: Devido à ausência de enquadramento formal nas bases legais da LGPD, poderão ocorrer operações ilegítimas de tratamento de dados de cidadãos, o que poderá levar à anulação de atos administrativos e à responsabilização do gestor, impactando a segurança jurídica.</w:t>
            </w:r>
          </w:p>
          <w:p ns2:paraId="63566D7E" ns2:textId="69F154AC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R3.3: Devido à inexistência de Inventário de Dados Pessoais e de Registro das Operações (ROPA), a prefeitura não demonstrará conformidade à fiscalização e descumprirá dever legal expresso, o que poderá levar a sanções regulatórias da ANPD e determinações do TCE-RJ, impactando a governança.</w:t>
            </w:r>
          </w:p>
          <w:p ns2:paraId="63566D7E" ns2:textId="69F154AC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R3.4: Devido à inobservância dos princípios da minimização e limitação de retenção, poderá haver acúmulo desnecessário de dados obsoletos, o que poderá levar ao aumento desnecessário da superfície de risco de vazamentos, impactando a segurança institucional.</w:t>
            </w:r>
          </w:p>
        </w:tc>
      </w:tr>
    </w:tbl>
    <w:tbl>
      <w:tblPr>
        <w:tblStyle w:val="1011"/>
        <w:tblW w:w="5000" w:type="pct"/>
        <w:tblBorders/>
        <w:tblLook w:val="04A0" w:firstRow="1" w:lastRow="0" w:firstColumn="1" w:lastColumn="0" w:noHBand="0" w:noVBand="1"/>
      </w:tblPr>
      <w:tblGrid>
        <w:gridCol w:w="2258"/>
        <w:gridCol w:w="3170"/>
        <w:gridCol w:w="3622"/>
        <w:gridCol w:w="4530"/>
        <w:gridCol w:w="4078"/>
        <w:gridCol w:w="4700"/>
      </w:tblGrid>
      <w:tr>
        <w:trPr>
          <w:tblHeader/>
        </w:trPr>
        <w:tc>
          <w:tcPr>
            <w:tcBorders/>
            <w:tcW w:w="2259" w:type="dxa"/>
            <w:vAlign w:val="center"/>
          </w:tcPr>
          <w:p ns2:paraId="5C2D7232" ns2:textId="280A56F4">
            <w:pPr>
              <w:pBdr/>
              <w:spacing w:after="0" w:before="40"/>
              <w:ind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FONTES DE INFORMAÇÃO</w:t>
            </w:r>
          </w:p>
        </w:tc>
        <w:tc>
          <w:tcPr>
            <w:tcBorders/>
            <w:tcW w:w="3172" w:type="dxa"/>
            <w:vAlign w:val="center"/>
          </w:tcPr>
          <w:p ns2:paraId="7208CA25" ns2:textId="5376F66C">
            <w:pPr>
              <w:pBdr/>
              <w:spacing w:after="0" w:before="40"/>
              <w:ind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INFORMAÇÕES REQUERIDAS</w:t>
            </w:r>
          </w:p>
        </w:tc>
        <w:tc>
          <w:tcPr>
            <w:tcBorders/>
            <w:tcW w:w="5471" w:type="dxa"/>
            <w:vAlign w:val="center"/>
          </w:tcPr>
          <w:p ns2:paraId="563FD7FD" ns2:textId="77777777">
            <w:pPr>
              <w:pBdr/>
              <w:spacing w:after="0" w:before="40"/>
              <w:ind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CRITÉRIOS</w:t>
            </w:r>
          </w:p>
        </w:tc>
        <w:tc>
          <w:tcPr>
            <w:tcBorders/>
            <w:tcW w:w="2684" w:type="dxa"/>
            <w:vAlign w:val="center"/>
          </w:tcPr>
          <w:p ns2:paraId="6A4DEA23" ns2:textId="77777777">
            <w:pPr>
              <w:pBdr/>
              <w:spacing w:after="0" w:before="40"/>
              <w:ind/>
              <w:jc w:val="center"/>
              <w:rPr>
                <w:rFonts w:ascii="Arial" w:hAnsi="Arial" w:cs="Arial"/>
                <w:b/>
                <w:bCs/>
                <w:strike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PROCEDIMENTO DE AUDITORIA</w:t>
            </w:r>
          </w:p>
        </w:tc>
        <w:tc>
          <w:tcPr>
            <w:tcBorders/>
            <w:tcW w:w="4080" w:type="dxa"/>
            <w:vAlign w:val="center"/>
          </w:tcPr>
          <w:p ns2:paraId="4A1C29C4" ns2:textId="77777777">
            <w:pPr>
              <w:pBdr/>
              <w:spacing w:after="0" w:before="40"/>
              <w:ind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POSSÍVEIS EVIDÊNCIAS</w:t>
            </w:r>
          </w:p>
        </w:tc>
        <w:tc>
          <w:tcPr>
            <w:tcBorders/>
            <w:tcW w:w="4702" w:type="dxa"/>
            <w:vAlign w:val="center"/>
          </w:tcPr>
          <w:p ns2:paraId="357B1101" ns2:textId="77777777">
            <w:pPr>
              <w:pBdr/>
              <w:spacing w:after="0" w:before="40"/>
              <w:ind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POSSÍVEIS ACHADOS</w:t>
            </w:r>
          </w:p>
        </w:tc>
      </w:tr>
      <w:tr>
        <w:trPr/>
        <w:tc>
          <w:tcPr>
            <w:tcBorders/>
            <w:tcW w:w="2259" w:type="dxa"/>
            <w:vAlign w:val="center"/>
          </w:tcPr>
          <w:p ns2:paraId="07477FA7" ns2:textId="4BBAC042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F1: Gestores municipais responsáveis pelos processos de negócio e pela governança em privacidade.</w:t>
            </w:r>
          </w:p>
          <w:p ns2:paraId="07477FA7" ns2:textId="4BBAC042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F2: Unidades administrativas das prefeituras responsáveis pelo Inventário de Dados Pessoais e pelo Registro das Operações de Tratamento.</w:t>
            </w:r>
          </w:p>
        </w:tc>
        <w:tc>
          <w:tcPr>
            <w:tcBorders/>
            <w:tcW w:w="3172" w:type="dxa"/>
            <w:vAlign w:val="center"/>
          </w:tcPr>
          <w:p ns2:paraId="1DD0E491" ns2:textId="77777777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IR1: Resposta e registros sobre iniciativas de identificação de processos, dados tratados e locais de armazenamento; [F1, F2, Q31[SQ006], Q31[SQ007], Q31[SQ008]]</w:t>
            </w:r>
          </w:p>
          <w:p ns2:paraId="1DD0E491" ns2:textId="77777777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IR2: Resposta sobre documentação de finalidades, minimização, retenção e bases legais; [F1, Q61[SQ001], Q61[SQ002], Q61[SQ003], Q61[SQ004]]</w:t>
            </w:r>
          </w:p>
          <w:p ns2:paraId="1DD0E491" ns2:textId="77777777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IR3: Resposta e documento comprobatório do Inventário de Dados Pessoais; [F1, F2, Q61[SQ005], Q61[SQ006], Q612evi]</w:t>
            </w:r>
          </w:p>
          <w:p ns2:paraId="1DD0E491" ns2:textId="77777777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IR4: Resposta sobre a manutenção de Registro das Operações de Tratamento (ROPA); [F1, Q61[SQ007]]</w:t>
            </w:r>
          </w:p>
        </w:tc>
        <w:tc>
          <w:tcPr>
            <w:tcBorders/>
            <w:tcW w:w="5471" w:type="dxa"/>
            <w:vAlign w:val="center"/>
          </w:tcPr>
          <w:p ns2:paraId="2667BB09" ns2:textId="2C1623C1">
            <w:pPr>
              <w:pStyle w:val="1010"/>
              <w:pBdr/>
              <w:spacing w:after="12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C1: Lei Federal nº 13.709/2018 (LGPD), art. 37 — Obrigação legal do controlador e do operador de manter registro das operações de tratamento de dados pessoais que realizarem (ROPA).</w:t>
            </w:r>
          </w:p>
          <w:p ns2:paraId="2667BB09" ns2:textId="2C1623C1">
            <w:pPr>
              <w:pStyle w:val="1010"/>
              <w:pBdr/>
              <w:spacing w:after="12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C2: Lei Federal nº 13.709/2018 (LGPD), arts. 6º, I e III, 7º, III, e 11, II, "b" — Princípios da finalidade e da necessidade (minimização), e hipóteses legais que autorizam o tratamento pelo poder público para execução de políticas públicas e cumprimento de obrigação legal.</w:t>
            </w:r>
          </w:p>
          <w:p ns2:paraId="2667BB09" ns2:textId="2C1623C1">
            <w:pPr>
              <w:pStyle w:val="1010"/>
              <w:pBdr/>
              <w:spacing w:after="12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C3: Lei Federal nº 13.709/2018 (LGPD), art. 50, § 2º, I — Programa de governança em privacidade que assegure a conformidade e a estruturação de inventários de dados e registros operacionais.</w:t>
            </w:r>
          </w:p>
          <w:p ns2:paraId="2667BB09" ns2:textId="2C1623C1">
            <w:pPr>
              <w:pStyle w:val="1010"/>
              <w:pBdr/>
              <w:spacing w:after="12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C4: Acórdão nº 3931/2025 do Plenário do TCE-RJ (Processo TCE-RJ nº 217.899-0/2024), Voto do Relator, item 1.4 — Determinação aos jurisdicionados para elaborar e manter Inventário de Dados Pessoais constando minimamente: serviços/processos de negócio; encarregado e agentes; finalidades, hipóteses de tratamento e previsões legais; categorias de dados e titulares; e compartilhamento com terceiros.</w:t>
            </w:r>
          </w:p>
          <w:p ns2:paraId="2667BB09" ns2:textId="2C1623C1">
            <w:pPr>
              <w:pStyle w:val="1010"/>
              <w:pBdr/>
              <w:spacing w:after="12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C5: Guia do Framework de Privacidade e Segurança da Informação — PPSI 2.0, medidas 19.1 a 19.4 — Orienta manter processo documentado e periodicamente atualizado para registrar as operações de tratamento, contemplando fluxos, fontes, finalidades, hipóteses legais, retenção, soluções tecnológicas, agentes, compartilhamentos, transferências internacionais, tipos de dados e categorias de titulares.</w:t>
            </w:r>
          </w:p>
          <w:p ns2:paraId="2667BB09" ns2:textId="2C1623C1">
            <w:pPr>
              <w:pStyle w:val="1010"/>
              <w:pBdr/>
              <w:spacing w:after="12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C6: Guia do Framework de Privacidade e Segurança da Informação — PPSI 2.0, medidas 23.1, 23.2, 25.1 e 25.3 — Orienta analisar e documentar a finalidade pública e as hipóteses legais de cada tratamento e limitar os dados pessoais ao estritamente necessário para as finalidades legítimas, específicas e explícitas.</w:t>
            </w:r>
          </w:p>
        </w:tc>
        <w:tc>
          <w:tcPr>
            <w:tcBorders/>
            <w:tcW w:w="2684" w:type="dxa"/>
            <w:vAlign w:val="center"/>
          </w:tcPr>
          <w:p ns2:paraId="4C6E5B2E" ns2:textId="42100C78">
            <w:pPr>
              <w:pStyle w:val="1010"/>
              <w:pBdr/>
              <w:spacing w:after="120"/>
              <w:ind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P1: Verificar nas respostas aos itens Q31[SQ006], Q31[SQ007] e Q31[SQ008] se a organização declarou ter identificado os processos de negócio, os dados pessoais tratados e os locais de armazenamento; [IR1]</w:t>
            </w:r>
          </w:p>
          <w:p ns2:paraId="4C6E5B2E" ns2:textId="42100C78">
            <w:pPr>
              <w:pStyle w:val="1010"/>
              <w:pBdr/>
              <w:spacing w:after="120"/>
              <w:ind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P1.1: Examinar o Inventário de Dados Pessoais submetido no item Q612evi para avaliar se identifica processos, dados tratados, responsáveis e locais de armazenamento de forma compatível com as declarações; [IR1]</w:t>
            </w:r>
          </w:p>
          <w:p ns2:paraId="4C6E5B2E" ns2:textId="42100C78">
            <w:pPr>
              <w:pStyle w:val="1010"/>
              <w:pBdr/>
              <w:spacing w:after="120"/>
              <w:ind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P2: Verificar nas respostas aos itens Q61[SQ001] a Q61[SQ004] se a organização declarou ter documentado as finalidades públicas e as bases legais e avaliado a minimização e o tempo de retenção; [IR2]</w:t>
            </w:r>
          </w:p>
          <w:p ns2:paraId="4C6E5B2E" ns2:textId="42100C78">
            <w:pPr>
              <w:pStyle w:val="1010"/>
              <w:pBdr/>
              <w:spacing w:after="120"/>
              <w:ind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P3: Verificar nas respostas aos itens Q61[SQ005] e Q61[SQ006] se a organização declarou possuir e manter atualizado o Inventário de Dados Pessoais; [IR3]</w:t>
            </w:r>
          </w:p>
          <w:p ns2:paraId="4C6E5B2E" ns2:textId="42100C78">
            <w:pPr>
              <w:pStyle w:val="1010"/>
              <w:pBdr/>
              <w:spacing w:after="120"/>
              <w:ind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P3.1: Examinar o documento submetido no item Q612evi para avaliar aprovação, vigência, atualização e abrangência quanto a processos, finalidades, bases legais, categorias de dados e titulares, responsáveis, armazenamento e compartilhamentos; [IR3]</w:t>
            </w:r>
          </w:p>
          <w:p ns2:paraId="4C6E5B2E" ns2:textId="42100C78">
            <w:pPr>
              <w:pStyle w:val="1010"/>
              <w:pBdr/>
              <w:spacing w:after="120"/>
              <w:ind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P4: Verificar na resposta ao item Q61[SQ007] se a organização declarou manter formalmente o Registro das Operações de Tratamento (ROPA); [IR4]</w:t>
            </w:r>
          </w:p>
        </w:tc>
        <w:tc>
          <w:tcPr>
            <w:tcBorders/>
            <w:tcW w:w="4080" w:type="dxa"/>
            <w:vAlign w:val="center"/>
          </w:tcPr>
          <w:p ns2:paraId="1E80855F" ns2:textId="1D853748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E1: Registro das respostas aos itens Q31[SQ006], Q31[SQ007] e Q31[SQ008] sobre processos, dados tratados e locais de armazenamento; [P1]</w:t>
            </w:r>
          </w:p>
          <w:p ns2:paraId="1E80855F" ns2:textId="1D853748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E1.1: Resultado do exame do Inventário Q612evi quanto à identificação dos processos, dados, responsáveis e locais de armazenamento e à consistência com as declarações; [P1.1]</w:t>
            </w:r>
          </w:p>
          <w:p ns2:paraId="1E80855F" ns2:textId="1D853748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E2: Registro das respostas aos itens Q61[SQ001] a Q61[SQ004] sobre finalidades, bases legais, minimização e tempo de retenção; [P2]</w:t>
            </w:r>
          </w:p>
          <w:p ns2:paraId="1E80855F" ns2:textId="1D853748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E3: Registro das respostas aos itens Q61[SQ005] e Q61[SQ006] sobre existência e atualização do Inventário de Dados Pessoais; [P3]</w:t>
            </w:r>
          </w:p>
          <w:p ns2:paraId="1E80855F" ns2:textId="1D853748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E3.1: Resultado da análise do documento Q612evi, com registro de aprovação, vigência, atualização, abrangência e eventuais inconsistências com as declarações; [P3.1]</w:t>
            </w:r>
          </w:p>
          <w:p ns2:paraId="1E80855F" ns2:textId="1D853748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E4: Registro da resposta ao item Q61[SQ007] sobre a manutenção formal do ROPA; [P4]</w:t>
            </w:r>
          </w:p>
        </w:tc>
        <w:tc>
          <w:tcPr>
            <w:tcBorders/>
            <w:tcW w:w="4702" w:type="dxa"/>
            <w:vAlign w:val="center"/>
          </w:tcPr>
          <w:p ns2:paraId="11118515" ns2:textId="02403B9E">
            <w:pPr>
              <w:pBdr/>
              <w:spacing w:after="80"/>
              <w:ind w:firstLine="0" w:left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Ausência de mapeamento das atividades de tratamento, inexistência de Inventário de Dados Pessoais e descumprimento da manutenção do Registro das Operações (ROPA).</w:t>
            </w:r>
          </w:p>
          <w:p ns2:paraId="11118515" ns2:textId="02403B9E">
            <w:pPr>
              <w:pBdr/>
              <w:spacing w:after="60"/>
              <w:ind w:firstLine="0" w:left="24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• Inexistência de Inventário de Dados Pessoais instituído para consolidar as características das atividades de tratamento. [R3.1, R3.3, P1, P1.1, P3, P3.1, E1, E1.1, E3, E3.1, C3, C4, C5];</w:t>
            </w:r>
          </w:p>
          <w:p ns2:paraId="11118515" ns2:textId="02403B9E">
            <w:pPr>
              <w:pBdr/>
              <w:spacing w:after="60"/>
              <w:ind w:firstLine="0" w:left="24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• Ausência de identificação e documentação das finalidades e das bases legais para as atividades de tratamento de dados pessoais. [R3.2, P2, E2, C2, C4, C6];</w:t>
            </w:r>
          </w:p>
          <w:p ns2:paraId="11118515" ns2:textId="02403B9E">
            <w:pPr>
              <w:pBdr/>
              <w:spacing w:after="60"/>
              <w:ind w:firstLine="0" w:left="24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• Ausência de manutenção de Registro das Operações de Tratamento de Dados Pessoais (ROPA), em descumprimento ao art. 37 da LGPD. [R3.3, P4, E4, C1, C4, C5];</w:t>
            </w:r>
          </w:p>
        </w:tc>
      </w:tr>
    </w:tbl>
    <w:p>
      <w:r>
        <w:br w:type="page"/>
      </w:r>
    </w:p>
    <w:tbl>
      <w:tblPr>
        <w:tblStyle w:val="1011"/>
        <w:tblW w:w="5000" w:type="pct"/>
        <w:tblBorders/>
        <w:tblLook w:val="04A0" w:firstRow="1" w:lastRow="0" w:firstColumn="1" w:lastColumn="0" w:noHBand="0" w:noVBand="1"/>
      </w:tblPr>
      <w:tblGrid>
        <w:gridCol w:w="2258"/>
        <w:gridCol w:w="3170"/>
        <w:gridCol w:w="3622"/>
        <w:gridCol w:w="4530"/>
        <w:gridCol w:w="4078"/>
        <w:gridCol w:w="4700"/>
      </w:tblGrid>
      <w:tr>
        <w:trPr>
          <w:tblHeader/>
        </w:trPr>
        <w:tc>
          <w:tcPr>
            <w:gridSpan w:val="6"/>
            <w:tcBorders/>
            <w:tcW w:w="5000" w:type="pct"/>
          </w:tcPr>
          <w:p ns2:paraId="7D29FCBB" ns2:textId="4EC62946">
            <w:pPr>
              <w:pBdr/>
              <w:spacing w:after="120"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b/>
                <w:bCs/>
                <w:rFonts w:ascii="Arial" w:hAnsi="Arial" w:cs="Arial" w:eastAsia="Arial"/>
                <w:sz w:val="20"/>
                <w:szCs w:val="20"/>
              </w:rPr>
              <w:t>Q4: A organização avaliou os riscos aos processos de tratamento e elaborou Relatório de Impacto à Proteção de Dados Pessoais (RIPD)?</w:t>
            </w:r>
          </w:p>
          <w:p ns2:paraId="4ED18313" ns2:textId="42BA0AFF">
            <w:pPr>
              <w:pStyle w:val="1012"/>
              <w:numPr>
                <w:ilvl w:val="0"/>
                <w:numId w:val="4"/>
              </w:num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A organização conduziu iniciativas para identificar e avaliar os riscos associados aos processos de tratamento de dados pessoais?</w:t>
            </w:r>
          </w:p>
          <w:p ns2:paraId="4ED18313" ns2:textId="42BA0AFF">
            <w:pPr>
              <w:pStyle w:val="1012"/>
              <w:numPr>
                <w:ilvl w:val="0"/>
                <w:numId w:val="4"/>
              </w:num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A organização elaborou Relatório de Impacto à Proteção de Dados Pessoais (RIPD), nos termos do art. 5º, XVII, e art. 38 da LGPD?</w:t>
            </w:r>
          </w:p>
          <w:p ns2:paraId="4ED18313" ns2:textId="42BA0AFF">
            <w:pPr>
              <w:pStyle w:val="1012"/>
              <w:numPr>
                <w:ilvl w:val="0"/>
                <w:numId w:val="4"/>
              </w:num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Foram implementados controles mitigadores para os riscos identificados por meio da elaboração do RIPD?</w:t>
            </w:r>
          </w:p>
        </w:tc>
      </w:tr>
      <w:tr>
        <w:trPr>
          <w:tblHeader/>
        </w:trPr>
        <w:tc>
          <w:tcPr>
            <w:gridSpan w:val="6"/>
            <w:shd w:val="clear" w:color="auto" w:fill="bdd6ee" w:themeFill="accent5" w:themeFillTint="66"/>
            <w:tcBorders/>
            <w:tcW w:w="5000" w:type="pct"/>
          </w:tcPr>
          <w:p ns2:paraId="63566D7E" ns2:textId="69F154AC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R4.1: Devido à ausência de identificação e avaliação de riscos aos processos de tratamento, vulnerabilidades críticas permanecerão ocultas, o que poderá levar à materialização de incidentes graves, impactando a continuidade dos serviços públicos municipais.</w:t>
            </w:r>
          </w:p>
          <w:p ns2:paraId="63566D7E" ns2:textId="69F154AC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R4.2: Devido à falta de elaboração de Relatório de Impacto à Proteção de Dados (RIPD), tratamentos de alto risco e dados sensíveis serão executados sem salvaguardas adequadas, o que poderá levar a sanções por descumprimento ao art. 38 da LGPD, impactando a conformidade legal.</w:t>
            </w:r>
          </w:p>
          <w:p ns2:paraId="63566D7E" ns2:textId="69F154AC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R4.3: Devido à não implementação de controles mitigadores dos riscos identificados no RIPD, as análises de risco restarão inócuas, o que poderá levar à repetição de falhas conhecidas, impactando a proteção efetiva dos titulares.</w:t>
            </w:r>
          </w:p>
        </w:tc>
      </w:tr>
    </w:tbl>
    <w:tbl>
      <w:tblPr>
        <w:tblStyle w:val="1011"/>
        <w:tblW w:w="5000" w:type="pct"/>
        <w:tblBorders/>
        <w:tblLook w:val="04A0" w:firstRow="1" w:lastRow="0" w:firstColumn="1" w:lastColumn="0" w:noHBand="0" w:noVBand="1"/>
      </w:tblPr>
      <w:tblGrid>
        <w:gridCol w:w="2258"/>
        <w:gridCol w:w="3170"/>
        <w:gridCol w:w="3622"/>
        <w:gridCol w:w="4530"/>
        <w:gridCol w:w="4078"/>
        <w:gridCol w:w="4700"/>
      </w:tblGrid>
      <w:tr>
        <w:trPr>
          <w:tblHeader/>
        </w:trPr>
        <w:tc>
          <w:tcPr>
            <w:tcBorders/>
            <w:tcW w:w="2259" w:type="dxa"/>
            <w:vAlign w:val="center"/>
          </w:tcPr>
          <w:p ns2:paraId="5C2D7232" ns2:textId="280A56F4">
            <w:pPr>
              <w:pBdr/>
              <w:spacing w:after="0" w:before="40"/>
              <w:ind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FONTES DE INFORMAÇÃO</w:t>
            </w:r>
          </w:p>
        </w:tc>
        <w:tc>
          <w:tcPr>
            <w:tcBorders/>
            <w:tcW w:w="3172" w:type="dxa"/>
            <w:vAlign w:val="center"/>
          </w:tcPr>
          <w:p ns2:paraId="7208CA25" ns2:textId="5376F66C">
            <w:pPr>
              <w:pBdr/>
              <w:spacing w:after="0" w:before="40"/>
              <w:ind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INFORMAÇÕES REQUERIDAS</w:t>
            </w:r>
          </w:p>
        </w:tc>
        <w:tc>
          <w:tcPr>
            <w:tcBorders/>
            <w:tcW w:w="5471" w:type="dxa"/>
            <w:vAlign w:val="center"/>
          </w:tcPr>
          <w:p ns2:paraId="563FD7FD" ns2:textId="77777777">
            <w:pPr>
              <w:pBdr/>
              <w:spacing w:after="0" w:before="40"/>
              <w:ind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CRITÉRIOS</w:t>
            </w:r>
          </w:p>
        </w:tc>
        <w:tc>
          <w:tcPr>
            <w:tcBorders/>
            <w:tcW w:w="2684" w:type="dxa"/>
            <w:vAlign w:val="center"/>
          </w:tcPr>
          <w:p ns2:paraId="6A4DEA23" ns2:textId="77777777">
            <w:pPr>
              <w:pBdr/>
              <w:spacing w:after="0" w:before="40"/>
              <w:ind/>
              <w:jc w:val="center"/>
              <w:rPr>
                <w:rFonts w:ascii="Arial" w:hAnsi="Arial" w:cs="Arial"/>
                <w:b/>
                <w:bCs/>
                <w:strike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PROCEDIMENTO DE AUDITORIA</w:t>
            </w:r>
          </w:p>
        </w:tc>
        <w:tc>
          <w:tcPr>
            <w:tcBorders/>
            <w:tcW w:w="4080" w:type="dxa"/>
            <w:vAlign w:val="center"/>
          </w:tcPr>
          <w:p ns2:paraId="4A1C29C4" ns2:textId="77777777">
            <w:pPr>
              <w:pBdr/>
              <w:spacing w:after="0" w:before="40"/>
              <w:ind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POSSÍVEIS EVIDÊNCIAS</w:t>
            </w:r>
          </w:p>
        </w:tc>
        <w:tc>
          <w:tcPr>
            <w:tcBorders/>
            <w:tcW w:w="4702" w:type="dxa"/>
            <w:vAlign w:val="center"/>
          </w:tcPr>
          <w:p ns2:paraId="357B1101" ns2:textId="77777777">
            <w:pPr>
              <w:pBdr/>
              <w:spacing w:after="0" w:before="40"/>
              <w:ind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POSSÍVEIS ACHADOS</w:t>
            </w:r>
          </w:p>
        </w:tc>
      </w:tr>
      <w:tr>
        <w:trPr/>
        <w:tc>
          <w:tcPr>
            <w:tcBorders/>
            <w:tcW w:w="2259" w:type="dxa"/>
            <w:vAlign w:val="center"/>
          </w:tcPr>
          <w:p ns2:paraId="07477FA7" ns2:textId="4BBAC042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F1: Gestores municipais responsáveis pela gestão de riscos e pela governança em privacidade.</w:t>
            </w:r>
          </w:p>
          <w:p ns2:paraId="07477FA7" ns2:textId="4BBAC042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F2: Unidades administrativas das prefeituras responsáveis pela gestão dos riscos à privacidade, pela implementação dos controles mitigadores e pela elaboração e custódia dos Relatórios de Impacto à Proteção de Dados Pessoais.</w:t>
            </w:r>
          </w:p>
        </w:tc>
        <w:tc>
          <w:tcPr>
            <w:tcBorders/>
            <w:tcW w:w="3172" w:type="dxa"/>
            <w:vAlign w:val="center"/>
          </w:tcPr>
          <w:p ns2:paraId="1DD0E491" ns2:textId="77777777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IR1: Resposta e registros sobre a condução de iniciativas de identificação e avaliação de riscos a processos de tratamento; [F1, F2, Q31[SQ009], Q311evi]</w:t>
            </w:r>
          </w:p>
          <w:p ns2:paraId="1DD0E491" ns2:textId="77777777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IR2: Resposta e documento comprobatório de Relatório de Impacto à Proteção de Dados Pessoais (RIPD); [F1, F2, Q61[SQ008], Q611evi]</w:t>
            </w:r>
          </w:p>
          <w:p ns2:paraId="1DD0E491" ns2:textId="77777777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IR3: Resposta e registros sobre a implementação de controles para mitigar riscos identificados no RIPD; [F1, F2, Q61[SQ009], Q613evi]</w:t>
            </w:r>
          </w:p>
        </w:tc>
        <w:tc>
          <w:tcPr>
            <w:tcBorders/>
            <w:tcW w:w="5471" w:type="dxa"/>
            <w:vAlign w:val="center"/>
          </w:tcPr>
          <w:p ns2:paraId="2667BB09" ns2:textId="2C1623C1">
            <w:pPr>
              <w:pStyle w:val="1010"/>
              <w:pBdr/>
              <w:spacing w:after="12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C1: Lei Federal nº 13.709/2018 (LGPD), art. 5º, XVII, e art. 38, parágrafo único — Definição e obrigatoriedade de elaboração do Relatório de Impacto à Proteção de Dados Pessoais (RIPD) para operações de tratamento de dados que possam gerar riscos às liberdades civis e direitos fundamentais.</w:t>
            </w:r>
          </w:p>
          <w:p ns2:paraId="2667BB09" ns2:textId="2C1623C1">
            <w:pPr>
              <w:pStyle w:val="1010"/>
              <w:pBdr/>
              <w:spacing w:after="12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C2: Lei Federal nº 13.709/2018 (LGPD), art. 50, caput — Governança e gerenciamento contínuo de riscos no tratamento de dados pessoais.</w:t>
            </w:r>
          </w:p>
          <w:p ns2:paraId="2667BB09" ns2:textId="2C1623C1">
            <w:pPr>
              <w:pStyle w:val="1010"/>
              <w:pBdr/>
              <w:spacing w:after="12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C3: Acórdão nº 3931/2025 do Plenário do TCE-RJ (Processo TCE-RJ nº 217.899-0/2024), Voto do Relator, item 1.9 — Determinação aos jurisdicionados para elaborar Relatório de Impacto à Proteção de Dados Pessoais (RIPD), conforme disposto no art. 5º, XVII, e art. 38, parágrafo único, da LGPD, em consonância com as atividades registradas no Inventário de Dados Pessoais.</w:t>
            </w:r>
          </w:p>
          <w:p ns2:paraId="2667BB09" ns2:textId="2C1623C1">
            <w:pPr>
              <w:pStyle w:val="1010"/>
              <w:pBdr/>
              <w:spacing w:after="12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C4: ABNT NBR ISO/IEC 27701:2019, cláusula 5.4.1.2, cláusula 5.4.1.3 e cláusula 7.2.5 — Requer avaliação e tratamento dos riscos de segurança da informação relacionados à privacidade e avaliação de impacto à privacidade para novos tratamentos ou alterações em tratamentos existentes de informações de identificação pessoal.</w:t>
            </w:r>
          </w:p>
          <w:p ns2:paraId="2667BB09" ns2:textId="2C1623C1">
            <w:pPr>
              <w:pStyle w:val="1010"/>
              <w:pBdr/>
              <w:spacing w:after="12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C5: Guia do Framework de Privacidade e Segurança da Informação — PPSI 2.0, medida 0.17 — Orienta estabelecer, manter, revisar e atualizar processo documentado de gestão de riscos relacionados às operações de tratamento de dados pessoais, incluindo medidas técnicas e administrativas testadas e avaliadas.</w:t>
            </w:r>
          </w:p>
          <w:p ns2:paraId="2667BB09" ns2:textId="2C1623C1">
            <w:pPr>
              <w:pStyle w:val="1010"/>
              <w:pBdr/>
              <w:spacing w:after="12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C6: Guia do Framework de Privacidade e Segurança da Informação — PPSI 2.0, medidas 23.3 e 25.8 — Orienta avaliar os tratamentos que possam gerar riscos às liberdades civis e aos direitos fundamentais, elaborar o RIPD com os elementos mínimos aplicáveis e implementar salvaguardas e mecanismos de mitigação dos riscos identificados.</w:t>
            </w:r>
          </w:p>
        </w:tc>
        <w:tc>
          <w:tcPr>
            <w:tcBorders/>
            <w:tcW w:w="2684" w:type="dxa"/>
            <w:vAlign w:val="center"/>
          </w:tcPr>
          <w:p ns2:paraId="4C6E5B2E" ns2:textId="42100C78">
            <w:pPr>
              <w:pStyle w:val="1010"/>
              <w:pBdr/>
              <w:spacing w:after="120"/>
              <w:ind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P1: Verificar na resposta à questão Q31[SQ009] se a organização declarou ter identificado e avaliado os riscos associados aos processos de tratamento de dados pessoais; [IR1]</w:t>
            </w:r>
          </w:p>
          <w:p ns2:paraId="4C6E5B2E" ns2:textId="42100C78">
            <w:pPr>
              <w:pStyle w:val="1010"/>
              <w:pBdr/>
              <w:spacing w:after="120"/>
              <w:ind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P1.1: Examinar as matrizes, os relatórios ou os registros de riscos submetidos no item Q311evi para avaliar escopo, metodologia, identificação, análise, avaliação, responsáveis e consistência com a declaração; [IR1]</w:t>
            </w:r>
          </w:p>
          <w:p ns2:paraId="4C6E5B2E" ns2:textId="42100C78">
            <w:pPr>
              <w:pStyle w:val="1010"/>
              <w:pBdr/>
              <w:spacing w:after="120"/>
              <w:ind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P2: Verificar na resposta à questão Q61[SQ008] se a organização declarou ter elaborado Relatório de Impacto à Proteção de Dados Pessoais; [IR2]</w:t>
            </w:r>
          </w:p>
          <w:p ns2:paraId="4C6E5B2E" ns2:textId="42100C78">
            <w:pPr>
              <w:pStyle w:val="1010"/>
              <w:pBdr/>
              <w:spacing w:after="120"/>
              <w:ind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P2.1: Examinar o documento submetido no item Q611evi para avaliar autenticidade aparente, aprovação, vigência, vinculação às operações inventariadas e presença dos elementos mínimos do RIPD; [IR2]</w:t>
            </w:r>
          </w:p>
          <w:p ns2:paraId="4C6E5B2E" ns2:textId="42100C78">
            <w:pPr>
              <w:pStyle w:val="1010"/>
              <w:pBdr/>
              <w:spacing w:after="120"/>
              <w:ind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P3: Verificar na resposta à questão Q61[SQ009] se a organização declarou ter implementado controles para mitigar os riscos identificados no RIPD; [IR3]</w:t>
            </w:r>
          </w:p>
          <w:p ns2:paraId="4C6E5B2E" ns2:textId="42100C78">
            <w:pPr>
              <w:pStyle w:val="1010"/>
              <w:pBdr/>
              <w:spacing w:after="120"/>
              <w:ind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P3.1: Examinar os planos de tratamento e os registros de implantação e monitoramento submetidos no item Q613evi para avaliar a implementação, o responsável, o prazo, o estado e a efetividade documentada dos controles mitigadores; [IR3]</w:t>
            </w:r>
          </w:p>
        </w:tc>
        <w:tc>
          <w:tcPr>
            <w:tcBorders/>
            <w:tcW w:w="4080" w:type="dxa"/>
            <w:vAlign w:val="center"/>
          </w:tcPr>
          <w:p ns2:paraId="1E80855F" ns2:textId="1D853748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E1: Registro da resposta à questão Q31[SQ009] sobre identificação e avaliação dos riscos associados aos tratamentos; [P1]</w:t>
            </w:r>
          </w:p>
          <w:p ns2:paraId="1E80855F" ns2:textId="1D853748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E1.1: Resultado do exame do documento Q311evi, com indicação de escopo, metodologia, completude e eventuais inconsistências com a declaração; [P1.1]</w:t>
            </w:r>
          </w:p>
          <w:p ns2:paraId="1E80855F" ns2:textId="1D853748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E2: Registro da resposta à questão Q61[SQ008] sobre elaboração do RIPD; [P2]</w:t>
            </w:r>
          </w:p>
          <w:p ns2:paraId="1E80855F" ns2:textId="1D853748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E2.1: Resultado da análise do documento Q611evi, com registro de aprovação, vigência, operações abrangidas, conteúdo mínimo e eventuais inconsistências com a declaração; [P2.1]</w:t>
            </w:r>
          </w:p>
          <w:p ns2:paraId="1E80855F" ns2:textId="1D853748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E3: Registro da resposta à questão Q61[SQ009] sobre implementação dos controles mitigadores; [P3]</w:t>
            </w:r>
          </w:p>
          <w:p ns2:paraId="1E80855F" ns2:textId="1D853748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E3.1: Resultado da análise do documento Q613evi, incluindo responsáveis, prazos, estado e efetividade documentada dos controles; [P3.1]</w:t>
            </w:r>
          </w:p>
        </w:tc>
        <w:tc>
          <w:tcPr>
            <w:tcBorders/>
            <w:tcW w:w="4702" w:type="dxa"/>
            <w:vAlign w:val="center"/>
          </w:tcPr>
          <w:p ns2:paraId="11118515" ns2:textId="02403B9E">
            <w:pPr>
              <w:pBdr/>
              <w:spacing w:after="80"/>
              <w:ind w:firstLine="0" w:left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Fragilidade na gestão de riscos à privacidade.</w:t>
            </w:r>
          </w:p>
          <w:p ns2:paraId="11118515" ns2:textId="02403B9E">
            <w:pPr>
              <w:pBdr/>
              <w:spacing w:after="60"/>
              <w:ind w:firstLine="0" w:left="24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• Ausência de iniciativas formais para identificação e avaliação dos riscos associados aos processos de tratamento de dados pessoais. [R4.1, P1, P1.1, E1, E1.1, C2, C4, C5];</w:t>
            </w:r>
          </w:p>
          <w:p ns2:paraId="11118515" ns2:textId="02403B9E">
            <w:pPr>
              <w:pBdr/>
              <w:spacing w:after="60"/>
              <w:ind w:firstLine="0" w:left="24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• Ausência de elaboração de Relatório de Impacto à Proteção de Dados Pessoais (RIPD) para as atividades de tratamento cabíveis. [R4.2, R4.3, P2, P2.1, P3, P3.1, E2, E2.1, E3, E3.1, C1, C3, C4, C6];</w:t>
            </w:r>
          </w:p>
        </w:tc>
      </w:tr>
    </w:tbl>
    <w:p>
      <w:r>
        <w:br w:type="page"/>
      </w:r>
    </w:p>
    <w:tbl>
      <w:tblPr>
        <w:tblStyle w:val="1011"/>
        <w:tblW w:w="5000" w:type="pct"/>
        <w:tblBorders/>
        <w:tblLook w:val="04A0" w:firstRow="1" w:lastRow="0" w:firstColumn="1" w:lastColumn="0" w:noHBand="0" w:noVBand="1"/>
      </w:tblPr>
      <w:tblGrid>
        <w:gridCol w:w="2258"/>
        <w:gridCol w:w="3170"/>
        <w:gridCol w:w="3622"/>
        <w:gridCol w:w="4530"/>
        <w:gridCol w:w="4078"/>
        <w:gridCol w:w="4700"/>
      </w:tblGrid>
      <w:tr>
        <w:trPr>
          <w:tblHeader/>
        </w:trPr>
        <w:tc>
          <w:tcPr>
            <w:gridSpan w:val="6"/>
            <w:tcBorders/>
            <w:tcW w:w="5000" w:type="pct"/>
          </w:tcPr>
          <w:p ns2:paraId="7D29FCBB" ns2:textId="4EC62946">
            <w:pPr>
              <w:pBdr/>
              <w:spacing w:after="120"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b/>
                <w:bCs/>
                <w:rFonts w:ascii="Arial" w:hAnsi="Arial" w:cs="Arial" w:eastAsia="Arial"/>
                <w:sz w:val="20"/>
                <w:szCs w:val="20"/>
              </w:rPr>
              <w:t>Q5: A organização elaborou e divulga Política de Privacidade em seu sítio oficial e implementou mecanismos eficazes para atender aos direitos dos titulares de dados pessoais?</w:t>
            </w:r>
          </w:p>
          <w:p ns2:paraId="4ED18313" ns2:textId="42BA0AFF">
            <w:pPr>
              <w:pStyle w:val="1012"/>
              <w:numPr>
                <w:ilvl w:val="0"/>
                <w:numId w:val="4"/>
              </w:num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A organização elaborou e divulga em seu sítio eletrônico institucional Política de Privacidade (ou instrumento similar) clara e acessível?</w:t>
            </w:r>
          </w:p>
          <w:p ns2:paraId="4ED18313" ns2:textId="42BA0AFF">
            <w:pPr>
              <w:pStyle w:val="1012"/>
              <w:numPr>
                <w:ilvl w:val="0"/>
                <w:numId w:val="4"/>
              </w:num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Foram implementados mecanismos e procedimentos operacionais para atender os direitos dos titulares previstos nos arts. 9º e 18 da LGPD aplicáveis à organização?</w:t>
            </w:r>
          </w:p>
        </w:tc>
      </w:tr>
      <w:tr>
        <w:trPr>
          <w:tblHeader/>
        </w:trPr>
        <w:tc>
          <w:tcPr>
            <w:gridSpan w:val="6"/>
            <w:shd w:val="clear" w:color="auto" w:fill="bdd6ee" w:themeFill="accent5" w:themeFillTint="66"/>
            <w:tcBorders/>
            <w:tcW w:w="5000" w:type="pct"/>
          </w:tcPr>
          <w:p ns2:paraId="63566D7E" ns2:textId="69F154AC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R5.1: Devido à falta de publicação de Política ou Aviso de Privacidade nos canais eletrônicos, os titulares de dados desconhecerão as finalidades e regras de tratamento, o que poderá levar à violação do princípio da transparência pública, impactando a publicidade dos serviços digitais municipais.</w:t>
            </w:r>
          </w:p>
          <w:p ns2:paraId="63566D7E" ns2:textId="69F154AC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R5.2: Devido à inexistência de mecanismos formais de atendimento às requisições dos titulares, os cidadãos enfrentarão obstáculos para exercer seus direitos fundamentais (acesso, retificação, eliminação), o que poderá levar a representações judiciais e perante a ANPD, impactando a segurança jurídica municipal.</w:t>
            </w:r>
          </w:p>
        </w:tc>
      </w:tr>
    </w:tbl>
    <w:tbl>
      <w:tblPr>
        <w:tblStyle w:val="1011"/>
        <w:tblW w:w="5000" w:type="pct"/>
        <w:tblBorders/>
        <w:tblLook w:val="04A0" w:firstRow="1" w:lastRow="0" w:firstColumn="1" w:lastColumn="0" w:noHBand="0" w:noVBand="1"/>
      </w:tblPr>
      <w:tblGrid>
        <w:gridCol w:w="2258"/>
        <w:gridCol w:w="3170"/>
        <w:gridCol w:w="3622"/>
        <w:gridCol w:w="4530"/>
        <w:gridCol w:w="4078"/>
        <w:gridCol w:w="4700"/>
      </w:tblGrid>
      <w:tr>
        <w:trPr>
          <w:tblHeader/>
        </w:trPr>
        <w:tc>
          <w:tcPr>
            <w:tcBorders/>
            <w:tcW w:w="2259" w:type="dxa"/>
            <w:vAlign w:val="center"/>
          </w:tcPr>
          <w:p ns2:paraId="5C2D7232" ns2:textId="280A56F4">
            <w:pPr>
              <w:pBdr/>
              <w:spacing w:after="0" w:before="40"/>
              <w:ind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FONTES DE INFORMAÇÃO</w:t>
            </w:r>
          </w:p>
        </w:tc>
        <w:tc>
          <w:tcPr>
            <w:tcBorders/>
            <w:tcW w:w="3172" w:type="dxa"/>
            <w:vAlign w:val="center"/>
          </w:tcPr>
          <w:p ns2:paraId="7208CA25" ns2:textId="5376F66C">
            <w:pPr>
              <w:pBdr/>
              <w:spacing w:after="0" w:before="40"/>
              <w:ind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INFORMAÇÕES REQUERIDAS</w:t>
            </w:r>
          </w:p>
        </w:tc>
        <w:tc>
          <w:tcPr>
            <w:tcBorders/>
            <w:tcW w:w="5471" w:type="dxa"/>
            <w:vAlign w:val="center"/>
          </w:tcPr>
          <w:p ns2:paraId="563FD7FD" ns2:textId="77777777">
            <w:pPr>
              <w:pBdr/>
              <w:spacing w:after="0" w:before="40"/>
              <w:ind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CRITÉRIOS</w:t>
            </w:r>
          </w:p>
        </w:tc>
        <w:tc>
          <w:tcPr>
            <w:tcBorders/>
            <w:tcW w:w="2684" w:type="dxa"/>
            <w:vAlign w:val="center"/>
          </w:tcPr>
          <w:p ns2:paraId="6A4DEA23" ns2:textId="77777777">
            <w:pPr>
              <w:pBdr/>
              <w:spacing w:after="0" w:before="40"/>
              <w:ind/>
              <w:jc w:val="center"/>
              <w:rPr>
                <w:rFonts w:ascii="Arial" w:hAnsi="Arial" w:cs="Arial"/>
                <w:b/>
                <w:bCs/>
                <w:strike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PROCEDIMENTO DE AUDITORIA</w:t>
            </w:r>
          </w:p>
        </w:tc>
        <w:tc>
          <w:tcPr>
            <w:tcBorders/>
            <w:tcW w:w="4080" w:type="dxa"/>
            <w:vAlign w:val="center"/>
          </w:tcPr>
          <w:p ns2:paraId="4A1C29C4" ns2:textId="77777777">
            <w:pPr>
              <w:pBdr/>
              <w:spacing w:after="0" w:before="40"/>
              <w:ind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POSSÍVEIS EVIDÊNCIAS</w:t>
            </w:r>
          </w:p>
        </w:tc>
        <w:tc>
          <w:tcPr>
            <w:tcBorders/>
            <w:tcW w:w="4702" w:type="dxa"/>
            <w:vAlign w:val="center"/>
          </w:tcPr>
          <w:p ns2:paraId="357B1101" ns2:textId="77777777">
            <w:pPr>
              <w:pBdr/>
              <w:spacing w:after="0" w:before="40"/>
              <w:ind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POSSÍVEIS ACHADOS</w:t>
            </w:r>
          </w:p>
        </w:tc>
      </w:tr>
      <w:tr>
        <w:trPr/>
        <w:tc>
          <w:tcPr>
            <w:tcBorders/>
            <w:tcW w:w="2259" w:type="dxa"/>
            <w:vAlign w:val="center"/>
          </w:tcPr>
          <w:p ns2:paraId="07477FA7" ns2:textId="4BBAC042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F1: Gestores municipais responsáveis pela governança em privacidade e pelo atendimento aos direitos dos titulares.</w:t>
            </w:r>
          </w:p>
          <w:p ns2:paraId="07477FA7" ns2:textId="4BBAC042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F2: Unidades administrativas das prefeituras responsáveis pela edição e custódia da Política de Privacidade.</w:t>
            </w:r>
          </w:p>
          <w:p ns2:paraId="07477FA7" ns2:textId="4BBAC042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F3: Portal institucional oficial de cada prefeitura municipal.</w:t>
            </w:r>
          </w:p>
        </w:tc>
        <w:tc>
          <w:tcPr>
            <w:tcBorders/>
            <w:tcW w:w="3172" w:type="dxa"/>
            <w:vAlign w:val="center"/>
          </w:tcPr>
          <w:p ns2:paraId="1DD0E491" ns2:textId="77777777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IR1: Resposta, declaração de divulgação e documento anexado da Política de Privacidade; [F1, F2, F3, Q71, Q711evi]</w:t>
            </w:r>
          </w:p>
          <w:p ns2:paraId="1DD0E491" ns2:textId="77777777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IR2: Resposta, procedimentos e detalhamento dos mecanismos implementados para atender aos direitos dos titulares; [F1, F2, F3, Q72, Q721evi]</w:t>
            </w:r>
          </w:p>
        </w:tc>
        <w:tc>
          <w:tcPr>
            <w:tcBorders/>
            <w:tcW w:w="5471" w:type="dxa"/>
            <w:vAlign w:val="center"/>
          </w:tcPr>
          <w:p ns2:paraId="2667BB09" ns2:textId="2C1623C1">
            <w:pPr>
              <w:pStyle w:val="1010"/>
              <w:pBdr/>
              <w:spacing w:after="12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C1: Lei Federal nº 13.709/2018 (LGPD), art. 6º, VI, e art. 9º — Princípio da transparência e direito do titular ao acesso facilitado e claro sobre as informações de tratamento de dados (finalidades, forma e duração, identificação do controlador, compartilhamento e direitos).</w:t>
            </w:r>
          </w:p>
          <w:p ns2:paraId="2667BB09" ns2:textId="2C1623C1">
            <w:pPr>
              <w:pStyle w:val="1010"/>
              <w:pBdr/>
              <w:spacing w:after="12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C2: Lei Federal nº 13.709/2018 (LGPD), art. 18 — Rol de direitos dos titulares de dados pessoais e dever de atendimento facilitado, gratuito e em prazo razoável pelo controlador.</w:t>
            </w:r>
          </w:p>
          <w:p ns2:paraId="2667BB09" ns2:textId="2C1623C1">
            <w:pPr>
              <w:pStyle w:val="1010"/>
              <w:pBdr/>
              <w:spacing w:after="12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C3: Acórdão nº 3931/2025 do Plenário do TCE-RJ (Processo TCE-RJ nº 217.899-0/2024), Voto do Relator, item 1.7 — Determinação aos jurisdicionados para instituir formalmente, manter atualizada e divulgar em seu portal institucional sua Política de Privacidade, contemplando finalidades, duração, dados de contato do controlador, compartilhamentos e direitos do titular.</w:t>
            </w:r>
          </w:p>
          <w:p ns2:paraId="2667BB09" ns2:textId="2C1623C1">
            <w:pPr>
              <w:pStyle w:val="1010"/>
              <w:pBdr/>
              <w:spacing w:after="12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C4: Acórdão nº 3931/2025 do Plenário do TCE-RJ (Processo TCE-RJ nº 217.899-0/2024), Voto do Relator, item 1.8 — Determinação aos jurisdicionados para implementar mecanismos para atender a todos os direitos dos titulares relacionados no art. 18 da LGPD.</w:t>
            </w:r>
          </w:p>
          <w:p ns2:paraId="2667BB09" ns2:textId="2C1623C1">
            <w:pPr>
              <w:pStyle w:val="1010"/>
              <w:pBdr/>
              <w:spacing w:after="12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C5: Guia do Framework de Privacidade e Segurança da Informação — PPSI 2.0, medida 25.6 — Orienta assegurar aos titulares informações claras, precisas e facilmente acessíveis sobre os tratamentos, mediante instrumentos de transparência em privacidade adequados ao público-alvo e com o conteúdo mínimo aplicável.</w:t>
            </w:r>
          </w:p>
          <w:p ns2:paraId="2667BB09" ns2:textId="2C1623C1">
            <w:pPr>
              <w:pStyle w:val="1010"/>
              <w:pBdr/>
              <w:spacing w:after="12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C6: Guia do Framework de Privacidade e Segurança da Informação — PPSI 2.0, medidas 21.2 e 21.3 — Orienta disponibilizar meios céleres, eficazes e adequados de comunicação com o Encarregado e estabelecer processo documentado, com papéis, responsabilidades, prazos e requisitos, para atendimento aos direitos dos titulares.</w:t>
            </w:r>
          </w:p>
        </w:tc>
        <w:tc>
          <w:tcPr>
            <w:tcBorders/>
            <w:tcW w:w="2684" w:type="dxa"/>
            <w:vAlign w:val="center"/>
          </w:tcPr>
          <w:p ns2:paraId="4C6E5B2E" ns2:textId="42100C78">
            <w:pPr>
              <w:pStyle w:val="1010"/>
              <w:pBdr/>
              <w:spacing w:after="120"/>
              <w:ind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P1: Verificar na resposta da questão Q71 se a organização declarou ter elaborado e divulgado sua Política de Privacidade no sítio eletrônico institucional; [IR1]</w:t>
            </w:r>
          </w:p>
          <w:p ns2:paraId="4C6E5B2E" ns2:textId="42100C78">
            <w:pPr>
              <w:pStyle w:val="1010"/>
              <w:pBdr/>
              <w:spacing w:after="120"/>
              <w:ind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P1.1: Examinar o documento submetido no item Q711evi para avaliar aprovação, vigência, clareza, acessibilidade e conteúdo mínimo sobre finalidades, duração do tratamento, controlador, compartilhamentos e direitos dos titulares; [IR1]</w:t>
            </w:r>
          </w:p>
          <w:p ns2:paraId="4C6E5B2E" ns2:textId="42100C78">
            <w:pPr>
              <w:pStyle w:val="1010"/>
              <w:pBdr/>
              <w:spacing w:after="120"/>
              <w:ind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P1.2: Inspecionar o portal institucional da prefeitura para confirmar a publicação, atualidade, integridade e facilidade de acesso à Política de Privacidade declarada; [IR1]</w:t>
            </w:r>
          </w:p>
          <w:p ns2:paraId="4C6E5B2E" ns2:textId="42100C78">
            <w:pPr>
              <w:pStyle w:val="1010"/>
              <w:pBdr/>
              <w:spacing w:after="120"/>
              <w:ind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P2: Verificar na resposta da questão Q72 se a organização declarou ter implementado mecanismos para atendimento aos direitos dos titulares previstos nos arts. 9º e 18 da LGPD; [IR2]</w:t>
            </w:r>
          </w:p>
          <w:p ns2:paraId="4C6E5B2E" ns2:textId="42100C78">
            <w:pPr>
              <w:pStyle w:val="1010"/>
              <w:pBdr/>
              <w:spacing w:after="120"/>
              <w:ind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P2.1: Examinar o procedimento ou fluxo submetido no item Q721evi e inspecionar os canais divulgados no portal institucional para avaliar quais direitos podem ser exercidos, as formas de autenticação, o encaminhamento das solicitações, a gratuidade e o acompanhamento dos pedidos; [IR2]</w:t>
            </w:r>
          </w:p>
        </w:tc>
        <w:tc>
          <w:tcPr>
            <w:tcBorders/>
            <w:tcW w:w="4080" w:type="dxa"/>
            <w:vAlign w:val="center"/>
          </w:tcPr>
          <w:p ns2:paraId="1E80855F" ns2:textId="1D853748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E1: Registro da resposta da questão Q71 sobre elaboração e divulgação da Política de Privacidade; [P1]</w:t>
            </w:r>
          </w:p>
          <w:p ns2:paraId="1E80855F" ns2:textId="1D853748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E1.1: Resultado da análise da política Q711evi, com registro de aprovação, vigência, clareza, acessibilidade, conteúdo mínimo e eventuais inconsistências com a declaração; [P1.1]</w:t>
            </w:r>
          </w:p>
          <w:p ns2:paraId="1E80855F" ns2:textId="1D853748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E1.2: Registro da inspeção do portal institucional, incluindo endereço, data de acesso, disponibilidade, conteúdo publicado e facilidade de localização da política; [P1.2]</w:t>
            </w:r>
          </w:p>
          <w:p ns2:paraId="1E80855F" ns2:textId="1D853748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E2: Registro da resposta da questão Q72 sobre os mecanismos de atendimento aos direitos dos titulares; [P2]</w:t>
            </w:r>
          </w:p>
          <w:p ns2:paraId="1E80855F" ns2:textId="1D853748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E2.1: Resultado do exame do documento Q721evi e da inspeção dos canais de atendimento, com indicação dos direitos atendidos, formas de autenticação, fluxo, gratuidade e eventuais inconsistências com a declaração; [P2.1]</w:t>
            </w:r>
          </w:p>
        </w:tc>
        <w:tc>
          <w:tcPr>
            <w:tcBorders/>
            <w:tcW w:w="4702" w:type="dxa"/>
            <w:vAlign w:val="center"/>
          </w:tcPr>
          <w:p ns2:paraId="11118515" ns2:textId="02403B9E">
            <w:pPr>
              <w:pBdr/>
              <w:spacing w:after="80"/>
              <w:ind w:firstLine="0" w:left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Falta de transparência ativa em privacidade e ausência ou precariedade de mecanismos para atendimento aos direitos dos titulares de dados pessoais.</w:t>
            </w:r>
          </w:p>
          <w:p ns2:paraId="11118515" ns2:textId="02403B9E">
            <w:pPr>
              <w:pBdr/>
              <w:spacing w:after="60"/>
              <w:ind w:firstLine="0" w:left="24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• Ausência de elaboração ou falta de divulgação pública de Política de Privacidade no sítio eletrônico institucional da prefeitura. [R5.1, P1, P1.1, P1.2, E1, E1.1, E1.2, C1, C3, C5];</w:t>
            </w:r>
          </w:p>
          <w:p ns2:paraId="11118515" ns2:textId="02403B9E">
            <w:pPr>
              <w:pBdr/>
              <w:spacing w:after="60"/>
              <w:ind w:firstLine="0" w:left="24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• Ausência ou incompletude de mecanismos implementados para atendimento às requisições e direitos dos titulares de dados pessoais. [R5.2, P2, P2.1, E2, E2.1, C2, C4, C6];</w:t>
            </w:r>
          </w:p>
        </w:tc>
      </w:tr>
    </w:tbl>
    <w:p>
      <w:r>
        <w:br w:type="page"/>
      </w:r>
    </w:p>
    <w:tbl>
      <w:tblPr>
        <w:tblStyle w:val="1011"/>
        <w:tblW w:w="5000" w:type="pct"/>
        <w:tblBorders/>
        <w:tblLook w:val="04A0" w:firstRow="1" w:lastRow="0" w:firstColumn="1" w:lastColumn="0" w:noHBand="0" w:noVBand="1"/>
      </w:tblPr>
      <w:tblGrid>
        <w:gridCol w:w="2258"/>
        <w:gridCol w:w="3170"/>
        <w:gridCol w:w="3622"/>
        <w:gridCol w:w="4530"/>
        <w:gridCol w:w="4078"/>
        <w:gridCol w:w="4700"/>
      </w:tblGrid>
      <w:tr>
        <w:trPr>
          <w:tblHeader/>
        </w:trPr>
        <w:tc>
          <w:tcPr>
            <w:gridSpan w:val="6"/>
            <w:tcBorders/>
            <w:tcW w:w="5000" w:type="pct"/>
          </w:tcPr>
          <w:p ns2:paraId="7D29FCBB" ns2:textId="4EC62946">
            <w:pPr>
              <w:pBdr/>
              <w:spacing w:after="120"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b/>
                <w:bCs/>
                <w:rFonts w:ascii="Arial" w:hAnsi="Arial" w:cs="Arial" w:eastAsia="Arial"/>
                <w:sz w:val="20"/>
                <w:szCs w:val="20"/>
              </w:rPr>
              <w:t>Q6: A organização implementou medidas técnicas e administrativas a fim de assegurar a segurança da informação e privacidade?</w:t>
            </w:r>
          </w:p>
          <w:p ns2:paraId="4ED18313" ns2:textId="42BA0AFF">
            <w:pPr>
              <w:pStyle w:val="1012"/>
              <w:numPr>
                <w:ilvl w:val="0"/>
                <w:numId w:val="4"/>
              </w:num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A organização implementou processo formal de registro, cancelamento e provisionamento de usuários?</w:t>
            </w:r>
          </w:p>
          <w:p ns2:paraId="4ED18313" ns2:textId="42BA0AFF">
            <w:pPr>
              <w:pStyle w:val="1012"/>
              <w:numPr>
                <w:ilvl w:val="0"/>
                <w:numId w:val="4"/>
              </w:num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A organização utiliza criptografia de ponta a ponta (dados em trânsito)?</w:t>
            </w:r>
          </w:p>
          <w:p ns2:paraId="4ED18313" ns2:textId="42BA0AFF">
            <w:pPr>
              <w:pStyle w:val="1012"/>
              <w:numPr>
                <w:ilvl w:val="0"/>
                <w:numId w:val="4"/>
              </w:num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A organização utiliza firewall de aplicação ou de rede e mecanismos de proteção do correio eletrônico contra spam, conteúdo malicioso e códigos maliciosos?</w:t>
            </w:r>
          </w:p>
          <w:p ns2:paraId="4ED18313" ns2:textId="42BA0AFF">
            <w:pPr>
              <w:pStyle w:val="1012"/>
              <w:numPr>
                <w:ilvl w:val="0"/>
                <w:numId w:val="4"/>
              </w:num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A organização elaborou e mantém atualizado Plano de Resposta a Incidentes de Segurança?</w:t>
            </w:r>
          </w:p>
          <w:p ns2:paraId="4ED18313" ns2:textId="42BA0AFF">
            <w:pPr>
              <w:pStyle w:val="1012"/>
              <w:numPr>
                <w:ilvl w:val="0"/>
                <w:numId w:val="4"/>
              </w:num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A organização estabeleceu procedimentos para comunicar à ANPD e aos titulares os incidentes de violação de dados pessoais?</w:t>
            </w:r>
          </w:p>
          <w:p ns2:paraId="4ED18313" ns2:textId="42BA0AFF">
            <w:pPr>
              <w:pStyle w:val="1012"/>
              <w:numPr>
                <w:ilvl w:val="0"/>
                <w:numId w:val="4"/>
              </w:num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A organização adequou seus instrumentos contratuais com operadores de TI e provedores de computação em nuvem, prevendo salvaguardas de sigilo e responsabilidades pela proteção de dados?</w:t>
            </w:r>
          </w:p>
        </w:tc>
      </w:tr>
      <w:tr>
        <w:trPr>
          <w:tblHeader/>
        </w:trPr>
        <w:tc>
          <w:tcPr>
            <w:gridSpan w:val="6"/>
            <w:shd w:val="clear" w:color="auto" w:fill="bdd6ee" w:themeFill="accent5" w:themeFillTint="66"/>
            <w:tcBorders/>
            <w:tcW w:w="5000" w:type="pct"/>
          </w:tcPr>
          <w:p ns2:paraId="63566D7E" ns2:textId="69F154AC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R6.1: Devido à falta de controle formal de acessos e ausência de logs de auditoria, acessos indevidos passarão despercebidos, o que poderá levar ao vazamento e alteração ilícita de dados de cidadãos, impactando a confidencialidade e a integridade da administração pública.</w:t>
            </w:r>
          </w:p>
          <w:p ns2:paraId="63566D7E" ns2:textId="69F154AC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R6.2: Devido à inexistência de Plano de Resposta a Incidentes e fluxo de comunicação formal, violações de segurança não serão contidas tempestivamente, o que poderá levar à ampliação dos danos causados aos titulares e a severas penalidades administrativas, impactando a continuidade dos serviços públicos.</w:t>
            </w:r>
          </w:p>
          <w:p ns2:paraId="63566D7E" ns2:textId="69F154AC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R6.3: Devido à ausência de cláusulas de proteção de dados em contratos com operadores terceirizados de TI e provedores de computação em nuvem, o ente público perderá o controle sobre seus ativos informacionais, o que poderá levar ao uso indevido de dados por terceiros, impactando a governança contratual.</w:t>
            </w:r>
          </w:p>
        </w:tc>
      </w:tr>
    </w:tbl>
    <w:tbl>
      <w:tblPr>
        <w:tblStyle w:val="1011"/>
        <w:tblW w:w="5000" w:type="pct"/>
        <w:tblBorders/>
        <w:tblLook w:val="04A0" w:firstRow="1" w:lastRow="0" w:firstColumn="1" w:lastColumn="0" w:noHBand="0" w:noVBand="1"/>
      </w:tblPr>
      <w:tblGrid>
        <w:gridCol w:w="2258"/>
        <w:gridCol w:w="3170"/>
        <w:gridCol w:w="3622"/>
        <w:gridCol w:w="4530"/>
        <w:gridCol w:w="4078"/>
        <w:gridCol w:w="4700"/>
      </w:tblGrid>
      <w:tr>
        <w:trPr>
          <w:tblHeader/>
        </w:trPr>
        <w:tc>
          <w:tcPr>
            <w:tcBorders/>
            <w:tcW w:w="2259" w:type="dxa"/>
            <w:vAlign w:val="center"/>
          </w:tcPr>
          <w:p ns2:paraId="5C2D7232" ns2:textId="280A56F4">
            <w:pPr>
              <w:pBdr/>
              <w:spacing w:after="0" w:before="40"/>
              <w:ind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FONTES DE INFORMAÇÃO</w:t>
            </w:r>
          </w:p>
        </w:tc>
        <w:tc>
          <w:tcPr>
            <w:tcBorders/>
            <w:tcW w:w="3172" w:type="dxa"/>
            <w:vAlign w:val="center"/>
          </w:tcPr>
          <w:p ns2:paraId="7208CA25" ns2:textId="5376F66C">
            <w:pPr>
              <w:pBdr/>
              <w:spacing w:after="0" w:before="40"/>
              <w:ind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INFORMAÇÕES REQUERIDAS</w:t>
            </w:r>
          </w:p>
        </w:tc>
        <w:tc>
          <w:tcPr>
            <w:tcBorders/>
            <w:tcW w:w="5471" w:type="dxa"/>
            <w:vAlign w:val="center"/>
          </w:tcPr>
          <w:p ns2:paraId="563FD7FD" ns2:textId="77777777">
            <w:pPr>
              <w:pBdr/>
              <w:spacing w:after="0" w:before="40"/>
              <w:ind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CRITÉRIOS</w:t>
            </w:r>
          </w:p>
        </w:tc>
        <w:tc>
          <w:tcPr>
            <w:tcBorders/>
            <w:tcW w:w="2684" w:type="dxa"/>
            <w:vAlign w:val="center"/>
          </w:tcPr>
          <w:p ns2:paraId="6A4DEA23" ns2:textId="77777777">
            <w:pPr>
              <w:pBdr/>
              <w:spacing w:after="0" w:before="40"/>
              <w:ind/>
              <w:jc w:val="center"/>
              <w:rPr>
                <w:rFonts w:ascii="Arial" w:hAnsi="Arial" w:cs="Arial"/>
                <w:b/>
                <w:bCs/>
                <w:strike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PROCEDIMENTO DE AUDITORIA</w:t>
            </w:r>
          </w:p>
        </w:tc>
        <w:tc>
          <w:tcPr>
            <w:tcBorders/>
            <w:tcW w:w="4080" w:type="dxa"/>
            <w:vAlign w:val="center"/>
          </w:tcPr>
          <w:p ns2:paraId="4A1C29C4" ns2:textId="77777777">
            <w:pPr>
              <w:pBdr/>
              <w:spacing w:after="0" w:before="40"/>
              <w:ind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POSSÍVEIS EVIDÊNCIAS</w:t>
            </w:r>
          </w:p>
        </w:tc>
        <w:tc>
          <w:tcPr>
            <w:tcBorders/>
            <w:tcW w:w="4702" w:type="dxa"/>
            <w:vAlign w:val="center"/>
          </w:tcPr>
          <w:p ns2:paraId="357B1101" ns2:textId="77777777">
            <w:pPr>
              <w:pBdr/>
              <w:spacing w:after="0" w:before="40"/>
              <w:ind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POSSÍVEIS ACHADOS</w:t>
            </w:r>
          </w:p>
        </w:tc>
      </w:tr>
      <w:tr>
        <w:trPr/>
        <w:tc>
          <w:tcPr>
            <w:tcBorders/>
            <w:tcW w:w="2259" w:type="dxa"/>
            <w:vAlign w:val="center"/>
          </w:tcPr>
          <w:p ns2:paraId="07477FA7" ns2:textId="4BBAC042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F1: Gestores municipais responsáveis pela tecnologia da informação, segurança da informação, privacidade e gestão contratual.</w:t>
            </w:r>
          </w:p>
          <w:p ns2:paraId="07477FA7" ns2:textId="4BBAC042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F2: Unidades administrativas das prefeituras responsáveis pela elaboração e custódia do Plano de Resposta a Incidentes e dos contratos de serviços de tecnologia.</w:t>
            </w:r>
          </w:p>
        </w:tc>
        <w:tc>
          <w:tcPr>
            <w:tcBorders/>
            <w:tcW w:w="3172" w:type="dxa"/>
            <w:vAlign w:val="center"/>
          </w:tcPr>
          <w:p ns2:paraId="1DD0E491" ns2:textId="77777777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IR1: Resposta sobre processo formal de concessão de acessos, logs, uso de criptografia, firewall de aplicação ou de rede e proteção do correio eletrônico; [F1, Q101[SQ002], Q101[SQ003], Q101[SQ004], Q101[SQ005], Q101[SQ010], Q101[SQ011]]</w:t>
            </w:r>
          </w:p>
          <w:p ns2:paraId="1DD0E491" ns2:textId="77777777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IR2: Resposta e documento do Plano de Resposta a Incidentes de Segurança com dados pessoais; [F1, F2, Q91[SQ001], Q911evi]</w:t>
            </w:r>
          </w:p>
          <w:p ns2:paraId="1DD0E491" ns2:textId="77777777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IR3: Resposta sobre procedimento de notificação de incidentes à ANPD e aos titulares; [F1, Q91[SQ005]]</w:t>
            </w:r>
          </w:p>
          <w:p ns2:paraId="1DD0E491" ns2:textId="77777777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IR4: Resposta e instrumentos contratuais sobre a adequação dos ajustes com operadores de TI e provedores de nuvem; [F1, F2, Q31[SQ005], Q312evi, Q812[SQ001], Q812[SQ004], Q8121evi]</w:t>
            </w:r>
          </w:p>
        </w:tc>
        <w:tc>
          <w:tcPr>
            <w:tcBorders/>
            <w:tcW w:w="5471" w:type="dxa"/>
            <w:vAlign w:val="center"/>
          </w:tcPr>
          <w:p ns2:paraId="2667BB09" ns2:textId="2C1623C1">
            <w:pPr>
              <w:pStyle w:val="1010"/>
              <w:pBdr/>
              <w:spacing w:after="12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C1: Lei Federal nº 13.709/2018 (LGPD), art. 46 — Adoção de medidas de segurança, técnicas e administrativas aptas a proteger os dados pessoais de acessos não autorizados e de situações acidentais ou ilícitas.</w:t>
            </w:r>
          </w:p>
          <w:p ns2:paraId="2667BB09" ns2:textId="2C1623C1">
            <w:pPr>
              <w:pStyle w:val="1010"/>
              <w:pBdr/>
              <w:spacing w:after="12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C2: Lei Federal nº 13.709/2018 (LGPD), art. 48 — Comunicação obrigatória à ANPD e aos titulares sobre a ocorrência de incidentes de segurança que possam acarretar risco ou dano relevante.</w:t>
            </w:r>
          </w:p>
          <w:p ns2:paraId="2667BB09" ns2:textId="2C1623C1">
            <w:pPr>
              <w:pStyle w:val="1010"/>
              <w:pBdr/>
              <w:spacing w:after="12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C3: Resolução CD/ANPD nº 15/2024, arts. 3º a 7º — Regulamento de Comunicação de Incidentes de Segurança, disciplinando prazos regulamentares (3 dias úteis), requisitos e obrigações do controlador na notificação à ANPD e aos titulares afetados.</w:t>
            </w:r>
          </w:p>
          <w:p ns2:paraId="2667BB09" ns2:textId="2C1623C1">
            <w:pPr>
              <w:pStyle w:val="1010"/>
              <w:pBdr/>
              <w:spacing w:after="12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C4: Lei Federal nº 13.709/2018 (LGPD), art. 50, § 2º, I, "g" — Plano de resposta a incidentes e remediação como componente obrigatório do programa de governança em privacidade.</w:t>
            </w:r>
          </w:p>
          <w:p ns2:paraId="2667BB09" ns2:textId="2C1623C1">
            <w:pPr>
              <w:pStyle w:val="1010"/>
              <w:pBdr/>
              <w:spacing w:after="12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C5: Lei Federal nº 13.709/2018 (LGPD), arts. 39 e 42 — Responsabilidades legais do operador e dever de observância às instruções e salvaguardas contratuais pactuadas com o controlador.</w:t>
            </w:r>
          </w:p>
          <w:p ns2:paraId="2667BB09" ns2:textId="2C1623C1">
            <w:pPr>
              <w:pStyle w:val="1010"/>
              <w:pBdr/>
              <w:spacing w:after="12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C6: Guia do Framework de Privacidade e Segurança da Informação — PPSI 2.0, medidas 6.1, 6.2, 8.1 e 8.2 — Orienta estabelecer processos de concessão e revogação de acessos e processo de gestão de logs que abranja coleta, revisão, armazenamento e habilitação dos registros nos ativos e nas soluções de software aplicáveis.</w:t>
            </w:r>
          </w:p>
          <w:p ns2:paraId="2667BB09" ns2:textId="2C1623C1">
            <w:pPr>
              <w:pStyle w:val="1010"/>
              <w:pBdr/>
              <w:spacing w:after="12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C7: Guia do Framework de Privacidade e Segurança da Informação — PPSI 2.0, medidas 17.4 e 20.1 — Orienta manter processo documentado de gestão de incidentes de segurança e de incidentes com dados pessoais, com funções, responsabilidades, fluxo de tratamento, registro de evidências, plano de resposta e comunicação à ANPD e aos titulares quando cabível.</w:t>
            </w:r>
          </w:p>
          <w:p ns2:paraId="2667BB09" ns2:textId="2C1623C1">
            <w:pPr>
              <w:pStyle w:val="1010"/>
              <w:pBdr/>
              <w:spacing w:after="12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C8: Acórdão nº 3931/2025 do Plenário do TCE-RJ (Processo TCE-RJ nº 217.899-0/2024), Voto do Relator, item 1.10 — Determinação aos jurisdicionados para instituir formalmente e manter atualizado Plano de Resposta a Incidentes, conforme disposto no art. 48 e art. 50, § 2º, I, "g", da LGPD.</w:t>
            </w:r>
          </w:p>
          <w:p ns2:paraId="2667BB09" ns2:textId="2C1623C1">
            <w:pPr>
              <w:pStyle w:val="1010"/>
              <w:pBdr/>
              <w:spacing w:after="12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C9: Acórdão nº 3931/2025 do Plenário do TCE-RJ (Processo TCE-RJ nº 217.899-0/2024), Voto do Relator, item 1.11 — Determinação aos jurisdicionados para estabelecer procedimento alinhado ao Plano de Resposta a Incidentes para comunicar violações de dados à ANPD e aos titulares, em atendimento ao art. 48 da LGPD e à Resolução CD/ANPD nº 15/2024.</w:t>
            </w:r>
          </w:p>
          <w:p ns2:paraId="2667BB09" ns2:textId="2C1623C1">
            <w:pPr>
              <w:pStyle w:val="1010"/>
              <w:pBdr/>
              <w:spacing w:after="12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C10: Acórdão nº 3931/2025 do Plenário do TCE-RJ (Processo TCE-RJ nº 217.899-0/2024), Voto do Relator, item 1.15 — Recomendação aos jurisdicionados para adoção de processo formal de registro e cancelamento de usuários, criptografia TLS/HTTPS ou de ponta a ponta, firewall de aplicação ou de rede e proteção do correio eletrônico por antispam, filtros de conteúdo e antimalware.</w:t>
            </w:r>
          </w:p>
          <w:p ns2:paraId="2667BB09" ns2:textId="2C1623C1">
            <w:pPr>
              <w:pStyle w:val="1010"/>
              <w:pBdr/>
              <w:spacing w:after="12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C11: Guia do Framework de Privacidade e Segurança da Informação — PPSI 2.0, medidas 15.4, 22.1 e 22.4 — Orienta incluir, nos contratos com provedores e agentes de tratamento, requisitos de segurança, papéis, responsabilidades e salvaguardas de proteção de dados, bem como revisar e adaptar os instrumentos vigentes.</w:t>
            </w:r>
          </w:p>
          <w:p ns2:paraId="2667BB09" ns2:textId="2C1623C1">
            <w:pPr>
              <w:pStyle w:val="1010"/>
              <w:pBdr/>
              <w:spacing w:after="12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C12: ABNT NBR ISO/IEC 27002:2022, controle 5.15, controle 5.16, controle 5.18, controles 5.24 a 5.27, controle 8.15 e controle 8.24 — Orienta a implementação do controle de acesso, da gestão de identidades e direitos de acesso, do registro de eventos, do uso de criptografia e da gestão de incidentes de segurança da informação.</w:t>
            </w:r>
          </w:p>
        </w:tc>
        <w:tc>
          <w:tcPr>
            <w:tcBorders/>
            <w:tcW w:w="2684" w:type="dxa"/>
            <w:vAlign w:val="center"/>
          </w:tcPr>
          <w:p ns2:paraId="4C6E5B2E" ns2:textId="42100C78">
            <w:pPr>
              <w:pStyle w:val="1010"/>
              <w:pBdr/>
              <w:spacing w:after="120"/>
              <w:ind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P1: Verificar nas respostas aos itens Q101[SQ002] a Q101[SQ005], Q101[SQ010] e Q101[SQ011] se a organização declarou possuir processo formal de concessão de acessos, logs de sistemas, uso de criptografia, firewall de aplicação ou de rede e proteção do correio eletrônico; [IR1]</w:t>
            </w:r>
          </w:p>
          <w:p ns2:paraId="4C6E5B2E" ns2:textId="42100C78">
            <w:pPr>
              <w:pStyle w:val="1010"/>
              <w:pBdr/>
              <w:spacing w:after="120"/>
              <w:ind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P2: Verificar na resposta ao item Q91[SQ001] se a organização declarou ter formalizado Plano de Resposta a Incidentes de Segurança com violação de dados pessoais; [IR2]</w:t>
            </w:r>
          </w:p>
          <w:p ns2:paraId="4C6E5B2E" ns2:textId="42100C78">
            <w:pPr>
              <w:pStyle w:val="1010"/>
              <w:pBdr/>
              <w:spacing w:after="120"/>
              <w:ind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P2.1: Examinar o documento submetido no item Q911evi para avaliar aprovação, vigência, papéis e responsabilidades, critérios de gravidade, fluxos de detecção, contenção, comunicação e recuperação e periodicidade de revisão e testes; [IR2]</w:t>
            </w:r>
          </w:p>
          <w:p ns2:paraId="4C6E5B2E" ns2:textId="42100C78">
            <w:pPr>
              <w:pStyle w:val="1010"/>
              <w:pBdr/>
              <w:spacing w:after="120"/>
              <w:ind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P3: Verificar na resposta ao item Q91[SQ005] se a organização declarou possuir procedimentos padronizados para notificar a ANPD e os titulares em caso de incidentes relevantes; [IR3]</w:t>
            </w:r>
          </w:p>
          <w:p ns2:paraId="4C6E5B2E" ns2:textId="42100C78">
            <w:pPr>
              <w:pStyle w:val="1010"/>
              <w:pBdr/>
              <w:spacing w:after="120"/>
              <w:ind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P4: Verificar nas respostas aos itens Q31[SQ005], Q812[SQ001] e Q812[SQ004] se a organização declarou ter adequado os contratos firmados com operadores de TI e provedores de computação em nuvem; [IR4]</w:t>
            </w:r>
          </w:p>
          <w:p ns2:paraId="4C6E5B2E" ns2:textId="42100C78">
            <w:pPr>
              <w:pStyle w:val="1010"/>
              <w:pBdr/>
              <w:spacing w:after="120"/>
              <w:ind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P4.1: Examinar os instrumentos contratuais submetidos nos itens Q312evi e Q8121evi para avaliar a existência de cláusulas sobre objeto e finalidade do tratamento, instruções do controlador, confidencialidade, medidas de segurança, subcontratação, comunicação de incidentes, devolução ou eliminação dos dados e responsabilidades das partes; [IR4]</w:t>
            </w:r>
          </w:p>
        </w:tc>
        <w:tc>
          <w:tcPr>
            <w:tcBorders/>
            <w:tcW w:w="4080" w:type="dxa"/>
            <w:vAlign w:val="center"/>
          </w:tcPr>
          <w:p ns2:paraId="1E80855F" ns2:textId="1D853748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E1: Registro das respostas aos itens Q101[SQ002] a Q101[SQ005], Q101[SQ010] e Q101[SQ011] sobre controle de acessos, logs de sistemas, uso de criptografia, firewall de aplicação ou de rede e proteção do correio eletrônico; [P1]</w:t>
            </w:r>
          </w:p>
          <w:p ns2:paraId="1E80855F" ns2:textId="1D853748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E2: Registro da resposta ao item Q91[SQ001] sobre a formalização do Plano de Resposta a Incidentes; [P2]</w:t>
            </w:r>
          </w:p>
          <w:p ns2:paraId="1E80855F" ns2:textId="1D853748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E2.1: Resultado da análise do plano Q911evi, com registro de aprovação, vigência, conteúdo mínimo e eventuais inconsistências com a declaração; [P2.1]</w:t>
            </w:r>
          </w:p>
          <w:p ns2:paraId="1E80855F" ns2:textId="1D853748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E3: Registro da resposta ao item Q91[SQ005] sobre procedimento de notificação de incidentes à ANPD e aos titulares; [P3]</w:t>
            </w:r>
          </w:p>
          <w:p ns2:paraId="1E80855F" ns2:textId="1D853748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E4: Registro das respostas aos itens Q31[SQ005], Q812[SQ001] e Q812[SQ004] sobre a adequação dos contratos com operadores e provedores de nuvem; [P4]</w:t>
            </w:r>
          </w:p>
          <w:p ns2:paraId="1E80855F" ns2:textId="1D853748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E4.1: Resultado da análise dos instrumentos contratuais Q312evi e Q8121evi, com registro das cláusulas de proteção de dados existentes, ausentes ou insuficientes e de eventuais inconsistências com a declaração; [P4.1]</w:t>
            </w:r>
          </w:p>
        </w:tc>
        <w:tc>
          <w:tcPr>
            <w:tcBorders/>
            <w:tcW w:w="4702" w:type="dxa"/>
            <w:vAlign w:val="center"/>
          </w:tcPr>
          <w:p ns2:paraId="11118515" ns2:textId="02403B9E">
            <w:pPr>
              <w:pBdr/>
              <w:spacing w:after="80"/>
              <w:ind w:firstLine="0" w:left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Vulnerabilidade nos controles de segurança da informação, ausência de plano de resposta a incidentes e desproteção em contratos com operadores e compartilhamentos de dados.</w:t>
            </w:r>
          </w:p>
          <w:p ns2:paraId="11118515" ns2:textId="02403B9E">
            <w:pPr>
              <w:pBdr/>
              <w:spacing w:after="60"/>
              <w:ind w:firstLine="0" w:left="24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• Deficiência nos controles formais de acesso e inexistência de rastreabilidade (logs) em sistemas municipais. [R6.1, P1, E1, C1, C6, C10, C12];</w:t>
            </w:r>
          </w:p>
          <w:p ns2:paraId="11118515" ns2:textId="02403B9E">
            <w:pPr>
              <w:pBdr/>
              <w:spacing w:after="60"/>
              <w:ind w:firstLine="0" w:left="24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• Inexistência de Plano de Resposta a Incidentes de Segurança da Informação envolvendo dados pessoais. [R6.2, P2, P2.1, E2, E2.1, C1, C4, C7, C8, C12];</w:t>
            </w:r>
          </w:p>
          <w:p ns2:paraId="11118515" ns2:textId="02403B9E">
            <w:pPr>
              <w:pBdr/>
              <w:spacing w:after="60"/>
              <w:ind w:firstLine="0" w:left="24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• Ausência de procedimento padronizado para comunicação tempestiva de incidentes de segurança à ANPD e aos titulares. [R6.2, P3, E3, C2, C3, C7, C9];</w:t>
            </w:r>
          </w:p>
          <w:p ns2:paraId="11118515" ns2:textId="02403B9E">
            <w:pPr>
              <w:pBdr/>
              <w:spacing w:after="60"/>
              <w:ind w:firstLine="0" w:left="24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• Inexistência de cláusulas de proteção de dados e salvaguardas nos contratos firmados com operadores de TI e provedores de nuvem. [R6.3, P4, P4.1, E4, E4.1, C5, C11];</w:t>
            </w:r>
          </w:p>
        </w:tc>
      </w:tr>
    </w:tbl>
    <w:p>
      <w:r>
        <w:br w:type="page"/>
      </w:r>
    </w:p>
    <w:tbl>
      <w:tblPr>
        <w:tblStyle w:val="1011"/>
        <w:tblW w:w="5000" w:type="pct"/>
        <w:tblBorders/>
        <w:tblLook w:val="04A0" w:firstRow="1" w:lastRow="0" w:firstColumn="1" w:lastColumn="0" w:noHBand="0" w:noVBand="1"/>
      </w:tblPr>
      <w:tblGrid>
        <w:gridCol w:w="2258"/>
        <w:gridCol w:w="3170"/>
        <w:gridCol w:w="3622"/>
        <w:gridCol w:w="4530"/>
        <w:gridCol w:w="4078"/>
        <w:gridCol w:w="4700"/>
      </w:tblGrid>
      <w:tr>
        <w:trPr>
          <w:tblHeader/>
        </w:trPr>
        <w:tc>
          <w:tcPr>
            <w:gridSpan w:val="6"/>
            <w:tcBorders/>
            <w:tcW w:w="5000" w:type="pct"/>
          </w:tcPr>
          <w:p ns2:paraId="7D29FCBB" ns2:textId="4EC62946">
            <w:pPr>
              <w:pBdr/>
              <w:spacing w:after="120"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b/>
                <w:bCs/>
                <w:rFonts w:ascii="Arial" w:hAnsi="Arial" w:cs="Arial" w:eastAsia="Arial"/>
                <w:sz w:val="20"/>
                <w:szCs w:val="20"/>
              </w:rPr>
              <w:t>QT1: Qual é o grau de cumprimento, pelas prefeituras municipais, das decisões proferidas pelo TCE-RJ no Processo nº 217.899-0/2024 (Acórdão nº 3931/2025), e quais causas, dificuldades e impedimentos foram declarados para o não cumprimento dos respectivos encaminhamentos? (levantamento)</w:t>
            </w:r>
          </w:p>
          <w:p ns2:paraId="4ED18313" ns2:textId="42BA0AFF">
            <w:pPr>
              <w:pStyle w:val="1012"/>
              <w:numPr>
                <w:ilvl w:val="0"/>
                <w:numId w:val="4"/>
              </w:num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Os municípios implementaram as determinações e recomendações dos itens 1.1 a 1.15 do Voto condutor do Acórdão nº 3931/2025?</w:t>
            </w:r>
          </w:p>
          <w:p ns2:paraId="4ED18313" ns2:textId="42BA0AFF">
            <w:pPr>
              <w:pStyle w:val="1012"/>
              <w:numPr>
                <w:ilvl w:val="0"/>
                <w:numId w:val="4"/>
              </w:num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Quais prefeituras reincidiram na ausência dos controles objeto dos 12 encaminhamentos individualizados em 2024, conforme o baseline aplicável a cada município?</w:t>
            </w:r>
          </w:p>
          <w:p ns2:paraId="4ED18313" ns2:textId="42BA0AFF">
            <w:pPr>
              <w:pStyle w:val="1012"/>
              <w:numPr>
                <w:ilvl w:val="0"/>
                <w:numId w:val="4"/>
              </w:num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Quais causas, dificuldades e impedimentos foram declarados pelos municípios que não implementaram integralmente cada encaminhamento?</w:t>
            </w:r>
          </w:p>
          <w:p ns2:paraId="4ED18313" ns2:textId="42BA0AFF">
            <w:pPr>
              <w:pStyle w:val="1012"/>
              <w:numPr>
                <w:ilvl w:val="0"/>
                <w:numId w:val="4"/>
              </w:num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Quais dificuldades foram declaradas pelos municípios que implementaram cada encaminhamento e como elas foram superadas?</w:t>
            </w:r>
          </w:p>
          <w:p ns2:paraId="4ED18313" ns2:textId="42BA0AFF">
            <w:pPr>
              <w:pStyle w:val="1012"/>
              <w:numPr>
                <w:ilvl w:val="0"/>
                <w:numId w:val="4"/>
              </w:num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Como se distribuem o cumprimento, o não cumprimento e as causas declaradas por item do Acórdão, município e categoria analítica?</w:t>
            </w:r>
          </w:p>
        </w:tc>
      </w:tr>
    </w:tbl>
    <w:tbl>
      <w:tblPr>
        <w:tblStyle w:val="1011"/>
        <w:tblW w:w="5000" w:type="pct"/>
        <w:tblBorders/>
        <w:tblLook w:val="04A0" w:firstRow="1" w:lastRow="0" w:firstColumn="1" w:lastColumn="0" w:noHBand="0" w:noVBand="1"/>
      </w:tblPr>
      <w:tblGrid>
        <w:gridCol w:w="2991"/>
        <w:gridCol w:w="4199"/>
        <w:gridCol w:w="3553"/>
        <w:gridCol w:w="5401"/>
        <w:gridCol w:w="6224"/>
      </w:tblGrid>
      <w:tr>
        <w:trPr>
          <w:tblHeader/>
        </w:trPr>
        <w:tc>
          <w:tcPr>
            <w:tcBorders/>
            <w:tcW w:w="2991" w:type="dxa"/>
            <w:vAlign w:val="center"/>
          </w:tcPr>
          <w:p ns2:paraId="5C2D7232" ns2:textId="280A56F4">
            <w:pPr>
              <w:pBdr/>
              <w:spacing w:after="0" w:before="40"/>
              <w:ind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FONTES DE INFORMAÇÃO</w:t>
            </w:r>
          </w:p>
        </w:tc>
        <w:tc>
          <w:tcPr>
            <w:tcBorders/>
            <w:tcW w:w="4199" w:type="dxa"/>
            <w:vAlign w:val="center"/>
          </w:tcPr>
          <w:p ns2:paraId="7208CA25" ns2:textId="5376F66C">
            <w:pPr>
              <w:pBdr/>
              <w:spacing w:after="0" w:before="40"/>
              <w:ind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INFORMAÇÕES REQUERIDAS</w:t>
            </w:r>
          </w:p>
        </w:tc>
        <w:tc>
          <w:tcPr>
            <w:tcBorders/>
            <w:tcW w:w="3553" w:type="dxa"/>
            <w:vAlign w:val="center"/>
          </w:tcPr>
          <w:p ns2:paraId="6A4DEA23" ns2:textId="77777777">
            <w:pPr>
              <w:pBdr/>
              <w:spacing w:after="0" w:before="40"/>
              <w:ind/>
              <w:jc w:val="center"/>
              <w:rPr>
                <w:rFonts w:ascii="Arial" w:hAnsi="Arial" w:cs="Arial"/>
                <w:b/>
                <w:bCs/>
                <w:strike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PROCEDIMENTO DE AUDITORIA</w:t>
            </w:r>
          </w:p>
        </w:tc>
        <w:tc>
          <w:tcPr>
            <w:tcBorders/>
            <w:tcW w:w="5401" w:type="dxa"/>
            <w:vAlign w:val="center"/>
          </w:tcPr>
          <w:p ns2:paraId="4A1C29C4" ns2:textId="77777777">
            <w:pPr>
              <w:pBdr/>
              <w:spacing w:after="0" w:before="40"/>
              <w:ind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POSSÍVEIS EVIDÊNCIAS</w:t>
            </w:r>
          </w:p>
        </w:tc>
        <w:tc>
          <w:tcPr>
            <w:tcBorders/>
            <w:tcW w:w="6224" w:type="dxa"/>
            <w:vAlign w:val="center"/>
          </w:tcPr>
          <w:p ns2:paraId="357B1101" ns2:textId="77777777">
            <w:pPr>
              <w:pBdr/>
              <w:spacing w:after="0" w:before="40"/>
              <w:ind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ANÁLISE / RESULTADOS</w:t>
            </w:r>
          </w:p>
        </w:tc>
      </w:tr>
      <w:tr>
        <w:trPr/>
        <w:tc>
          <w:tcPr>
            <w:tcBorders/>
            <w:tcW w:w="2991" w:type="dxa"/>
            <w:vAlign w:val="center"/>
          </w:tcPr>
          <w:p ns2:paraId="07477FA7" ns2:textId="4BBAC042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F1: Gestores municipais responsáveis pelo preenchimento do questionário eletrônico de auditoria da LGPD 2026.</w:t>
            </w:r>
          </w:p>
          <w:p ns2:paraId="07477FA7" ns2:textId="4BBAC042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F2: Sistema de apoio à fiscalização do TCE-RJ, que consolida as situações encontradas e os encaminhamentos individualizados da fiscalização de 2024.</w:t>
            </w:r>
          </w:p>
          <w:p ns2:paraId="07477FA7" ns2:textId="4BBAC042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F3: Sistema oficial de processo eletrônico do TCE-RJ, no qual tramitam os autos do Processo nº 217.899-0/2024 e os planos de ação municipais.</w:t>
            </w:r>
          </w:p>
        </w:tc>
        <w:tc>
          <w:tcPr>
            <w:tcBorders/>
            <w:tcW w:w="4199" w:type="dxa"/>
            <w:vAlign w:val="center"/>
          </w:tcPr>
          <w:p ns2:paraId="1DD0E491" ns2:textId="77777777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IR1: Baseline por município dos 12 encaminhamentos individualizados em 2024 e identificação dos três encaminhamentos de aplicação universal, estabelecidos a partir da tabela_encaminhamentos.xlsx, da tabela_situacao_encontrada.xlsx e dos autos do processo; [F2, F3]</w:t>
            </w:r>
          </w:p>
          <w:p ns2:paraId="1DD0E491" ns2:textId="77777777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IR2: Respostas de 2026 que permitem classificar o cumprimento dos itens 1.1 a 1.15 do Acórdão: Plano de Ação; nomeação e divulgação do Encarregado; Inventário de Dados Pessoais; elaboração e publicação da PSI e da PPDP; RIPD; política de privacidade; plano e ações de capacitação; Plano de Resposta a Incidentes; procedimento de notificação; comissão ou grupo de trabalho; Política de Classificação da Informação; e medidas técnicas e administrativas de segurança; [F1, Q24, Q41[SQ004], Q41[SQ005], Q61[SQ005], Q41[SQ001], Q416, Q41[SQ003], Q417, Q71, Q72, Q61[SQ008], Q91[SQ001], Q91[SQ005], Q22, Q51, Q41[SQ002], Q101[SQ002], Q101[SQ005], Q101[SQ010], Q101[SQ011]]</w:t>
            </w:r>
          </w:p>
          <w:p ns2:paraId="1DD0E491" ns2:textId="77777777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IR3: Relatos textuais sobre as dificuldades encontradas e sua superação quando o encaminhamento foi implementado, e sobre causas, dificuldades e impedimentos quando não foi integralmente implementado; [F1, QAC11S, QAC11N, QAC12S, QAC12N, QAC13S, QAC13N, QAC14S, QAC14N, QAC15S, QAC15N, QAC16S, QAC16N, QAC17S, QAC17N, QAC18S, QAC18N, QAC19S, QAC19N, QAC110S, QAC110N, QAC111S, QAC111N, QAC112S, QAC112N, QAC113S, QAC113N, QAC114S, QAC114N, QAC115S, QAC115N]</w:t>
            </w:r>
          </w:p>
        </w:tc>
        <w:tc>
          <w:tcPr>
            <w:tcBorders/>
            <w:tcW w:w="3553" w:type="dxa"/>
            <w:vAlign w:val="center"/>
          </w:tcPr>
          <w:p ns2:paraId="4C6E5B2E" ns2:textId="42100C78">
            <w:pPr>
              <w:pStyle w:val="1010"/>
              <w:pBdr/>
              <w:spacing w:after="120"/>
              <w:ind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P1: Reconstruir e conferir o baseline municipal por meio da importação da tabela_encaminhamentos.xlsx e da tabela_situacao_encontrada.xlsx de 2024 e da consulta aos autos, distinguindo os 12 encaminhamentos individualizados — 946 ocorrências — dos três encaminhamentos de aplicação universal; [IR1]</w:t>
            </w:r>
          </w:p>
          <w:p ns2:paraId="4C6E5B2E" ns2:textId="42100C78">
            <w:pPr>
              <w:pStyle w:val="1010"/>
              <w:pBdr/>
              <w:spacing w:after="120"/>
              <w:ind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P2: Aplicar às respostas de 2026 regras baseadas nos códigos de resposta para classificar cada item como cumprimento integral ou não cumprimento integral; [IR1, IR2] Regras de cumprimento integral: item 1.1, Q24 == 'A1'; item 1.2, Q41[SQ004] == 'Y'; item 1.3, Q41[SQ005] == 'Y'; item 1.4, Q61[SQ005] == 'Y'; item 1.5, Q41[SQ001] == 'Y' e Q416 == 'A1'; item 1.6, Q41[SQ003] == 'Y' e Q417 == 'A1'; item 1.7, Q71 == 'A4'; item 1.8, Q72 == 'A4'; item 1.9, Q61[SQ008] == 'Y'; item 1.10, Q91[SQ001] == 'Y'; item 1.11, Q91[SQ005] == 'Y'; item 1.12, Q22 == 'A1'; item 1.13, Q51 in ['A5', 'A6']; item 1.14, Q41[SQ002] == 'Y'; e item 1.15, Q101[SQ002] == 'Y', Q101[SQ005] == 'Y', Q101[SQ010] == 'Y' e Q101[SQ011] == 'Y'. Classificar as demais combinações como não cumprimento integral. Para os 12 itens individualizados, considerar como monitoramento de decisão somente as combinações município-item presentes no baseline e tratar as demais respostas como informação diagnóstica. Para os itens 1.1, 1.12 e 1.15, avaliar todos os municípios.</w:t>
            </w:r>
          </w:p>
          <w:p ns2:paraId="4C6E5B2E" ns2:textId="42100C78">
            <w:pPr>
              <w:pStyle w:val="1010"/>
              <w:pBdr/>
              <w:spacing w:after="120"/>
              <w:ind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P3: Examinar separadamente os relatos associados ao cumprimento e ao não cumprimento de cada item e codificá-los, admitindo múltiplas categorias por resposta: governança ou priorização; pessoal ou capacidade técnica; orçamento; contratação ou gestão contratual; tecnologia ou infraestrutura; interpretação jurídica; coordenação interna ou mapeamento de processos; descontinuidade administrativa; dependência externa; outros; e justificativa ausente ou insuficiente; [IR3]</w:t>
            </w:r>
          </w:p>
          <w:p ns2:paraId="4C6E5B2E" ns2:textId="42100C78">
            <w:pPr>
              <w:pStyle w:val="1010"/>
              <w:pBdr/>
              <w:spacing w:after="120"/>
              <w:ind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P4: Consolidar, por município, item do Acórdão e categoria analítica, as quantidades e proporções de cumprimento, não cumprimento, causas, dificuldades, impedimentos e formas de superação, mantendo separados os 12 itens individualizados e os três itens universais; [IR1, IR2, IR3]</w:t>
            </w:r>
          </w:p>
        </w:tc>
        <w:tc>
          <w:tcPr>
            <w:tcBorders/>
            <w:tcW w:w="5401" w:type="dxa"/>
            <w:vAlign w:val="center"/>
          </w:tcPr>
          <w:p ns2:paraId="1E80855F" ns2:textId="1D853748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E1: Matriz do baseline de 2024 por município e item, com indicação da aplicabilidade individualizada ou universal; [P1]</w:t>
            </w:r>
          </w:p>
          <w:p ns2:paraId="1E80855F" ns2:textId="1D853748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E2: Matriz comparativa do status de cumprimento em 2026 por município e item do Acórdão, com distinção entre monitoramento de decisão e diagnóstico geral; [P2]</w:t>
            </w:r>
          </w:p>
          <w:p ns2:paraId="1E80855F" ns2:textId="1D853748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E3: Base de relatos codificados, com a resposta original preservada, as categorias atribuídas e a distinção entre dificuldades superadas e causas ou impedimentos do não cumprimento; [P3]</w:t>
            </w:r>
          </w:p>
          <w:p ns2:paraId="1E80855F" ns2:textId="1D853748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E4: Tabelas consolidadas de cumprimento, reincidência e categorias declaradas, por município e item do Acórdão; [P4]</w:t>
            </w:r>
          </w:p>
        </w:tc>
        <w:tc>
          <w:tcPr>
            <w:tcBorders/>
            <w:tcW w:w="6224" w:type="dxa"/>
            <w:vAlign w:val="center"/>
          </w:tcPr>
          <w:p ns2:paraId="11118515" ns2:textId="02403B9E">
            <w:pPr>
              <w:pBdr/>
              <w:spacing w:after="120"/>
              <w:ind w:firstLine="0" w:left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Não se aplica: questão de levantamento, sem geração de achado individual.</w:t>
            </w:r>
          </w:p>
          <w:p ns2:paraId="11118515" ns2:textId="02403B9E">
            <w:pPr>
              <w:pBdr/>
              <w:spacing w:after="120"/>
              <w:ind w:firstLine="0" w:left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O que a análise permite dizer:</w:t>
            </w:r>
          </w:p>
          <w:p ns2:paraId="11118515" ns2:textId="02403B9E">
            <w:pPr>
              <w:pBdr/>
              <w:spacing w:after="120"/>
              <w:ind w:firstLine="0" w:left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O percentual consolidado e individualizado de cumprimento dos itens aplicáveis do Acórdão nº 3931/2025 pelas 91 prefeituras fluminenses, distinguindo os 12 encaminhamentos individualizados dos três encaminhamentos universais.</w:t>
            </w:r>
          </w:p>
          <w:p ns2:paraId="11118515" ns2:textId="02403B9E">
            <w:pPr>
              <w:pBdr/>
              <w:spacing w:after="120"/>
              <w:ind w:firstLine="0" w:left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 identificação dos municípios que declararam não possuir controles que deveriam ter implementado em razão dos encaminhamentos individualizados de 2024.</w:t>
            </w:r>
          </w:p>
          <w:p ns2:paraId="11118515" ns2:textId="02403B9E">
            <w:pPr>
              <w:pBdr/>
              <w:spacing w:after="120"/>
              <w:ind w:firstLine="0" w:left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 distribuição dos casos de cumprimento, não cumprimento e reincidência por município e item monitorado.</w:t>
            </w:r>
          </w:p>
          <w:p ns2:paraId="11118515" ns2:textId="02403B9E">
            <w:pPr>
              <w:pBdr/>
              <w:spacing w:after="120"/>
              <w:ind w:firstLine="0" w:left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As causas, dificuldades e impedimentos declarados para o não cumprimento, bem como as dificuldades declaradas pelos municípios que cumpriram os encaminhamentos e as formas relatadas de superação.</w:t>
            </w:r>
          </w:p>
          <w:p ns2:paraId="11118515" ns2:textId="02403B9E">
            <w:pPr>
              <w:pBdr/>
              <w:spacing w:after="120"/>
              <w:ind w:firstLine="0" w:left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Limitações e cautelas:</w:t>
            </w:r>
          </w:p>
          <w:p ns2:paraId="11118515" ns2:textId="02403B9E">
            <w:pPr>
              <w:pBdr/>
              <w:spacing w:after="120"/>
              <w:ind w:firstLine="0" w:left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 classificação decorre de respostas autodeclaradas e da correspondência entre cada resposta e o encaminhamento aplicável ao município.</w:t>
            </w:r>
          </w:p>
          <w:p ns2:paraId="11118515" ns2:textId="02403B9E">
            <w:pPr>
              <w:pBdr/>
              <w:spacing w:after="120"/>
              <w:ind w:firstLine="0" w:left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Embora todos os municípios respondam aos itens, para os 12 encaminhamentos individualizados somente as combinações município-item existentes no baseline de 2024 caracterizam monitoramento da decisão; as demais respostas possuem finalidade diagnóstica.</w:t>
            </w:r>
          </w:p>
          <w:p ns2:paraId="11118515" ns2:textId="02403B9E">
            <w:pPr>
              <w:pBdr/>
              <w:spacing w:after="120"/>
              <w:ind w:firstLine="0" w:left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 categorização dos relatos textuais exige julgamento analítico, pode admitir múltiplas categorias e deve preservar a rastreabilidade até a resposta original.</w:t>
            </w:r>
          </w:p>
          <w:p ns2:paraId="11118515" ns2:textId="02403B9E">
            <w:pPr>
              <w:pBdr/>
              <w:spacing w:after="120"/>
              <w:ind w:firstLine="0" w:left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Os relatos permitem identificar causas e dificuldades declaradas e associações recorrentes, mas não comprovam, isoladamente, relações causais.</w:t>
            </w:r>
          </w:p>
          <w:p ns2:paraId="11118515" ns2:textId="02403B9E">
            <w:pPr>
              <w:pBdr/>
              <w:spacing w:after="120"/>
              <w:ind w:firstLine="0" w:left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 análise deste levantamento subsidia o processo de monitoramento sem substituir o julgamento plenário definitivo do cumprimento das deliberações.</w:t>
            </w:r>
          </w:p>
        </w:tc>
      </w:tr>
    </w:tbl>
    <w:p>
      <w:r>
        <w:br w:type="page"/>
      </w:r>
    </w:p>
    <w:tbl>
      <w:tblPr>
        <w:tblStyle w:val="1011"/>
        <w:tblW w:w="5000" w:type="pct"/>
        <w:tblBorders/>
        <w:tblLook w:val="04A0" w:firstRow="1" w:lastRow="0" w:firstColumn="1" w:lastColumn="0" w:noHBand="0" w:noVBand="1"/>
      </w:tblPr>
      <w:tblGrid>
        <w:gridCol w:w="2258"/>
        <w:gridCol w:w="3170"/>
        <w:gridCol w:w="3622"/>
        <w:gridCol w:w="4530"/>
        <w:gridCol w:w="4078"/>
        <w:gridCol w:w="4700"/>
      </w:tblGrid>
      <w:tr>
        <w:trPr>
          <w:tblHeader/>
        </w:trPr>
        <w:tc>
          <w:tcPr>
            <w:gridSpan w:val="6"/>
            <w:tcBorders/>
            <w:tcW w:w="5000" w:type="pct"/>
          </w:tcPr>
          <w:p ns2:paraId="7D29FCBB" ns2:textId="4EC62946">
            <w:pPr>
              <w:pBdr/>
              <w:spacing w:after="120"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b/>
                <w:bCs/>
                <w:rFonts w:ascii="Arial" w:hAnsi="Arial" w:cs="Arial" w:eastAsia="Arial"/>
                <w:sz w:val="20"/>
                <w:szCs w:val="20"/>
              </w:rPr>
              <w:t>QT2: Qual é o perfil de maturidade em proteção de dados pessoais das 91 prefeituras segundo o índice iLGPD 2026, qual a evolução observada desde 2024 e qual é a avaliação dos gestores sobre a efetividade do material didático "Os 6 passos para adequação à LGPD"? (levantamento)</w:t>
            </w:r>
          </w:p>
          <w:p ns2:paraId="4ED18313" ns2:textId="42BA0AFF">
            <w:pPr>
              <w:pStyle w:val="1012"/>
              <w:numPr>
                <w:ilvl w:val="0"/>
                <w:numId w:val="4"/>
              </w:num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Qual é o nível de maturidade (Inexpressivo, Iniciando, Intermediário ou Aprimorado) alcançado por cada município no iLGPD 2026?</w:t>
            </w:r>
          </w:p>
          <w:p ns2:paraId="4ED18313" ns2:textId="42BA0AFF">
            <w:pPr>
              <w:pStyle w:val="1012"/>
              <w:numPr>
                <w:ilvl w:val="0"/>
                <w:numId w:val="4"/>
              </w:num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Houve avanço, estagnação ou retrocesso das práticas municipais entre 2024 e 2026 nos indicadores comparáveis?</w:t>
            </w:r>
          </w:p>
          <w:p ns2:paraId="4ED18313" ns2:textId="42BA0AFF">
            <w:pPr>
              <w:pStyle w:val="1012"/>
              <w:numPr>
                <w:ilvl w:val="0"/>
                <w:numId w:val="4"/>
              </w:num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Em que medida os municípios contrataram consultorias ou soluções tecnológicas de terceiros para suporte à adequação à LGPD?</w:t>
            </w:r>
          </w:p>
          <w:p ns2:paraId="4ED18313" ns2:textId="42BA0AFF">
            <w:pPr>
              <w:pStyle w:val="1012"/>
              <w:numPr>
                <w:ilvl w:val="0"/>
                <w:numId w:val="4"/>
              </w:num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O material didático orientativo elaborado pela equipe de auditoria do TCE-RJ no ciclo anterior ("Os 6 passos para adequação à LGPD" - Anexo 07 do Relatório da Fiscalização nº 60/2024) foi conhecido e utilizado pelas equipes municipais?</w:t>
            </w:r>
          </w:p>
          <w:p ns2:paraId="4ED18313" ns2:textId="42BA0AFF">
            <w:pPr>
              <w:pStyle w:val="1012"/>
              <w:numPr>
                <w:ilvl w:val="0"/>
                <w:numId w:val="4"/>
              </w:num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Em que medida o guia "Os 6 passos para adequação à LGPD" contribuiu concretamente para nortear e impulsionar o processo de adequação das prefeituras, e quais passos apresentaram maior facilidade ou dificuldade de implementação prática?</w:t>
            </w:r>
          </w:p>
          <w:p ns2:paraId="4ED18313" ns2:textId="42BA0AFF">
            <w:pPr>
              <w:pStyle w:val="1012"/>
              <w:numPr>
                <w:ilvl w:val="0"/>
                <w:numId w:val="4"/>
              </w:num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Quais opiniões, críticas e sugestões de melhoria (ex.: novos modelos, guias temáticos específicos, minutas contratuais, aprofundamento técnico) foram apresentadas pelos gestores para aprimorar os materiais orientativos e elevar a efetividade da fiscalização corrente?</w:t>
            </w:r>
          </w:p>
          <w:p ns2:paraId="4ED18313" ns2:textId="42BA0AFF">
            <w:pPr>
              <w:pStyle w:val="1012"/>
              <w:numPr>
                <w:ilvl w:val="0"/>
                <w:numId w:val="4"/>
              </w:num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Quais são os principais desafios, deficiências estruturais e pontos de atenção relatados abertamente pelos jurisdicionados?</w:t>
            </w:r>
          </w:p>
        </w:tc>
      </w:tr>
    </w:tbl>
    <w:tbl>
      <w:tblPr>
        <w:tblStyle w:val="1011"/>
        <w:tblW w:w="5000" w:type="pct"/>
        <w:tblBorders/>
        <w:tblLook w:val="04A0" w:firstRow="1" w:lastRow="0" w:firstColumn="1" w:lastColumn="0" w:noHBand="0" w:noVBand="1"/>
      </w:tblPr>
      <w:tblGrid>
        <w:gridCol w:w="2991"/>
        <w:gridCol w:w="4199"/>
        <w:gridCol w:w="3553"/>
        <w:gridCol w:w="5401"/>
        <w:gridCol w:w="6224"/>
      </w:tblGrid>
      <w:tr>
        <w:trPr>
          <w:tblHeader/>
        </w:trPr>
        <w:tc>
          <w:tcPr>
            <w:tcBorders/>
            <w:tcW w:w="2991" w:type="dxa"/>
            <w:vAlign w:val="center"/>
          </w:tcPr>
          <w:p ns2:paraId="5C2D7232" ns2:textId="280A56F4">
            <w:pPr>
              <w:pBdr/>
              <w:spacing w:after="0" w:before="40"/>
              <w:ind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FONTES DE INFORMAÇÃO</w:t>
            </w:r>
          </w:p>
        </w:tc>
        <w:tc>
          <w:tcPr>
            <w:tcBorders/>
            <w:tcW w:w="4199" w:type="dxa"/>
            <w:vAlign w:val="center"/>
          </w:tcPr>
          <w:p ns2:paraId="7208CA25" ns2:textId="5376F66C">
            <w:pPr>
              <w:pBdr/>
              <w:spacing w:after="0" w:before="40"/>
              <w:ind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INFORMAÇÕES REQUERIDAS</w:t>
            </w:r>
          </w:p>
        </w:tc>
        <w:tc>
          <w:tcPr>
            <w:tcBorders/>
            <w:tcW w:w="3553" w:type="dxa"/>
            <w:vAlign w:val="center"/>
          </w:tcPr>
          <w:p ns2:paraId="6A4DEA23" ns2:textId="77777777">
            <w:pPr>
              <w:pBdr/>
              <w:spacing w:after="0" w:before="40"/>
              <w:ind/>
              <w:jc w:val="center"/>
              <w:rPr>
                <w:rFonts w:ascii="Arial" w:hAnsi="Arial" w:cs="Arial"/>
                <w:b/>
                <w:bCs/>
                <w:strike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PROCEDIMENTO DE AUDITORIA</w:t>
            </w:r>
          </w:p>
        </w:tc>
        <w:tc>
          <w:tcPr>
            <w:tcBorders/>
            <w:tcW w:w="5401" w:type="dxa"/>
            <w:vAlign w:val="center"/>
          </w:tcPr>
          <w:p ns2:paraId="4A1C29C4" ns2:textId="77777777">
            <w:pPr>
              <w:pBdr/>
              <w:spacing w:after="0" w:before="40"/>
              <w:ind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POSSÍVEIS EVIDÊNCIAS</w:t>
            </w:r>
          </w:p>
        </w:tc>
        <w:tc>
          <w:tcPr>
            <w:tcBorders/>
            <w:tcW w:w="6224" w:type="dxa"/>
            <w:vAlign w:val="center"/>
          </w:tcPr>
          <w:p ns2:paraId="357B1101" ns2:textId="77777777">
            <w:pPr>
              <w:pBdr/>
              <w:spacing w:after="0" w:before="40"/>
              <w:ind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ANÁLISE / RESULTADOS</w:t>
            </w:r>
          </w:p>
        </w:tc>
      </w:tr>
      <w:tr>
        <w:trPr/>
        <w:tc>
          <w:tcPr>
            <w:tcBorders/>
            <w:tcW w:w="2991" w:type="dxa"/>
            <w:vAlign w:val="center"/>
          </w:tcPr>
          <w:p ns2:paraId="07477FA7" ns2:textId="4BBAC042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F1: Sistema de questionários eletrônicos do TCE-RJ utilizado na fiscalização da LGPD de 2026.</w:t>
            </w:r>
          </w:p>
          <w:p ns2:paraId="07477FA7" ns2:textId="4BBAC042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F2: Sistema de apoio à fiscalização do TCE-RJ, que mantém a base histórica de respostas e pontuações da fiscalização temática de 2024.</w:t>
            </w:r>
          </w:p>
          <w:p ns2:paraId="07477FA7" ns2:textId="4BBAC042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F3: Gestores municipais responsáveis pelas informações sobre contratações, pela avaliação do guia "Os 6 passos" e pelas considerações abertas.</w:t>
            </w:r>
          </w:p>
          <w:p ns2:paraId="07477FA7" ns2:textId="4BBAC042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F4: Repositório institucional do TCE-RJ que mantém o guia "Os 6 passos para adequação à LGPD", Anexo 07 do Relatório da Fiscalização nº 60/2024.</w:t>
            </w:r>
          </w:p>
        </w:tc>
        <w:tc>
          <w:tcPr>
            <w:tcBorders/>
            <w:tcW w:w="4199" w:type="dxa"/>
            <w:vAlign w:val="center"/>
          </w:tcPr>
          <w:p ns2:paraId="1DD0E491" ns2:textId="77777777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IR1: Pontuações por dimensão temática e índice geral iLGPD 2026 calculadas para as 91 prefeituras; [F1]</w:t>
            </w:r>
          </w:p>
          <w:p ns2:paraId="1DD0E491" ns2:textId="77777777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IR2: Indicadores comparáveis e histórico de notas do questionário de 2024; [F2]</w:t>
            </w:r>
          </w:p>
          <w:p ns2:paraId="1DD0E491" ns2:textId="77777777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IR3: Informações prestadas sobre contratação de consultorias especializadas e soluções de software para LGPD; [F1, F3, Q111, Q112]</w:t>
            </w:r>
          </w:p>
          <w:p ns2:paraId="1DD0E491" ns2:textId="77777777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IR4: Respostas quantitativas e qualitativas sobre o conhecimento, grau de utilização, utilidade prática e efetividade do guia "Os 6 passos para adequação à LGPD" no processo de adequação municipal; [F1, F3, F4, Q121, Q122, Q123, Q125]</w:t>
            </w:r>
          </w:p>
          <w:p ns2:paraId="1DD0E491" ns2:textId="77777777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IR5: Opiniões, críticas e propostas de aprimoramento sugeridas pelos auditados para futuros guias e materiais didáticos do Tribunal; [F1, F3, Q124, Q125]</w:t>
            </w:r>
          </w:p>
          <w:p ns2:paraId="1DD0E491" ns2:textId="77777777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IR6: Relatos abertos registrados pelos jurisdicionados sobre os principais desafios e deficiências para a conformidade à LGPD; [F1, Q132]</w:t>
            </w:r>
          </w:p>
        </w:tc>
        <w:tc>
          <w:tcPr>
            <w:tcBorders/>
            <w:tcW w:w="3553" w:type="dxa"/>
            <w:vAlign w:val="center"/>
          </w:tcPr>
          <w:p ns2:paraId="4C6E5B2E" ns2:textId="42100C78">
            <w:pPr>
              <w:pStyle w:val="1010"/>
              <w:pBdr/>
              <w:spacing w:after="120"/>
              <w:ind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P1: Calcular o índice iLGPD 2026 para os 91 municípios aplicando a metodologia ponderada do Tribunal; [IR1]</w:t>
            </w:r>
          </w:p>
          <w:p ns2:paraId="4C6E5B2E" ns2:textId="42100C78">
            <w:pPr>
              <w:pStyle w:val="1010"/>
              <w:pBdr/>
              <w:spacing w:after="120"/>
              <w:ind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P2: Confrontar os índices de 2026 com os resultados históricos de 2024 para mensurar a variação percentual agregada e individual; [IR2]</w:t>
            </w:r>
          </w:p>
          <w:p ns2:paraId="4C6E5B2E" ns2:textId="42100C78">
            <w:pPr>
              <w:pStyle w:val="1010"/>
              <w:pBdr/>
              <w:spacing w:after="120"/>
              <w:ind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P3: Consolidar as respostas aos itens Q111 e Q112 relativas a contratações de serviços de terceiros e soluções tecnológicas voltadas à LGPD; [IR3]</w:t>
            </w:r>
          </w:p>
          <w:p ns2:paraId="4C6E5B2E" ns2:textId="42100C78">
            <w:pPr>
              <w:pStyle w:val="1010"/>
              <w:pBdr/>
              <w:spacing w:after="120"/>
              <w:ind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P4: Tabular e analisar as respostas aos itens Q121, Q122, Q123 e Q125 sobre o guia "Os 6 passos para adequação à LGPD", mensurando utilização, relevância percebida e gargalos enfrentados na execução de cada passo; [IR4]</w:t>
            </w:r>
          </w:p>
          <w:p ns2:paraId="4C6E5B2E" ns2:textId="42100C78">
            <w:pPr>
              <w:pStyle w:val="1010"/>
              <w:pBdr/>
              <w:spacing w:after="120"/>
              <w:ind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P5: Compilar e classificar as propostas de melhoria, críticas e demandas formuladas nos itens Q124 e Q125 para subsidiar o aprimoramento pedagógico do Tribunal e potencializar os impactos da fiscalização corrente; [IR5]</w:t>
            </w:r>
          </w:p>
          <w:p ns2:paraId="4C6E5B2E" ns2:textId="42100C78">
            <w:pPr>
              <w:pStyle w:val="1010"/>
              <w:pBdr/>
              <w:spacing w:after="120"/>
              <w:ind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P6: Mapear e categorizar tematicamente as manifestações abertas registradas pelos gestores no item Q132; [IR6]</w:t>
            </w:r>
          </w:p>
        </w:tc>
        <w:tc>
          <w:tcPr>
            <w:tcBorders/>
            <w:tcW w:w="5401" w:type="dxa"/>
            <w:vAlign w:val="center"/>
          </w:tcPr>
          <w:p ns2:paraId="1E80855F" ns2:textId="1D853748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E1: Tabela de escores, ranking e distribuição dos níveis de maturidade no índice iLGPD 2026; [P1]</w:t>
            </w:r>
          </w:p>
          <w:p ns2:paraId="1E80855F" ns2:textId="1D853748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E2: Gráficos e painéis de evolução comparativa 2024–2026 por dimensão de privacidade; [P2]</w:t>
            </w:r>
          </w:p>
          <w:p ns2:paraId="1E80855F" ns2:textId="1D853748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E3: Relatório analítico sobre o panorama de contratações de consultorias e soluções tecnológicas municipais; [P3]</w:t>
            </w:r>
          </w:p>
          <w:p ns2:paraId="1E80855F" ns2:textId="1D853748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E4: Painel diagnóstico de avaliação do guia pedagógico "Os 6 passos para adequação à LGPD", contendo notas de utilidade, gargalos metodológicos apontados e índice de conhecimento prévio pelos gestores; [P4]</w:t>
            </w:r>
          </w:p>
          <w:p ns2:paraId="1E80855F" ns2:textId="1D853748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E5: Caderno de propostas e oportunidades de melhoria sugeridas pelos auditados para o aperfeiçoamento das ações indutoras do Tribunal de Contas; [P5]</w:t>
            </w:r>
          </w:p>
          <w:p ns2:paraId="1E80855F" ns2:textId="1D853748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E6: Matriz temática de desafios práticos e gargalos estruturais compilados a partir dos relatos livres dos jurisdicionados; [P6]</w:t>
            </w:r>
          </w:p>
        </w:tc>
        <w:tc>
          <w:tcPr>
            <w:tcBorders/>
            <w:tcW w:w="6224" w:type="dxa"/>
            <w:vAlign w:val="center"/>
          </w:tcPr>
          <w:p ns2:paraId="11118515" ns2:textId="02403B9E">
            <w:pPr>
              <w:pBdr/>
              <w:spacing w:after="120"/>
              <w:ind w:firstLine="0" w:left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Não se aplica: questão de levantamento, sem geração de achado individual.</w:t>
            </w:r>
          </w:p>
          <w:p ns2:paraId="11118515" ns2:textId="02403B9E">
            <w:pPr>
              <w:pBdr/>
              <w:spacing w:after="120"/>
              <w:ind w:firstLine="0" w:left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O que a análise permite dizer:</w:t>
            </w:r>
          </w:p>
          <w:p ns2:paraId="11118515" ns2:textId="02403B9E">
            <w:pPr>
              <w:pBdr/>
              <w:spacing w:after="120"/>
              <w:ind w:firstLine="0" w:left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O panorama atualizado e comparativo do grau de conformidade e maturidade das administrações municipais em relação às exigências da LGPD.</w:t>
            </w:r>
          </w:p>
          <w:p ns2:paraId="11118515" ns2:textId="02403B9E">
            <w:pPr>
              <w:pBdr/>
              <w:spacing w:after="120"/>
              <w:ind w:firstLine="0" w:left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 mensuração do impacto pedagógico e orientador da atuação prévia do TCE-RJ por meio do guia "Os 6 passos para adequação à LGPD", identificando em que medida o material serviu de suporte prático aos municípios e quais foram seus pontos fortes e limitações.</w:t>
            </w:r>
          </w:p>
          <w:p ns2:paraId="11118515" ns2:textId="02403B9E">
            <w:pPr>
              <w:pBdr/>
              <w:spacing w:after="120"/>
              <w:ind w:firstLine="0" w:left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As principais carências, desafios técnicos e demandas relatadas pelos municípios, orientando futuras ações capacitadoras, notas técnicas e materiais instrucionais da Corte de Contas.</w:t>
            </w:r>
          </w:p>
          <w:p ns2:paraId="11118515" ns2:textId="02403B9E">
            <w:pPr>
              <w:pBdr/>
              <w:spacing w:after="120"/>
              <w:ind w:firstLine="0" w:left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O mapeamento do ecossistema de contratações públicas de consultorias e soluções tecnológicas no âmbito municipal voltadas à governança em privacidade.</w:t>
            </w:r>
          </w:p>
          <w:p ns2:paraId="11118515" ns2:textId="02403B9E">
            <w:pPr>
              <w:pBdr/>
              <w:spacing w:after="120"/>
              <w:ind w:firstLine="0" w:left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Limitações e cautelas:</w:t>
            </w:r>
          </w:p>
          <w:p ns2:paraId="11118515" ns2:textId="02403B9E">
            <w:pPr>
              <w:pBdr/>
              <w:spacing w:after="120"/>
              <w:ind w:firstLine="0" w:left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Os dados do iLGPD baseiam-se em respostas declaratórias e amostragens documentais, expressando uma aproximação diagnóstica da maturidade institucional.</w:t>
            </w:r>
          </w:p>
          <w:p ns2:paraId="11118515" ns2:textId="02403B9E">
            <w:pPr>
              <w:pBdr/>
              <w:spacing w:after="120"/>
              <w:ind w:firstLine="0" w:left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 avaliação do material didático expressa a percepção dos respondentes e pode ser influenciada pela rotatividade das equipes municipais.</w:t>
            </w:r>
          </w:p>
        </w:tc>
      </w:tr>
    </w:tbl>
    <w:p/>
    <w:tbl>
      <w:tblPr>
        <w:tblStyle w:val="1011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1873"/>
        <w:gridCol w:w="10495"/>
      </w:tblGrid>
      <w:tr>
        <w:trPr/>
        <w:tc>
          <w:tcPr>
            <w:tcBorders>
              <w:top w:val="single" w:color="000000" w:themeColor="text1" w:sz="0" w:space="0"/>
              <w:left w:val="single" w:color="000000" w:themeColor="text1" w:sz="0" w:space="0"/>
              <w:bottom w:val="single" w:color="000000" w:themeColor="text1" w:sz="0" w:space="0"/>
              <w:right w:val="single" w:color="000000" w:themeColor="text1" w:sz="0" w:space="0"/>
            </w:tcBorders>
            <w:tcW w:w="2654" w:type="pct"/>
          </w:tcPr>
          <w:p ns2:paraId="27086525" ns2:textId="5BC84706">
            <w:pPr>
              <w:pBdr/>
              <w:spacing w:line="276" w:lineRule="auto"/>
              <w:ind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</w:rPr>
              <w:br w:type="page" w:clear="all"/>
            </w:r>
            <w:r>
              <w:rPr>
                <w:rFonts w:ascii="Arial" w:hAnsi="Arial" w:cs="Arial"/>
                <w:b/>
                <w:bCs/>
              </w:rPr>
              <w:t xml:space="preserve">Equipe de Auditoria</w: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>
              <w:top w:val="single" w:color="000000" w:themeColor="text1" w:sz="0" w:space="0"/>
              <w:left w:val="single" w:color="000000" w:themeColor="text1" w:sz="0" w:space="0"/>
              <w:bottom w:val="single" w:color="000000" w:themeColor="text1" w:sz="0" w:space="0"/>
              <w:right w:val="single" w:color="000000" w:themeColor="text1" w:sz="0" w:space="0"/>
            </w:tcBorders>
            <w:tcW w:w="2346" w:type="pct"/>
          </w:tcPr>
          <w:p ns2:paraId="081D154F" ns2:textId="77777777">
            <w:pPr>
              <w:pBdr/>
              <w:spacing w:line="276" w:lineRule="auto"/>
              <w:ind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Supervisor</w: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</w:tr>
      <w:tr>
        <w:trPr/>
        <w:tc>
          <w:tcPr>
            <w:tcBorders>
              <w:top w:val="single" w:color="000000" w:themeColor="text1" w:sz="0" w:space="0"/>
              <w:left w:val="single" w:color="000000" w:themeColor="text1" w:sz="0" w:space="0"/>
              <w:bottom w:val="single" w:color="000000" w:themeColor="text1" w:sz="0" w:space="0"/>
              <w:right w:val="single" w:color="000000" w:themeColor="text1" w:sz="0" w:space="0"/>
            </w:tcBorders>
            <w:tcW w:w="2654" w:type="pct"/>
          </w:tcPr>
          <w:p ns2:paraId="1C42D2D4" ns2:textId="44C819D1">
            <w:pPr>
              <w:pBdr/>
              <w:spacing w:line="276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212529"/>
                <w:shd w:val="clear" w:color="auto" w:fill="ffffff"/>
              </w:rPr>
              <w:t/>
            </w:r>
          </w:p>
        </w:tc>
        <w:tc>
          <w:tcPr>
            <w:tcBorders>
              <w:top w:val="single" w:color="000000" w:themeColor="text1" w:sz="0" w:space="0"/>
              <w:left w:val="single" w:color="000000" w:themeColor="text1" w:sz="0" w:space="0"/>
              <w:bottom w:val="single" w:color="000000" w:themeColor="text1" w:sz="0" w:space="0"/>
              <w:right w:val="single" w:color="000000" w:themeColor="text1" w:sz="0" w:space="0"/>
            </w:tcBorders>
            <w:tcW w:w="2346" w:type="pct"/>
          </w:tcPr>
          <w:p ns2:paraId="4A9ED85F" ns2:textId="2B0DC6CF">
            <w:pPr>
              <w:pBdr/>
              <w:spacing w:line="276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eastAsia="en-US"/>
              </w:rPr>
              <w:t/>
            </w:r>
          </w:p>
        </w:tc>
      </w:tr>
      <w:tr>
        <w:trPr/>
        <w:tc>
          <w:tcPr>
            <w:tcBorders>
              <w:top w:val="single" w:color="000000" w:themeColor="text1" w:sz="0" w:space="0"/>
              <w:left w:val="single" w:color="000000" w:themeColor="text1" w:sz="0" w:space="0"/>
              <w:bottom w:val="single" w:color="000000" w:themeColor="text1" w:sz="0" w:space="0"/>
              <w:right w:val="single" w:color="000000" w:themeColor="text1" w:sz="0" w:space="0"/>
            </w:tcBorders>
            <w:tcW w:w="2654" w:type="pct"/>
          </w:tcPr>
          <w:p ns2:paraId="477C9695" ns2:textId="261A00B8">
            <w:pPr>
              <w:pBdr/>
              <w:spacing w:line="276" w:lineRule="auto"/>
              <w:ind/>
              <w:rPr>
                <w:rFonts w:ascii="Arial" w:hAnsi="Arial" w:cs="Arial"/>
                <w:color w:val="212529"/>
                <w:shd w:val="clear" w:color="auto" w:fill="ffffff"/>
              </w:rPr>
            </w:pPr>
            <w:r>
              <w:rPr>
                <w:rFonts w:ascii="Arial" w:hAnsi="Arial" w:cs="Arial"/>
                <w:color w:val="212529"/>
                <w:shd w:val="clear" w:color="auto" w:fill="ffffff"/>
              </w:rPr>
              <w:t/>
            </w:r>
          </w:p>
        </w:tc>
        <w:tc>
          <w:tcPr>
            <w:tcBorders>
              <w:top w:val="single" w:color="000000" w:themeColor="text1" w:sz="0" w:space="0"/>
              <w:left w:val="single" w:color="000000" w:themeColor="text1" w:sz="0" w:space="0"/>
              <w:bottom w:val="single" w:color="000000" w:themeColor="text1" w:sz="0" w:space="0"/>
              <w:right w:val="single" w:color="000000" w:themeColor="text1" w:sz="0" w:space="0"/>
            </w:tcBorders>
            <w:tcW w:w="2346" w:type="pct"/>
          </w:tcPr>
          <w:p ns2:paraId="11A9A3E1" ns2:textId="77777777">
            <w:pPr>
              <w:pBdr/>
              <w:spacing w:line="276" w:lineRule="auto"/>
              <w:ind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/>
            </w:r>
          </w:p>
        </w:tc>
      </w:tr>
      <w:tr>
        <w:trPr/>
        <w:tc>
          <w:tcPr>
            <w:tcBorders>
              <w:top w:val="single" w:color="000000" w:themeColor="text1" w:sz="0" w:space="0"/>
              <w:left w:val="single" w:color="000000" w:themeColor="text1" w:sz="0" w:space="0"/>
              <w:bottom w:val="single" w:color="000000" w:themeColor="text1" w:sz="0" w:space="0"/>
              <w:right w:val="single" w:color="000000" w:themeColor="text1" w:sz="0" w:space="0"/>
            </w:tcBorders>
            <w:tcW w:w="2654" w:type="pct"/>
          </w:tcPr>
          <w:p ns2:paraId="7C650FE0" ns2:textId="156A8C0C">
            <w:pPr>
              <w:pBdr/>
              <w:spacing w:line="276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/>
            </w:r>
          </w:p>
        </w:tc>
        <w:tc>
          <w:tcPr>
            <w:tcBorders>
              <w:top w:val="single" w:color="000000" w:themeColor="text1" w:sz="0" w:space="0"/>
              <w:left w:val="single" w:color="000000" w:themeColor="text1" w:sz="0" w:space="0"/>
              <w:bottom w:val="single" w:color="000000" w:themeColor="text1" w:sz="0" w:space="0"/>
              <w:right w:val="single" w:color="000000" w:themeColor="text1" w:sz="0" w:space="0"/>
            </w:tcBorders>
            <w:tcW w:w="2346" w:type="pct"/>
          </w:tcPr>
          <w:p ns2:paraId="4C1EF345" ns2:textId="77777777">
            <w:pPr>
              <w:pBdr/>
              <w:spacing w:line="276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/>
            </w:r>
          </w:p>
        </w:tc>
      </w:tr>
    </w:tbl>
    <w:sectPr>
      <w:headerReference w:type="default" r:id="rId9"/>
      <w:footnotePr/>
      <w:endnotePr/>
      <w:type w:val="nextPage"/>
      <w:pgSz w:h="16840" w:orient="landscape" w:w="23808"/>
      <w:pgMar w:top="720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0858211D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3475EB2F" w14:textId="77777777">
      <w:pPr>
        <w:pBdr/>
        <w:spacing/>
        <w:ind/>
        <w:rPr/>
      </w:pPr>
      <w:r>
        <w:continuationSeparator/>
      </w:r>
      <w:r/>
    </w:p>
  </w:endnote>
  <w:endnote w:type="continuationNotice" w:id="1">
    <w:p w14:paraId="7A504E6D" w14:textId="77777777">
      <w:pPr>
        <w:pBdr/>
        <w:spacing/>
        <w:ind/>
        <w:rPr/>
      </w:pPr>
      <w:r/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MT">
    <w:panose1 w:val="020B06040202020202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NewRoman">
    <w:panose1 w:val="02020603050405020304"/>
  </w:font>
  <w:font w:name="Segoe UI">
    <w:panose1 w:val="020B0502040404020203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086B9FD3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3DE19FB1" w14:textId="77777777">
      <w:pPr>
        <w:pBdr/>
        <w:spacing/>
        <w:ind/>
        <w:rPr/>
      </w:pPr>
      <w:r>
        <w:continuationSeparator/>
      </w:r>
      <w:r/>
    </w:p>
  </w:footnote>
  <w:footnote w:type="continuationNotice" w:id="1">
    <w:p w14:paraId="16EFF2DF" w14:textId="77777777">
      <w:pPr>
        <w:pBdr/>
        <w:spacing/>
        <w:ind/>
        <w:rPr/>
      </w:pPr>
      <w:r/>
      <w:r/>
    </w:p>
  </w:footnote>
</w:footnotes>
</file>

<file path=word/header1.xml><?xml version="1.0" encoding="utf-8"?>
<w:hdr xmlns:ns1="http://schemas.openxmlformats.org/markup-compatibility/2006" xmlns:ns2="http://schemas.microsoft.com/office/word/2010/wordml" xmlns:w="http://schemas.openxmlformats.org/wordprocessingml/2006/main" ns1:Ignorable="w14 w15 wp14">
  <w:tbl>
    <w:tblPr>
      <w:tblStyle w:val="1011"/>
      <w:tblW w:w="22397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1838"/>
      <w:gridCol w:w="7093"/>
      <w:gridCol w:w="13466"/>
    </w:tblGrid>
    <w:tr>
      <w:trPr/>
      <w:tc>
        <w:tcPr>
          <w:tcBorders/>
          <w:tcW w:w="1838" w:type="dxa"/>
        </w:tcPr>
        <w:p ns2:paraId="4885B09B" ns2:textId="42238352">
          <w:pPr>
            <w:pStyle w:val="1008"/>
            <w:pBdr/>
            <w:spacing w:before="0"/>
            <w:ind w:left="0"/>
            <w:rPr/>
          </w:pPr>
          <w:r/>
          <w:r/>
        </w:p>
      </w:tc>
      <w:tc>
        <w:tcPr>
          <w:tcBorders/>
          <w:tcW w:w="7093" w:type="dxa"/>
        </w:tcPr>
        <w:p ns2:paraId="7692314E" ns2:textId="7732243A">
          <w:pPr>
            <w:pStyle w:val="1004"/>
            <w:pBdr/>
            <w:spacing/>
            <w:ind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 xml:space="preserve">SECRETARIA-GERAL</w:t>
          </w:r>
          <w:r>
            <w:rPr>
              <w:rFonts w:ascii="Arial" w:hAnsi="Arial" w:cs="Arial"/>
              <w:spacing w:val="-2"/>
              <w:sz w:val="16"/>
              <w:szCs w:val="16"/>
            </w:rPr>
            <w:t xml:space="preserve"> </w:t>
          </w:r>
          <w:r>
            <w:rPr>
              <w:rFonts w:ascii="Arial" w:hAnsi="Arial" w:cs="Arial"/>
              <w:sz w:val="16"/>
              <w:szCs w:val="16"/>
            </w:rPr>
            <w:t xml:space="preserve">DE</w:t>
          </w:r>
          <w:r>
            <w:rPr>
              <w:rFonts w:ascii="Arial" w:hAnsi="Arial" w:cs="Arial"/>
              <w:spacing w:val="-1"/>
              <w:sz w:val="16"/>
              <w:szCs w:val="16"/>
            </w:rPr>
            <w:t xml:space="preserve"> </w:t>
          </w:r>
          <w:r>
            <w:rPr>
              <w:rFonts w:ascii="Arial" w:hAnsi="Arial" w:cs="Arial"/>
              <w:sz w:val="16"/>
              <w:szCs w:val="16"/>
            </w:rPr>
            <w:t xml:space="preserve">CONTROLE</w:t>
          </w:r>
          <w:r>
            <w:rPr>
              <w:rFonts w:ascii="Arial" w:hAnsi="Arial" w:cs="Arial"/>
              <w:spacing w:val="-1"/>
              <w:sz w:val="16"/>
              <w:szCs w:val="16"/>
            </w:rPr>
            <w:t xml:space="preserve"> </w:t>
          </w:r>
          <w:r>
            <w:rPr>
              <w:rFonts w:ascii="Arial" w:hAnsi="Arial" w:cs="Arial"/>
              <w:sz w:val="16"/>
              <w:szCs w:val="16"/>
            </w:rPr>
            <w:t xml:space="preserve">EXTERNO</w:t>
          </w:r>
          <w:r>
            <w:rPr>
              <w:rFonts w:ascii="Arial" w:hAnsi="Arial" w:cs="Arial"/>
              <w:sz w:val="16"/>
              <w:szCs w:val="16"/>
            </w:rPr>
          </w:r>
          <w:r>
            <w:rPr>
              <w:rFonts w:ascii="Arial" w:hAnsi="Arial" w:cs="Arial"/>
              <w:sz w:val="16"/>
              <w:szCs w:val="16"/>
            </w:rPr>
          </w:r>
        </w:p>
        <w:p ns2:paraId="617A7E23" ns2:textId="59A4ABCC">
          <w:pPr>
            <w:pStyle w:val="1008"/>
            <w:pBdr/>
            <w:tabs>
              <w:tab w:val="left" w:leader="none" w:pos="6105"/>
            </w:tabs>
            <w:spacing w:before="0"/>
            <w:ind w:left="0"/>
            <w:jc w:val="left"/>
            <w:rPr>
              <w:rFonts w:eastAsia="Arial MT"/>
              <w:b w:val="0"/>
              <w:bCs w:val="0"/>
              <w:sz w:val="16"/>
              <w:szCs w:val="16"/>
            </w:rPr>
          </w:pPr>
          <w:r>
            <w:rPr>
              <w:rFonts w:eastAsia="Arial MT"/>
              <w:b w:val="0"/>
              <w:bCs w:val="0"/>
              <w:sz w:val="16"/>
              <w:szCs w:val="16"/>
            </w:rPr>
            <w:t xml:space="preserve">SUBSECRETARIA DE CONTROLE DE POLÍTICAS DE CIDADANIA</w:t>
          </w:r>
          <w:r>
            <w:rPr>
              <w:rFonts w:eastAsia="Arial MT"/>
              <w:b w:val="0"/>
              <w:bCs w:val="0"/>
              <w:sz w:val="16"/>
              <w:szCs w:val="16"/>
            </w:rPr>
          </w:r>
          <w:r>
            <w:rPr>
              <w:rFonts w:eastAsia="Arial MT"/>
              <w:b w:val="0"/>
              <w:bCs w:val="0"/>
              <w:sz w:val="16"/>
              <w:szCs w:val="16"/>
            </w:rPr>
          </w:r>
        </w:p>
        <w:p ns2:paraId="4BD4FB4E" ns2:textId="3216BC59">
          <w:pPr>
            <w:pStyle w:val="1008"/>
            <w:pBdr/>
            <w:spacing w:before="0"/>
            <w:ind w:left="0"/>
            <w:jc w:val="left"/>
            <w:rPr>
              <w:sz w:val="16"/>
              <w:szCs w:val="16"/>
            </w:rPr>
          </w:pPr>
          <w:r>
            <w:rPr>
              <w:rFonts w:eastAsia="Arial MT"/>
              <w:b w:val="0"/>
              <w:bCs w:val="0"/>
              <w:sz w:val="16"/>
              <w:szCs w:val="16"/>
            </w:rPr>
            <w:t xml:space="preserve">COORDENADORIA DE AUDITORIA DE POLÍTICAS EM TECNOLOGIA DA INFORMAÇÃO</w:t>
          </w:r>
          <w:r>
            <w:rPr>
              <w:sz w:val="16"/>
              <w:szCs w:val="16"/>
            </w:rPr>
          </w:r>
          <w:r>
            <w:rPr>
              <w:sz w:val="16"/>
              <w:szCs w:val="16"/>
            </w:rPr>
          </w:r>
        </w:p>
      </w:tc>
      <w:tc>
        <w:tcPr>
          <w:tcBorders/>
          <w:tcW w:w="13466" w:type="dxa"/>
        </w:tcPr>
        <w:p ns2:paraId="17267BE2" ns2:textId="617A7088">
          <w:pPr>
            <w:pBdr/>
            <w:tabs>
              <w:tab w:val="left" w:leader="none" w:pos="2142"/>
              <w:tab w:val="right" w:leader="none" w:pos="14034"/>
            </w:tabs>
            <w:spacing w:after="120"/>
            <w:ind w:firstLine="386" w:left="-386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b/>
              <w:bCs/>
              <w:sz w:val="18"/>
              <w:szCs w:val="18"/>
            </w:rPr>
            <w:t>FISCALIZAÇÃO</w:t>
          </w:r>
          <w:r>
            <w:rPr>
              <w:rFonts w:ascii="Arial" w:hAnsi="Arial" w:cs="Arial"/>
              <w:sz w:val="18"/>
              <w:szCs w:val="18"/>
            </w:rPr>
            <w:t>: 22/2026</w:t>
          </w:r>
        </w:p>
        <w:p ns2:paraId="3A6B45F9" ns2:textId="6FCBAC11">
          <w:pPr>
            <w:pBdr/>
            <w:spacing w:after="120"/>
            <w:ind/>
            <w:jc w:val="both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b/>
              <w:bCs/>
              <w:sz w:val="18"/>
              <w:szCs w:val="18"/>
            </w:rPr>
            <w:t>JURISDICIONADOS</w:t>
          </w:r>
          <w:r>
            <w:rPr>
              <w:rFonts w:ascii="Arial" w:hAnsi="Arial" w:cs="Arial"/>
              <w:sz w:val="18"/>
              <w:szCs w:val="18"/>
            </w:rPr>
            <w:t>: 91 prefeituras municipais jurisdicionadas ao TCE-RJ</w:t>
          </w:r>
        </w:p>
        <w:p ns2:paraId="44B9C6BD" ns2:textId="61CE63E0">
          <w:pPr>
            <w:pStyle w:val="1027"/>
            <w:pBdr/>
            <w:spacing w:after="120"/>
            <w:ind/>
            <w:rPr>
              <w:rFonts w:ascii="Arial" w:hAnsi="Arial" w:cs="Arial"/>
            </w:rPr>
          </w:pPr>
          <w:r>
            <w:rPr>
              <w:rFonts w:ascii="Arial" w:hAnsi="Arial" w:cs="Arial"/>
              <w:b/>
              <w:bCs/>
              <w:sz w:val="18"/>
              <w:szCs w:val="18"/>
            </w:rPr>
            <w:t>OBJETIVO DA AUDITORIA</w:t>
          </w:r>
          <w:r>
            <w:rPr>
              <w:rFonts w:ascii="Arial" w:hAnsi="Arial" w:cs="Arial"/>
              <w:sz w:val="18"/>
              <w:szCs w:val="18"/>
            </w:rPr>
            <w:t>: Verificar a conformidade das prefeituras municipais jurisdicionadas à Lei 13.709/2018 (Lei Geral de Proteção aos Dados – LGPD), bem como monitorar o cumprimento das decisões do processo TCE-RJ nº 217.899-0/2024</w:t>
          </w:r>
        </w:p>
      </w:tc>
    </w:tr>
  </w:tbl>
  <w:p ns2:paraId="3AB268CB" ns2:textId="77777777">
    <w:pPr>
      <w:pBdr/>
      <w:spacing/>
      <w:ind/>
      <w:jc w:val="center"/>
      <w:rPr>
        <w:bCs/>
        <w:sz w:val="12"/>
        <w:szCs w:val="12"/>
      </w:rPr>
    </w:pPr>
    <w:r>
      <w:rPr>
        <w:bCs/>
        <w:sz w:val="12"/>
        <w:szCs w:val="12"/>
      </w:rPr>
    </w:r>
    <w:r>
      <w:rPr>
        <w:bCs/>
        <w:sz w:val="12"/>
        <w:szCs w:val="12"/>
      </w:rPr>
    </w:r>
    <w:r>
      <w:rPr>
        <w:bCs/>
        <w:sz w:val="12"/>
        <w:szCs w:val="12"/>
      </w:rPr>
    </w:r>
  </w:p>
  <w:p ns2:paraId="10951264" ns2:textId="77777777">
    <w:pPr>
      <w:pStyle w:val="1004"/>
      <w:pBdr/>
      <w:spacing/>
      <w:ind/>
      <w:rPr>
        <w:sz w:val="2"/>
        <w:szCs w:val="2"/>
      </w:rPr>
    </w:pPr>
    <w:r>
      <w:rPr>
        <w:sz w:val="2"/>
        <w:szCs w:val="2"/>
      </w:rPr>
    </w:r>
    <w:r>
      <w:rPr>
        <w:sz w:val="2"/>
        <w:szCs w:val="2"/>
      </w:rPr>
    </w:r>
    <w:r>
      <w:rPr>
        <w:sz w:val="2"/>
        <w:szCs w:val="2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6A245D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20FF090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24CD138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2FD831B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3398136D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52BE16D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578F57F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5D4027FB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nsid w:val="72F56DB6"/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9">
    <w:nsid w:val="76AC7162"/>
    <w:lvl w:ilvl="0">
      <w:isLgl w:val="false"/>
      <w:lvlJc w:val="left"/>
      <w:lvlText w:val="C%1.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10">
    <w:nsid w:val="7E4D28B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nsid w:val="7F385108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nsid w:val="0B6A245D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nsid w:val="0B6A245D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nsid w:val="0B6A245D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1"/>
  </w:num>
  <w:num w:numId="2">
    <w:abstractNumId w:val="11"/>
  </w:num>
  <w:num w:numId="3">
    <w:abstractNumId w:val="10"/>
  </w:num>
  <w:num w:numId="4">
    <w:abstractNumId w:val="0"/>
  </w:num>
  <w:num w:numId="5">
    <w:abstractNumId w:val="7"/>
  </w:num>
  <w:num w:numId="6">
    <w:abstractNumId w:val="3"/>
  </w:num>
  <w:num w:numId="7">
    <w:abstractNumId w:val="6"/>
  </w:num>
  <w:num w:numId="8">
    <w:abstractNumId w:val="5"/>
  </w:num>
  <w:num w:numId="9">
    <w:abstractNumId w:val="4"/>
  </w:num>
  <w:num w:numId="10">
    <w:abstractNumId w:val="2"/>
  </w:num>
  <w:num w:numId="11">
    <w:abstractNumId w:val="8"/>
  </w:num>
  <w:num w:numId="12">
    <w:abstractNumId w:val="9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  <w:footnote w:id="1"/>
  </w:footnotePr>
  <w:endnotePr>
    <w:pos w:val="docEnd"/>
    <w:numFmt w:val="lowerRoman"/>
    <w:numStart w:val="1"/>
    <w:numRestart w:val="continuous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23">
    <w:name w:val="Table Grid Light"/>
    <w:basedOn w:val="100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Plain Table 1"/>
    <w:basedOn w:val="100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Plain Table 2"/>
    <w:basedOn w:val="100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Plain Table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Plain Table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Plain Table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1 Light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1 Light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1 Light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1 Light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1 Light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1 Light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1 Light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2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2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2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2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2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2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3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3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3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3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3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3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4"/>
    <w:basedOn w:val="10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4 - Accent 1"/>
    <w:basedOn w:val="10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4 - Accent 2"/>
    <w:basedOn w:val="10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4 - Accent 3"/>
    <w:basedOn w:val="10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4 - Accent 4"/>
    <w:basedOn w:val="10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4 - Accent 5"/>
    <w:basedOn w:val="10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4 - Accent 6"/>
    <w:basedOn w:val="10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5 Dark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5 Dark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5 Dark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5 Dark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5 Dark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5 Dark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5 Dark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6 Colorful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6 Colorful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6 Colorful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6 Colorful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6 Colorful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6 Colorful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6 Colorful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7 Colorful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7 Colorful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7 Colorful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7 Colorful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7 Colorful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7 Colorful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7 Colorful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1 Light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1 Light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1 Light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1 Light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1 Light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1 Light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1 Light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2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2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2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2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2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2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3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3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3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3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3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3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4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4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4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4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4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4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5 Dark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5 Dark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5 Dark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5 Dark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5 Dark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5 Dark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5 Dark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6 Colorful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6 Colorful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6 Colorful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6 Colorful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6 Colorful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6 Colorful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6 Colorful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7 Colorful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7 Colorful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7 Colorful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7 Colorful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7 Colorful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7 Colorful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7 Colorful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ned - Accent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ned - Accent 1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ned - Accent 2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ned - Accent 3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ned - Accent 4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ned - Accent 5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ned - Accent 6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Bordered &amp; Lined - Accent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Bordered &amp; Lined - Accent 1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Bordered &amp; Lined - Accent 2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Bordered &amp; Lined - Accent 3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Bordered &amp; Lined - Accent 4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Bordered &amp; Lined - Accent 5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Bordered &amp; Lined - Accent 6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Bordered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Bordered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Bordered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Bordered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Bordered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Bordered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Bordered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48">
    <w:name w:val="Heading 1"/>
    <w:basedOn w:val="1000"/>
    <w:next w:val="1000"/>
    <w:link w:val="95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49">
    <w:name w:val="Heading 2"/>
    <w:basedOn w:val="1000"/>
    <w:next w:val="1000"/>
    <w:link w:val="95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50">
    <w:name w:val="Heading 3"/>
    <w:basedOn w:val="1000"/>
    <w:next w:val="1000"/>
    <w:link w:val="95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51">
    <w:name w:val="Heading 4"/>
    <w:basedOn w:val="1000"/>
    <w:next w:val="1000"/>
    <w:link w:val="96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52">
    <w:name w:val="Heading 5"/>
    <w:basedOn w:val="1000"/>
    <w:next w:val="1000"/>
    <w:link w:val="96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53">
    <w:name w:val="Heading 6"/>
    <w:basedOn w:val="1000"/>
    <w:next w:val="1000"/>
    <w:link w:val="96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54">
    <w:name w:val="Heading 7"/>
    <w:basedOn w:val="1000"/>
    <w:next w:val="1000"/>
    <w:link w:val="96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55">
    <w:name w:val="Heading 8"/>
    <w:basedOn w:val="1000"/>
    <w:next w:val="1000"/>
    <w:link w:val="96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56">
    <w:name w:val="Heading 9"/>
    <w:basedOn w:val="1000"/>
    <w:next w:val="1000"/>
    <w:link w:val="96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57">
    <w:name w:val="Heading 1 Char"/>
    <w:basedOn w:val="1001"/>
    <w:link w:val="9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58">
    <w:name w:val="Heading 2 Char"/>
    <w:basedOn w:val="1001"/>
    <w:link w:val="9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59">
    <w:name w:val="Heading 3 Char"/>
    <w:basedOn w:val="1001"/>
    <w:link w:val="95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60">
    <w:name w:val="Heading 4 Char"/>
    <w:basedOn w:val="1001"/>
    <w:link w:val="95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61">
    <w:name w:val="Heading 5 Char"/>
    <w:basedOn w:val="1001"/>
    <w:link w:val="95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62">
    <w:name w:val="Heading 6 Char"/>
    <w:basedOn w:val="1001"/>
    <w:link w:val="95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63">
    <w:name w:val="Heading 7 Char"/>
    <w:basedOn w:val="1001"/>
    <w:link w:val="95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64">
    <w:name w:val="Heading 8 Char"/>
    <w:basedOn w:val="1001"/>
    <w:link w:val="95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65">
    <w:name w:val="Heading 9 Char"/>
    <w:basedOn w:val="1001"/>
    <w:link w:val="95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66">
    <w:name w:val="Title Char"/>
    <w:basedOn w:val="1001"/>
    <w:link w:val="100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67">
    <w:name w:val="Subtitle"/>
    <w:basedOn w:val="1000"/>
    <w:next w:val="1000"/>
    <w:link w:val="96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68">
    <w:name w:val="Subtitle Char"/>
    <w:basedOn w:val="1001"/>
    <w:link w:val="96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69">
    <w:name w:val="Quote"/>
    <w:basedOn w:val="1000"/>
    <w:next w:val="1000"/>
    <w:link w:val="97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70">
    <w:name w:val="Quote Char"/>
    <w:basedOn w:val="1001"/>
    <w:link w:val="96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71">
    <w:name w:val="Intense Emphasis"/>
    <w:basedOn w:val="100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72">
    <w:name w:val="Intense Quote"/>
    <w:basedOn w:val="1000"/>
    <w:next w:val="1000"/>
    <w:link w:val="97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73">
    <w:name w:val="Intense Quote Char"/>
    <w:basedOn w:val="1001"/>
    <w:link w:val="97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74">
    <w:name w:val="Intense Reference"/>
    <w:basedOn w:val="100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75">
    <w:name w:val="No Spacing"/>
    <w:basedOn w:val="1000"/>
    <w:uiPriority w:val="1"/>
    <w:qFormat/>
    <w:pPr>
      <w:pBdr/>
      <w:spacing w:after="0" w:line="240" w:lineRule="auto"/>
      <w:ind/>
    </w:pPr>
  </w:style>
  <w:style w:type="character" w:styleId="976">
    <w:name w:val="Subtle Emphasis"/>
    <w:basedOn w:val="100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77">
    <w:name w:val="Emphasis"/>
    <w:basedOn w:val="1001"/>
    <w:uiPriority w:val="20"/>
    <w:qFormat/>
    <w:pPr>
      <w:pBdr/>
      <w:spacing/>
      <w:ind/>
    </w:pPr>
    <w:rPr>
      <w:i/>
      <w:iCs/>
    </w:rPr>
  </w:style>
  <w:style w:type="character" w:styleId="978">
    <w:name w:val="Strong"/>
    <w:basedOn w:val="1001"/>
    <w:uiPriority w:val="22"/>
    <w:qFormat/>
    <w:pPr>
      <w:pBdr/>
      <w:spacing/>
      <w:ind/>
    </w:pPr>
    <w:rPr>
      <w:b/>
      <w:bCs/>
    </w:rPr>
  </w:style>
  <w:style w:type="character" w:styleId="979">
    <w:name w:val="Subtle Reference"/>
    <w:basedOn w:val="100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80">
    <w:name w:val="Book Title"/>
    <w:basedOn w:val="100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81">
    <w:name w:val="Header Char"/>
    <w:basedOn w:val="1001"/>
    <w:link w:val="1004"/>
    <w:uiPriority w:val="99"/>
    <w:pPr>
      <w:pBdr/>
      <w:spacing/>
      <w:ind/>
    </w:pPr>
  </w:style>
  <w:style w:type="character" w:styleId="982">
    <w:name w:val="Footer Char"/>
    <w:basedOn w:val="1001"/>
    <w:link w:val="1006"/>
    <w:uiPriority w:val="99"/>
    <w:pPr>
      <w:pBdr/>
      <w:spacing/>
      <w:ind/>
    </w:pPr>
  </w:style>
  <w:style w:type="paragraph" w:styleId="983">
    <w:name w:val="Caption"/>
    <w:basedOn w:val="1000"/>
    <w:next w:val="100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984">
    <w:name w:val="Footnote Text Char"/>
    <w:basedOn w:val="1001"/>
    <w:link w:val="1018"/>
    <w:uiPriority w:val="99"/>
    <w:semiHidden/>
    <w:pPr>
      <w:pBdr/>
      <w:spacing/>
      <w:ind/>
    </w:pPr>
    <w:rPr>
      <w:sz w:val="20"/>
      <w:szCs w:val="20"/>
    </w:rPr>
  </w:style>
  <w:style w:type="paragraph" w:styleId="985">
    <w:name w:val="endnote text"/>
    <w:basedOn w:val="1000"/>
    <w:link w:val="98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86">
    <w:name w:val="Endnote Text Char"/>
    <w:basedOn w:val="1001"/>
    <w:link w:val="985"/>
    <w:uiPriority w:val="99"/>
    <w:semiHidden/>
    <w:pPr>
      <w:pBdr/>
      <w:spacing/>
      <w:ind/>
    </w:pPr>
    <w:rPr>
      <w:sz w:val="20"/>
      <w:szCs w:val="20"/>
    </w:rPr>
  </w:style>
  <w:style w:type="character" w:styleId="987">
    <w:name w:val="endnote reference"/>
    <w:basedOn w:val="1001"/>
    <w:uiPriority w:val="99"/>
    <w:semiHidden/>
    <w:unhideWhenUsed/>
    <w:pPr>
      <w:pBdr/>
      <w:spacing/>
      <w:ind/>
    </w:pPr>
    <w:rPr>
      <w:vertAlign w:val="superscript"/>
    </w:rPr>
  </w:style>
  <w:style w:type="paragraph" w:styleId="988">
    <w:name w:val="toc 1"/>
    <w:basedOn w:val="1000"/>
    <w:next w:val="1000"/>
    <w:uiPriority w:val="39"/>
    <w:unhideWhenUsed/>
    <w:pPr>
      <w:pBdr/>
      <w:spacing w:after="100"/>
      <w:ind/>
    </w:pPr>
  </w:style>
  <w:style w:type="paragraph" w:styleId="989">
    <w:name w:val="toc 2"/>
    <w:basedOn w:val="1000"/>
    <w:next w:val="1000"/>
    <w:uiPriority w:val="39"/>
    <w:unhideWhenUsed/>
    <w:pPr>
      <w:pBdr/>
      <w:spacing w:after="100"/>
      <w:ind w:left="220"/>
    </w:pPr>
  </w:style>
  <w:style w:type="paragraph" w:styleId="990">
    <w:name w:val="toc 3"/>
    <w:basedOn w:val="1000"/>
    <w:next w:val="1000"/>
    <w:uiPriority w:val="39"/>
    <w:unhideWhenUsed/>
    <w:pPr>
      <w:pBdr/>
      <w:spacing w:after="100"/>
      <w:ind w:left="440"/>
    </w:pPr>
  </w:style>
  <w:style w:type="paragraph" w:styleId="991">
    <w:name w:val="toc 4"/>
    <w:basedOn w:val="1000"/>
    <w:next w:val="1000"/>
    <w:uiPriority w:val="39"/>
    <w:unhideWhenUsed/>
    <w:pPr>
      <w:pBdr/>
      <w:spacing w:after="100"/>
      <w:ind w:left="660"/>
    </w:pPr>
  </w:style>
  <w:style w:type="paragraph" w:styleId="992">
    <w:name w:val="toc 5"/>
    <w:basedOn w:val="1000"/>
    <w:next w:val="1000"/>
    <w:uiPriority w:val="39"/>
    <w:unhideWhenUsed/>
    <w:pPr>
      <w:pBdr/>
      <w:spacing w:after="100"/>
      <w:ind w:left="880"/>
    </w:pPr>
  </w:style>
  <w:style w:type="paragraph" w:styleId="993">
    <w:name w:val="toc 6"/>
    <w:basedOn w:val="1000"/>
    <w:next w:val="1000"/>
    <w:uiPriority w:val="39"/>
    <w:unhideWhenUsed/>
    <w:pPr>
      <w:pBdr/>
      <w:spacing w:after="100"/>
      <w:ind w:left="1100"/>
    </w:pPr>
  </w:style>
  <w:style w:type="paragraph" w:styleId="994">
    <w:name w:val="toc 7"/>
    <w:basedOn w:val="1000"/>
    <w:next w:val="1000"/>
    <w:uiPriority w:val="39"/>
    <w:unhideWhenUsed/>
    <w:pPr>
      <w:pBdr/>
      <w:spacing w:after="100"/>
      <w:ind w:left="1320"/>
    </w:pPr>
  </w:style>
  <w:style w:type="paragraph" w:styleId="995">
    <w:name w:val="toc 8"/>
    <w:basedOn w:val="1000"/>
    <w:next w:val="1000"/>
    <w:uiPriority w:val="39"/>
    <w:unhideWhenUsed/>
    <w:pPr>
      <w:pBdr/>
      <w:spacing w:after="100"/>
      <w:ind w:left="1540"/>
    </w:pPr>
  </w:style>
  <w:style w:type="paragraph" w:styleId="996">
    <w:name w:val="toc 9"/>
    <w:basedOn w:val="1000"/>
    <w:next w:val="1000"/>
    <w:uiPriority w:val="39"/>
    <w:unhideWhenUsed/>
    <w:pPr>
      <w:pBdr/>
      <w:spacing w:after="100"/>
      <w:ind w:left="1760"/>
    </w:pPr>
  </w:style>
  <w:style w:type="character" w:styleId="997">
    <w:name w:val="Placeholder Text"/>
    <w:basedOn w:val="1001"/>
    <w:uiPriority w:val="99"/>
    <w:semiHidden/>
    <w:pPr>
      <w:pBdr/>
      <w:spacing/>
      <w:ind/>
    </w:pPr>
    <w:rPr>
      <w:color w:val="666666"/>
    </w:rPr>
  </w:style>
  <w:style w:type="paragraph" w:styleId="998">
    <w:name w:val="TOC Heading"/>
    <w:uiPriority w:val="39"/>
    <w:unhideWhenUsed/>
    <w:pPr>
      <w:pBdr/>
      <w:spacing/>
      <w:ind/>
    </w:pPr>
  </w:style>
  <w:style w:type="paragraph" w:styleId="999">
    <w:name w:val="table of figures"/>
    <w:basedOn w:val="1000"/>
    <w:next w:val="1000"/>
    <w:uiPriority w:val="99"/>
    <w:unhideWhenUsed/>
    <w:pPr>
      <w:pBdr/>
      <w:spacing w:after="0" w:afterAutospacing="0"/>
      <w:ind/>
    </w:pPr>
  </w:style>
  <w:style w:type="paragraph" w:styleId="1000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character" w:styleId="1001" w:default="1">
    <w:name w:val="Default Paragraph Font"/>
    <w:uiPriority w:val="1"/>
    <w:semiHidden/>
    <w:unhideWhenUsed/>
    <w:pPr>
      <w:pBdr/>
      <w:spacing/>
      <w:ind/>
    </w:pPr>
  </w:style>
  <w:style w:type="table" w:styleId="100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03" w:default="1">
    <w:name w:val="No List"/>
    <w:uiPriority w:val="99"/>
    <w:semiHidden/>
    <w:unhideWhenUsed/>
    <w:pPr>
      <w:pBdr/>
      <w:spacing/>
      <w:ind/>
    </w:pPr>
  </w:style>
  <w:style w:type="paragraph" w:styleId="1004">
    <w:name w:val="Header"/>
    <w:basedOn w:val="1000"/>
    <w:link w:val="1005"/>
    <w:uiPriority w:val="99"/>
    <w:unhideWhenUsed/>
    <w:pPr>
      <w:pBdr/>
      <w:tabs>
        <w:tab w:val="center" w:leader="none" w:pos="4252"/>
        <w:tab w:val="right" w:leader="none" w:pos="8504"/>
      </w:tabs>
      <w:spacing/>
      <w:ind/>
    </w:pPr>
    <w:rPr>
      <w:rFonts w:asciiTheme="minorHAnsi" w:hAnsiTheme="minorHAnsi" w:eastAsiaTheme="minorHAnsi" w:cstheme="minorBidi"/>
      <w:sz w:val="22"/>
      <w:szCs w:val="22"/>
      <w:lang w:eastAsia="en-US"/>
    </w:rPr>
  </w:style>
  <w:style w:type="character" w:styleId="1005" w:customStyle="1">
    <w:name w:val="Cabeçalho Char"/>
    <w:basedOn w:val="1001"/>
    <w:link w:val="1004"/>
    <w:uiPriority w:val="99"/>
    <w:pPr>
      <w:pBdr/>
      <w:spacing/>
      <w:ind/>
    </w:pPr>
  </w:style>
  <w:style w:type="paragraph" w:styleId="1006">
    <w:name w:val="Footer"/>
    <w:basedOn w:val="1000"/>
    <w:link w:val="1007"/>
    <w:uiPriority w:val="99"/>
    <w:unhideWhenUsed/>
    <w:pPr>
      <w:pBdr/>
      <w:tabs>
        <w:tab w:val="center" w:leader="none" w:pos="4252"/>
        <w:tab w:val="right" w:leader="none" w:pos="8504"/>
      </w:tabs>
      <w:spacing/>
      <w:ind/>
    </w:pPr>
    <w:rPr>
      <w:rFonts w:asciiTheme="minorHAnsi" w:hAnsiTheme="minorHAnsi" w:eastAsiaTheme="minorHAnsi" w:cstheme="minorBidi"/>
      <w:sz w:val="22"/>
      <w:szCs w:val="22"/>
      <w:lang w:eastAsia="en-US"/>
    </w:rPr>
  </w:style>
  <w:style w:type="character" w:styleId="1007" w:customStyle="1">
    <w:name w:val="Rodapé Char"/>
    <w:basedOn w:val="1001"/>
    <w:link w:val="1006"/>
    <w:uiPriority w:val="99"/>
    <w:pPr>
      <w:pBdr/>
      <w:spacing/>
      <w:ind/>
    </w:pPr>
  </w:style>
  <w:style w:type="paragraph" w:styleId="1008">
    <w:name w:val="Title"/>
    <w:basedOn w:val="1000"/>
    <w:link w:val="1009"/>
    <w:uiPriority w:val="10"/>
    <w:qFormat/>
    <w:pPr>
      <w:widowControl w:val="false"/>
      <w:pBdr/>
      <w:spacing w:before="83"/>
      <w:ind w:right="310" w:left="277"/>
      <w:jc w:val="center"/>
    </w:pPr>
    <w:rPr>
      <w:rFonts w:ascii="Arial" w:hAnsi="Arial" w:eastAsia="Arial" w:cs="Arial"/>
      <w:b/>
      <w:bCs/>
      <w:sz w:val="23"/>
      <w:szCs w:val="23"/>
      <w:lang w:val="pt-PT" w:eastAsia="en-US"/>
    </w:rPr>
  </w:style>
  <w:style w:type="character" w:styleId="1009" w:customStyle="1">
    <w:name w:val="Título Char"/>
    <w:basedOn w:val="1001"/>
    <w:link w:val="1008"/>
    <w:uiPriority w:val="10"/>
    <w:pPr>
      <w:pBdr/>
      <w:spacing/>
      <w:ind/>
    </w:pPr>
    <w:rPr>
      <w:rFonts w:ascii="Arial" w:hAnsi="Arial" w:eastAsia="Arial" w:cs="Arial"/>
      <w:b/>
      <w:bCs/>
      <w:sz w:val="23"/>
      <w:szCs w:val="23"/>
      <w:lang w:val="pt-PT"/>
    </w:rPr>
  </w:style>
  <w:style w:type="paragraph" w:styleId="1010" w:customStyle="1">
    <w:name w:val="Default"/>
    <w:pPr>
      <w:pBdr/>
      <w:spacing w:after="0" w:line="240" w:lineRule="auto"/>
      <w:ind/>
    </w:pPr>
    <w:rPr>
      <w:rFonts w:ascii="Arial" w:hAnsi="Arial" w:eastAsia="Times New Roman" w:cs="Arial"/>
      <w:color w:val="000000"/>
      <w:sz w:val="24"/>
      <w:szCs w:val="24"/>
      <w:lang w:eastAsia="pt-BR"/>
    </w:rPr>
  </w:style>
  <w:style w:type="table" w:styleId="1011">
    <w:name w:val="Table Grid"/>
    <w:basedOn w:val="1002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12">
    <w:name w:val="List Paragraph"/>
    <w:basedOn w:val="1000"/>
    <w:uiPriority w:val="34"/>
    <w:qFormat/>
    <w:pPr>
      <w:pBdr/>
      <w:spacing/>
      <w:ind w:left="720"/>
      <w:contextualSpacing w:val="true"/>
    </w:pPr>
  </w:style>
  <w:style w:type="character" w:styleId="1013">
    <w:name w:val="annotation reference"/>
    <w:basedOn w:val="1001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014">
    <w:name w:val="annotation text"/>
    <w:basedOn w:val="1000"/>
    <w:link w:val="1015"/>
    <w:uiPriority w:val="99"/>
    <w:unhideWhenUsed/>
    <w:pPr>
      <w:pBdr/>
      <w:spacing/>
      <w:ind/>
    </w:pPr>
    <w:rPr>
      <w:sz w:val="20"/>
      <w:szCs w:val="20"/>
    </w:rPr>
  </w:style>
  <w:style w:type="character" w:styleId="1015" w:customStyle="1">
    <w:name w:val="Texto de comentário Char"/>
    <w:basedOn w:val="1001"/>
    <w:link w:val="1014"/>
    <w:uiPriority w:val="99"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eastAsia="pt-BR"/>
    </w:rPr>
  </w:style>
  <w:style w:type="paragraph" w:styleId="1016">
    <w:name w:val="annotation subject"/>
    <w:basedOn w:val="1014"/>
    <w:next w:val="1014"/>
    <w:link w:val="1017"/>
    <w:uiPriority w:val="99"/>
    <w:semiHidden/>
    <w:unhideWhenUsed/>
    <w:pPr>
      <w:pBdr/>
      <w:spacing/>
      <w:ind/>
    </w:pPr>
    <w:rPr>
      <w:b/>
      <w:bCs/>
    </w:rPr>
  </w:style>
  <w:style w:type="character" w:styleId="1017" w:customStyle="1">
    <w:name w:val="Assunto do comentário Char"/>
    <w:basedOn w:val="1015"/>
    <w:link w:val="1016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eastAsia="pt-BR"/>
    </w:rPr>
  </w:style>
  <w:style w:type="paragraph" w:styleId="1018">
    <w:name w:val="footnote text"/>
    <w:basedOn w:val="1000"/>
    <w:link w:val="1019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019" w:customStyle="1">
    <w:name w:val="Texto de nota de rodapé Char"/>
    <w:basedOn w:val="1001"/>
    <w:link w:val="1018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eastAsia="pt-BR"/>
    </w:rPr>
  </w:style>
  <w:style w:type="character" w:styleId="1020">
    <w:name w:val="footnote reference"/>
    <w:basedOn w:val="1001"/>
    <w:uiPriority w:val="99"/>
    <w:unhideWhenUsed/>
    <w:pPr>
      <w:pBdr/>
      <w:spacing/>
      <w:ind/>
    </w:pPr>
    <w:rPr>
      <w:vertAlign w:val="superscript"/>
    </w:rPr>
  </w:style>
  <w:style w:type="character" w:styleId="1021">
    <w:name w:val="Hyperlink"/>
    <w:basedOn w:val="100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022">
    <w:name w:val="Unresolved Mention"/>
    <w:basedOn w:val="1001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character" w:styleId="1023">
    <w:name w:val="FollowedHyperlink"/>
    <w:basedOn w:val="100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024">
    <w:name w:val="Balloon Text"/>
    <w:basedOn w:val="1000"/>
    <w:link w:val="1025"/>
    <w:uiPriority w:val="99"/>
    <w:semiHidden/>
    <w:unhideWhenUsed/>
    <w:pPr>
      <w:pBdr/>
      <w:spacing/>
      <w:ind/>
    </w:pPr>
    <w:rPr>
      <w:rFonts w:ascii="Segoe UI" w:hAnsi="Segoe UI" w:cs="Segoe UI"/>
      <w:sz w:val="18"/>
      <w:szCs w:val="18"/>
    </w:rPr>
  </w:style>
  <w:style w:type="character" w:styleId="1025" w:customStyle="1">
    <w:name w:val="Texto de balão Char"/>
    <w:basedOn w:val="1001"/>
    <w:link w:val="1024"/>
    <w:uiPriority w:val="99"/>
    <w:semiHidden/>
    <w:pPr>
      <w:pBdr/>
      <w:spacing/>
      <w:ind/>
    </w:pPr>
    <w:rPr>
      <w:rFonts w:ascii="Segoe UI" w:hAnsi="Segoe UI" w:eastAsia="Times New Roman" w:cs="Segoe UI"/>
      <w:sz w:val="18"/>
      <w:szCs w:val="18"/>
      <w:lang w:eastAsia="pt-BR"/>
    </w:rPr>
  </w:style>
  <w:style w:type="paragraph" w:styleId="1026">
    <w:name w:val="Revision"/>
    <w:hidden/>
    <w:uiPriority w:val="99"/>
    <w:semiHidden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1027">
    <w:name w:val="Body Text"/>
    <w:basedOn w:val="1000"/>
    <w:link w:val="1028"/>
    <w:pPr>
      <w:pBdr/>
      <w:spacing/>
      <w:ind/>
      <w:jc w:val="both"/>
    </w:pPr>
    <w:rPr>
      <w:rFonts w:ascii="TimesNewRoman" w:hAnsi="TimesNewRoman"/>
      <w:sz w:val="19"/>
      <w:szCs w:val="19"/>
    </w:rPr>
  </w:style>
  <w:style w:type="character" w:styleId="1028" w:customStyle="1">
    <w:name w:val="Corpo de texto Char"/>
    <w:basedOn w:val="1001"/>
    <w:link w:val="1027"/>
    <w:pPr>
      <w:pBdr/>
      <w:spacing/>
      <w:ind/>
    </w:pPr>
    <w:rPr>
      <w:rFonts w:ascii="TimesNewRoman" w:hAnsi="TimesNewRoman" w:eastAsia="Times New Roman" w:cs="Times New Roman"/>
      <w:sz w:val="19"/>
      <w:szCs w:val="19"/>
      <w:lang w:eastAsia="pt-BR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customXml" Target="../customXml/item1.xml" /><Relationship Id="rId11" Type="http://schemas.openxmlformats.org/officeDocument/2006/relationships/customXml" Target="../customXml/item2.xml" /><Relationship Id="rId12" Type="http://schemas.openxmlformats.org/officeDocument/2006/relationships/customXml" Target="../customXml/item3.xml" /><Relationship Id="rId13" Type="http://schemas.openxmlformats.org/officeDocument/2006/relationships/customXml" Target="../customXml/item4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2c24b4c-a19a-4093-bf78-d5942ee237c3" xsi:nil="true"/>
    <lcf76f155ced4ddcb4097134ff3c332f xmlns="fdb186c7-7373-495f-878c-f0f79ab36130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A0C7017C8683A4E8D8838A33F67DDC9" ma:contentTypeVersion="10" ma:contentTypeDescription="Crie um novo documento." ma:contentTypeScope="" ma:versionID="40418b09319f9a2ee1ad34ac94a4982c">
  <xsd:schema xmlns:xsd="http://www.w3.org/2001/XMLSchema" xmlns:xs="http://www.w3.org/2001/XMLSchema" xmlns:p="http://schemas.microsoft.com/office/2006/metadata/properties" xmlns:ns2="fdb186c7-7373-495f-878c-f0f79ab36130" xmlns:ns3="a2c24b4c-a19a-4093-bf78-d5942ee237c3" targetNamespace="http://schemas.microsoft.com/office/2006/metadata/properties" ma:root="true" ma:fieldsID="279706ca315d76014cd459137316f840" ns2:_="" ns3:_="">
    <xsd:import namespace="fdb186c7-7373-495f-878c-f0f79ab36130"/>
    <xsd:import namespace="a2c24b4c-a19a-4093-bf78-d5942ee237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b186c7-7373-495f-878c-f0f79ab361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b94074d8-97da-4deb-a367-6d65a6a9ab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c24b4c-a19a-4093-bf78-d5942ee237c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7689da7-651f-49aa-89b2-0746064c56a5}" ma:internalName="TaxCatchAll" ma:showField="CatchAllData" ma:web="a2c24b4c-a19a-4093-bf78-d5942ee237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FBFA4F3B-2708-4731-A0D3-85F4C0631F4E">
  <ds:schemaRefs>
    <ds:schemaRef ds:uri="http://schemas.microsoft.com/office/2006/metadata/properties"/>
    <ds:schemaRef ds:uri="http://schemas.microsoft.com/office/infopath/2007/PartnerControls"/>
    <ds:schemaRef ds:uri="a2c24b4c-a19a-4093-bf78-d5942ee237c3"/>
    <ds:schemaRef ds:uri="fdb186c7-7373-495f-878c-f0f79ab36130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09CE5C4D-344E-4B9A-BACC-B692E5F42C94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9B3B699C-58A5-4E30-B28D-A0EBD2730770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C460D41C-4D86-48AB-A742-517920900E3B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b186c7-7373-495f-878c-f0f79ab36130"/>
    <ds:schemaRef ds:uri="a2c24b4c-a19a-4093-bf78-d5942ee237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www.w3.org/2001/XMLSchema-instan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Souza Lima</dc:creator>
  <cp:keywords/>
  <dc:description/>
  <cp:revision>3058</cp:revision>
  <dcterms:created xsi:type="dcterms:W3CDTF">2023-08-10T03:29:00Z</dcterms:created>
  <dcterms:modified xsi:type="dcterms:W3CDTF">2026-09-11T21:20:15Z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0x0101005A0C7017C8683A4E8D8838A33F67DDC9</vt:lpwstr>
  </property>
  <property fmtid="{D5CDD505-2E9C-101B-9397-08002B2CF9AE}" pid="3" name="Order">
    <vt:r8>61100.000000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  <property fmtid="{D5CDD505-2E9C-101B-9397-08002B2CF9AE}" pid="11" name="docLang">
    <vt:lpwstr>pt</vt:lpwstr>
  </property>
</Properties>
</file>