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p14">
  <w:body>
    <w:p ns2:paraId="71BC7204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0D1BC449" ns2:textId="55C4960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MATRIZ DE PLANEJAMENTO</w:t>
      </w:r>
    </w:p>
    <w:p ns2:paraId="46357FAD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5D2618CF" ns2:textId="6C9D6D25">
      <w:pPr>
        <w:pBdr/>
        <w:spacing w:after="200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QUESTÃO GERAL DE AUDITORIA: Qual é o grau de conformidade das 91 prefeituras municipais jurisdicionadas com os requisitos selecionados da Lei nº 13.709/2018 (LGPD) e o nível de cumprimento das decisões proferidas no Processo TCE-RJ nº 217.899-0/2024, considerando a evolução em relação ao ciclo de 2024?</w:t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Q1: A organização conduziu iniciativas preparatórias de adequação à LGPD, instituiu programa de governança em privacidade e designou formalmente o Encarregado pelo tratamento de dados pessoais (DPO), divulgando seus contatos em seu portal oficial?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conduziu iniciativas para identificar, planejar e executar medidas preparatórias para adequação à LGPD, formalizando plano de ação ou programa de governança em privacidade?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considerou em sua iniciativa de adequação à LGPD os encaminhamentos do Acórdão nº 3931/2025?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nomeou formalmente o Encarregado pelo tratamento de dados pessoais (DPO) e publicou o ato de designação em veículo oficial?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identidade e as informações de contato do Encarregado (nome, e-mail e telefone) estão divulgadas publicamente, em local de fácil acesso, no sítio eletrônico oficial da organização?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R1.1: Devido à ausência de planejamento prévio e de programa estruturado de governança em privacidade, poderá haver inércia ou fragmentação das ações de adequação à LGPD, o que poderá levar ao desperdício de recursos e à desconformidade generalizada, impactando a eficácia da gestão municipal.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R1.2: Devido à ausência de designação formal de Encarregado pelo tratamento de dados pessoais (DPO), poderá não haver interlocutor institucional perante a ANPD e os titulares de dados, o que poderá levar ao descumprimento de prazos e deveres legais, impactando a juridicidade e a transparência do município.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R1.3: Devido à falta de divulgação da identidade e dos canais de contato do Encarregado no portal oficial, poderá haver restrição indevida ao exercício de direitos pelos cidadãos, o que poderá levar à frustração de garantias fundamentais e a representações perante órgãos de controle, impactando a publicidade dos atos administrativos.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pela governança em privacidade e pelo preenchimento do questionário eletrônico de auditoria da LGPD.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pela governança em privacidade e pela gestão dos atos de designação do Encarregado.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Portal institucional oficial de cada prefeitura municipal.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a execução de iniciativas preparatórias, a consideração dos encaminhamentos do Acórdão nº 3931/2025 e a elaboração e o registro do Plano de Ação determinado no item 1.1, acompanhada da comprovação documental do plano e do programa de governança em privacidade; [F1, F2, Q21, Q23, Q24, Q211evi, Q212evi]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ato formal de nomeação do Encarregado de Dados publicado em diário oficial; [F1, F2, Q41[SQ004], Q414evi]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Informação da URL e comprovação da disponibilização pública dos contatos do Encarregado no sítio eletrônico; [F1, F3, Q41[SQ005], Q415]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41, caput — Obrigação expressa do controlador de indicar o encarregado pelo tratamento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art. 41, § 1º — Dever de divulgar publicamente a identidade e as informações de contato do encarregado, de forma clara e objetiva, preferencialmente no sítio eletrônico do controlador.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Resolução CD/ANPD nº 18/2024, arts. 4º e 5º — Regulamento de atuação do encarregado pelo tratamento de dados pessoais, disciplinando a formalização do ato de designação e a ampla divulgação de seus dados de contato nos canais oficiais.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Federal nº 13.709/2018 (LGPD), art. 50, caput e § 2º, I — Implementação de regras de boas práticas e de programa de governança em privacidade que assegure a conformidade das atividades de tratamento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Acórdão nº 3931/2025 do Plenário do TCE-RJ (Processo TCE-RJ nº 217.899-0/2024), Voto do Relator, item 1.1 — Determinação aos jurisdicionados para estruturar, em até 60 dias, as medidas de adequação em Plano de Ação formal registrado em processo administrativo.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nº 3931/2025 do Plenário do TCE-RJ (Processo TCE-RJ nº 217.899-0/2024), Voto do Relator, item 1.2 — Determinação aos jurisdicionados para nomear o encarregado pelo tratamento de dados pessoais e publicar o ato em veículo de comunicação oficial.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nº 3931/2025 do Plenário do TCE-RJ (Processo TCE-RJ nº 217.899-0/2024), Voto do Relator, item 1.3 — Determinação aos jurisdicionados para publicar em seu portal institucional, de forma clara e objetiva, a identidade e informações de contato do encarregado pelo tratamento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Guia do Framework de Privacidade e Segurança da Informação — PPSI 2.0, medida 0.10 — Orienta instituir e implementar Programa de Governança em Privacidade com ações, políticas, normas, procedimentos, papéis, responsabilidades, prazos, controles, indicadores e revisão periódica.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Guia do Framework de Privacidade e Segurança da Informação — PPSI 2.0, medida 0.4 — Orienta designar formalmente o Encarregado pelo tratamento de dados pessoais e respectivo substituto.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Guia do Framework de Privacidade e Segurança da Informação — PPSI 2.0, medida 21.4 — Orienta divulgar publicamente e manter atualizadas a identidade e as informações de contato do Encarregado e de seu substituto, em local de destaque e fácil acesso no sítio eletrônico.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nas respostas às questões Q21, Q23 e Q24 se a organização declarou ter realizado iniciativas preparatórias, elaborado plano de ação ou programa de governança em privacidade, considerado os encaminhamentos aplicáveis do Acórdão nº 3931/2025 e elaborado e registrado o Plano de Ação no prazo determinado;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P1.1: Examinar os documentos submetidos nos itens Q211evi e Q212evi para avaliar sua autenticidade aparente, aprovação, vigência e aderência mínima ao escopo declarado, incluindo ações, responsáveis e prazos para adequação à LGPD;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 resposta à questão Q41[SQ004] se a organização declarou ter designado formalmente o Encarregado pelo tratamento de dados pessoais;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P2.1: Examinar o documento submetido no item Q414evi para confirmar a existência, validade, autoridade signatária, vigência e publicação oficial do ato de designação do Encarregado;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 na resposta à questão Q41[SQ005] se a organização declarou divulgar publicamente a identidade e os canais de contato do Encarregado;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P3.1: Inspecionar o endereço eletrônico informado no item Q415 para confirmar a disponibilidade, clareza, atualidade e facilidade de acesso à identidade e aos canais de contato do Encarregado; [IR3]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das respostas às questões Q21, Q23 e Q24 sobre iniciativas preparatórias, plano de ação, programa de governança em privacidade, consideração dos encaminhamentos do Acórdão nº 3931/2025 e elaboração e registro do Plano de Ação determinado no item 1.1;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E1.1: Resultado da análise dos documentos Q211evi e Q212evi, com registro de existência, aprovação, vigência, conteúdo mínimo e eventuais inconsistências com a declaração; [P1.1]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 resposta à questão Q41[SQ004] sobre a designação formal do Encarregado;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E2.1: Resultado da análise do ato Q414evi, com registro de validade, autoridade signatária, vigência, publicação e eventuais inconsistências com a declaração; [P2.1]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Registro da resposta à questão Q41[SQ005] sobre a divulgação pública da identidade e dos contatos do Encarregado;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E3.1: Registro da inspeção do endereço Q415, incluindo disponibilidade da página, conteúdo publicado, atualidade e facilidade de acesso; [P3.1]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Deficiência na preparação institucional em privacidade.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plano de ação ou de programa estruturado de governança em privacidade para direcionar a adequação à LGPD. [R1.1, P1, P1.1, E1, E1.1, C4, C5, C8];</w:t>
            </w:r>
          </w:p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irregularidade na atuação do Encarregado pelo tratamento de dados pessoais.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designação formal de Encarregado pelo tratamento de dados pessoais (DPO) publicada em veículo oficial. [R1.2, P2, P2.1, E2, E2.1, C1, C3, C6, C9];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divulgação pública da identidade e dos canais de contato do Encarregado no sítio eletrônico oficial. [R1.3, P3, P3.1, E3, E3.1, C2, C3, C7, C10];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Q2: A organização instituiu formalmente políticas de proteção de dados, segurança da informação e classificação da informação, e promoveu capacitação e conscientização periódica de seus colaboradores?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instituiu formalmente e mantém atualizadas sua Política de Proteção de Dados Pessoais, Política de Segurança da Informação (PSI) e Política de Classificação da Informação?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As políticas de classificação da informação contemplam regras específicas sobre dados pessoais sensíveis e dados de crianças e de adolescentes?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possui plano de capacitação e realizou ações de treinamento em proteção de dados pessoais para seus colaboradores, abordando de forma integrada a transparência da gestão (LAI)?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R2.1: Devido à ausência de políticas institucionais formalizadas (proteção de dados, PSI e classificação), poderá não haver diretrizes operacionais claras para os servidores, o que poderá levar a práticas inadequadas de tratamento e manuseio indevido de dados, impactando a conformidade legal e a integridade informacional.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R2.2: Devido à omissão de regras de classificação sobre dados pessoais sensíveis e de crianças/adolescentes, poderá haver exposição indevida de dados hipervulneráveis, o que poderá levar a graves violações de direitos, impactando a responsabilidade civil do município.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R2.3: Devido à falta de capacitação periódica e conscientização dos colaboradores, poderá haver erros operacionais no manuseio diário de dados de cidadãos, o que poderá levar a incidentes de segurança e vazamentos acidentais, impactando a confiança da sociedade na gestão pública.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pela governança em privacidade, segurança da informação e capacitação de pessoal.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pela edição e custódia das políticas institucionais e dos registros de capacitação.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Respostas sobre a formalização e a publicação da Política de Proteção de Dados Pessoais, acompanhadas do ato formal comprobatório; [F1, F2, Q41[SQ003], Q417, Q411evi]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Respostas sobre a formalização e a publicação da PSI e sobre a formalização da Política de Classificação da Informação, acompanhadas dos atos formais comprobatórios; [F1, F2, Q41[SQ001], Q416, Q41[SQ002], Q412evi, Q413evi]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Resposta, declaração de maturidade e Plano de Capacitação em proteção de dados e LAI; [F1, F2, Q51, Q511evi, Q52]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50, § 2º, I, "a" — Formulação de regras de boas práticas e de governança que contemplem políticas institucionais de proteção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arts. 46 e 47 — Dever dos agentes de tratamento de adotar medidas de segurança, técnicas e administrativas aptas a proteger dados pessoais, expedindo normas internas de segurança e governança.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Federal nº 13.709/2018 (LGPD), art. 50, § 2º, I, "c" — Realização de ações educativas, mecanismos internos de supervisão e capacitação permanente de colaboradores sobre proteção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nº 3931/2025 do Plenário do TCE-RJ (Processo TCE-RJ nº 217.899-0/2024), Voto do Relator, item 1.6 — Determinação aos jurisdicionados para elaborar, aprovar e publicar sua Política de Proteção de Dados Pessoais (PPDP), observando as melhores práticas do PPSI do Governo Federal e da ABNT NBR ISO/IEC 27701:2019, em especial a cláusula 5.3.2 e a cláusula 6.2.1.1.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Acórdão nº 3931/2025 do Plenário do TCE-RJ (Processo TCE-RJ nº 217.899-0/2024), Voto do Relator, item 1.5 — Determinação aos jurisdicionados para elaborar, aprovar e publicar a Política de Segurança da Informação (PSI), dispondo de princípios, diretrizes, procedimentos, responsabilidades e controles de segurança.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nº 3931/2025 do Plenário do TCE-RJ (Processo TCE-RJ nº 217.899-0/2024), Voto do Relator, item 1.14 — Recomendação aos jurisdicionados para instituir formalmente e manter atualizada Política de Classificação da Informação que aborde dados sensíveis e dados de crianças e de adolescentes.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nº 3931/2025 do Plenário do TCE-RJ (Processo TCE-RJ nº 217.899-0/2024), Voto do Relator, item 1.13 — Recomendação aos jurisdicionados para avaliar a oportunidade e conveniência de elaborar plano de capacitação e desenvolver ações contínuas de capacitação e conscientização em proteção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Guia do Framework de Privacidade e Segurança da Informação — PPSI 2.0, medida 0.12 — Orienta instituir e implementar Política de Proteção de Dados Pessoais que estabeleça diretrizes, papéis e responsabilidades, seja divulgada e passe por revisão periódica ou quando houver mudanças significativas.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ABNT NBR ISO/IEC 27701:2019, cláusula 5.3.2 e cláusula 6.2.1.1 — Requer que a política do sistema de gestão da segurança da informação seja estendida por declarações pertinentes à proteção de informações de identificação pessoal e que as políticas de segurança contemplem os requisitos de privacidade aplicáveis.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ABNT NBR ISO/IEC 27002:2022, controle 5.1, controle 5.12 e controle 6.3 — Orienta a definição e revisão das políticas de segurança da informação, a classificação da informação segundo as necessidades de proteção e a realização periódica de conscientização, educação e treinamento em segurança da informação.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Guia do Framework de Privacidade e Segurança da Informação — PPSI 2.0, medida 0.11 — Orienta instituir e implementar Política de Segurança da Informação formalmente aprovada pela autoridade máxima, com diretrizes, responsabilidades e competências, e revisá-la periodicamente ou diante de mudanças significativas.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Guia do Framework de Privacidade e Segurança da Informação — PPSI 2.0, medida 3.7 — Orienta estabelecer e manter esquema de classificação de dados baseado na criticidade, com critérios específicos e revisão anual ou diante de mudanças significativas.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Guia do Framework de Privacidade e Segurança da Informação — PPSI 2.0, medidas 20.2 e 20.3 — Orienta manter programa contínuo de conscientização em privacidade e proteção de dados pessoais e incluir, nos instrumentos de desenvolvimento de pessoas, necessidades de capacitação adequadas às funções exercidas.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nas respostas às questões Q41[SQ003] e Q417 se a organização declarou ter formalizado e publicado sua Política de Proteção de Dados Pessoais;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P1.1: Examinar o documento submetido no item Q411evi para avaliar sua autenticidade aparente, aprovação, vigência, publicação, escopo institucional e conteúdo mínimo de proteção de dados pessoais;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nas respostas às questões Q41[SQ001], Q416 e Q41[SQ002] se a organização declarou ter instituído e publicado a Política de Segurança da Informação e instituído a Política de Classificação da Informação;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P2.1: Examinar os documentos submetidos nos itens Q412evi e Q413evi para avaliar aprovação, vigência, publicação, responsabilidades, controles de segurança e regras de classificação aplicáveis a dados pessoais sensíveis e a dados de crianças e adolescentes;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 nas respostas às questões Q51 e Q52 se a organização declarou possuir plano de capacitação e realizar treinamentos que integrem proteção de dados pessoais e transparência;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P3.1: Examinar o documento submetido no item Q511evi para avaliar aprovação, vigência, público-alvo, conteúdo programático e periodicidade prevista das ações de capacitação; [IR3]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das respostas às questões Q41[SQ003] e Q417 sobre a formalização e a publicação da Política de Proteção de Dados Pessoais;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E1.1: Resultado da análise da política Q411evi, com registro de aprovação, vigência, publicação, conteúdo mínimo e eventuais inconsistências com a declaração; [P1.1]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das respostas às questões Q41[SQ001], Q416 e Q41[SQ002] sobre a instituição e a publicação da PSI e a instituição da Política de Classificação da Informação;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E2.1: Resultado da análise das políticas Q412evi e Q413evi, com registro de formalização, conteúdo mínimo e eventuais inconsistências com as declarações; [P2.1]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Registro das respostas às questões Q51 e Q52 sobre o plano de capacitação e os treinamentos realizados;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E3.1: Resultado da análise do plano Q511evi, com indicação de aprovação, vigência, abrangência temática, público-alvo, periodicidade e eventuais inconsistências com a declaração; [P3.1]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insuficiência de políticas normativas institucionais e carência de capacitação periódica de servidores em proteção de dados pessoais.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formalização e publicação de Política de Proteção de Dados Pessoais no âmbito da administração municipal. [R2.1, P1, P1.1, E1, E1.1, C1, C4, C8, C9];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Inexistência de Política de Segurança da Informação (PSI) ou de Política de Classificação da Informação formalmente instituídas. [R2.1, R2.2, P2, P2.1, E2, E2.1, C2, C5, C6, C10, C11, C12];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plano de capacitação e de ações periódicas de conscientização de servidores em proteção de dados pessoais e transparência pública. [R2.3, P3, P3.1, E3, E3.1, C3, C7, C10, C13];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Q3: A organização identificou seus processos de negócio com dados pessoais, documentou finalidades e bases legais e instituiu Inventário de Dados Pessoais e Registro das Operações de Tratamento (ROPA)?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realizou levantamento dos processos de negócio que realizam tratamento de dados pessoais, identificando dados tratados, responsáveis e locais de armazenamento?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identificou e documentou as finalidades públicas legítimas e as bases legais que autorizam cada operação de tratamento de dados pessoais?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instituiu e mantém atualizado Inventário de Dados Pessoais abrangendo suas principais atividades de tratamento?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mantém Registro das Operações de Tratamento de Dados Pessoais (ROPA), na forma exigida pelo art. 37 da LGPD?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avaliou se a coleta de dados pessoais e o tempo de retenção/armazenamento estão limitados ao estritamente necessário (princípios da necessidade e minimização)?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R3.1: Devido à falta de mapeamento dos processos de negócio e dos locais de armazenamento, a organização desconhecerá o ciclo de vida das informações, o que poderá levar ao extravio de dados ou acessos indevidos, impactando o controle patrimonial da informação municipal.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R3.2: Devido à ausência de enquadramento formal nas bases legais da LGPD, poderão ocorrer operações ilegítimas de tratamento de dados de cidadãos, o que poderá levar à anulação de atos administrativos e à responsabilização do gestor, impactando a segurança jurídica.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R3.3: Devido à inexistência de Inventário de Dados Pessoais e de Registro das Operações (ROPA), a prefeitura não demonstrará conformidade à fiscalização e descumprirá dever legal expresso, o que poderá levar a sanções regulatórias da ANPD e determinações do TCE-RJ, impactando a governança.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R3.4: Devido à inobservância dos princípios da minimização e limitação de retenção, poderá haver acúmulo desnecessário de dados obsoletos, o que poderá levar ao aumento desnecessário da superfície de risco de vazamentos, impactando a segurança institucional.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pelos processos de negócio e pela governança em privacidade.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pelo Inventário de Dados Pessoais e pelo Registro das Operações de Tratamento.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e registros sobre iniciativas de identificação de processos, dados tratados e locais de armazenamento; [F1, F2, Q31[SQ006], Q31[SQ007], Q31[SQ008]]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sobre documentação de finalidades, minimização, retenção e bases legais; [F1, Q61[SQ001], Q61[SQ002], Q61[SQ003], Q61[SQ004]]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e documento comprobatório do Inventário de Dados Pessoais; [F1, F2, Q61[SQ005], Q61[SQ006], Q612evi]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a manutenção de Registro das Operações de Tratamento (ROPA); [F1, Q61[SQ007]]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37 — Obrigação legal do controlador e do operador de manter registro das operações de tratamento de dados pessoais que realizarem (ROPA).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arts. 6º, I e III, 7º, III, e 11, II, "b" — Princípios da finalidade e da necessidade (minimização), e hipóteses legais que autorizam o tratamento pelo poder público para execução de políticas públicas e cumprimento de obrigação legal.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Federal nº 13.709/2018 (LGPD), art. 50, § 2º, I — Programa de governança em privacidade que assegure a conformidade e a estruturação de inventários de dados e registros operacionais.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nº 3931/2025 do Plenário do TCE-RJ (Processo TCE-RJ nº 217.899-0/2024), Voto do Relator, item 1.4 — Determinação aos jurisdicionados para elaborar e manter Inventário de Dados Pessoais constando minimamente: serviços/processos de negócio; encarregado e agentes; finalidades, hipóteses de tratamento e previsões legais; categorias de dados e titulares; e compartilhamento com terceiros.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Guia do Framework de Privacidade e Segurança da Informação — PPSI 2.0, medidas 19.1 a 19.4 — Orienta manter processo documentado e periodicamente atualizado para registrar as operações de tratamento, contemplando fluxos, fontes, finalidades, hipóteses legais, retenção, soluções tecnológicas, agentes, compartilhamentos, transferências internacionais, tipos de dados e categorias de titulares.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Guia do Framework de Privacidade e Segurança da Informação — PPSI 2.0, medidas 23.1, 23.2, 25.1 e 25.3 — Orienta analisar e documentar a finalidade pública e as hipóteses legais de cada tratamento e limitar os dados pessoais ao estritamente necessário para as finalidades legítimas, específicas e explícitas.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nas respostas aos itens Q31[SQ006], Q31[SQ007] e Q31[SQ008] se a organização declarou ter identificado os processos de negócio, os dados pessoais tratados e os locais de armazenamento;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P1.1: Examinar o Inventário de Dados Pessoais submetido no item Q612evi para avaliar se identifica processos, dados tratados, responsáveis e locais de armazenamento de forma compatível com as declarações;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nas respostas aos itens Q61[SQ001] a Q61[SQ004] se a organização declarou ter documentado as finalidades públicas e as bases legais e avaliado a minimização e o tempo de retenção;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 nas respostas aos itens Q61[SQ005] e Q61[SQ006] se a organização declarou possuir e manter atualizado o Inventário de Dados Pessoais;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P3.1: Examinar o documento submetido no item Q612evi para avaliar aprovação, vigência, atualização e abrangência quanto a processos, finalidades, bases legais, categorias de dados e titulares, responsáveis, armazenamento e compartilhamentos;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 na resposta ao item Q61[SQ007] se a organização declarou manter formalmente o Registro das Operações de Tratamento (ROPA); [IR4]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das respostas aos itens Q31[SQ006], Q31[SQ007] e Q31[SQ008] sobre processos, dados tratados e locais de armazenamento;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E1.1: Resultado do exame do Inventário Q612evi quanto à identificação dos processos, dados, responsáveis e locais de armazenamento e à consistência com as declarações; [P1.1]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das respostas aos itens Q61[SQ001] a Q61[SQ004] sobre finalidades, bases legais, minimização e tempo de retenção;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Registro das respostas aos itens Q61[SQ005] e Q61[SQ006] sobre existência e atualização do Inventário de Dados Pessoais;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E3.1: Resultado da análise do documento Q612evi, com registro de aprovação, vigência, atualização, abrangência e eventuais inconsistências com as declarações; [P3.1]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Registro da resposta ao item Q61[SQ007] sobre a manutenção formal do ROPA; [P4]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mapeamento das atividades de tratamento, inexistência de Inventário de Dados Pessoais e descumprimento da manutenção do Registro das Operações (ROPA).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Inexistência de Inventário de Dados Pessoais instituído para consolidar as características das atividades de tratamento. [R3.1, R3.3, P1, P1.1, P3, P3.1, E1, E1.1, E3, E3.1, C3, C4, C5];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identificação e documentação das finalidades e das bases legais para as atividades de tratamento de dados pessoais. [R3.2, P2, E2, C2, C4, C6];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manutenção de Registro das Operações de Tratamento de Dados Pessoais (ROPA), em descumprimento ao art. 37 da LGPD. [R3.3, P4, E4, C1, C4, C5];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Q4: A organização avaliou os riscos aos processos de tratamento e elaborou Relatório de Impacto à Proteção de Dados Pessoais (RIPD)?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conduziu iniciativas para identificar e avaliar os riscos associados aos processos de tratamento de dados pessoais?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elaborou Relatório de Impacto à Proteção de Dados Pessoais (RIPD), nos termos do art. 5º, XVII, e art. 38 da LGPD?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Foram implementados controles mitigadores para os riscos identificados por meio da elaboração do RIPD?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R4.1: Devido à ausência de identificação e avaliação de riscos aos processos de tratamento, vulnerabilidades críticas permanecerão ocultas, o que poderá levar à materialização de incidentes graves, impactando a continuidade dos serviços públicos municipais.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R4.2: Devido à falta de elaboração de Relatório de Impacto à Proteção de Dados (RIPD), tratamentos de alto risco e dados sensíveis serão executados sem salvaguardas adequadas, o que poderá levar a sanções por descumprimento ao art. 38 da LGPD, impactando a conformidade legal.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R4.3: Devido à não implementação de controles mitigadores dos riscos identificados no RIPD, as análises de risco restarão inócuas, o que poderá levar à repetição de falhas conhecidas, impactando a proteção efetiva dos titulares.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pela gestão de riscos e pela governança em privacidade.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pela gestão dos riscos à privacidade, pela implementação dos controles mitigadores e pela elaboração e custódia dos Relatórios de Impacto à Proteção de Dados Pessoais.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e registros sobre a condução de iniciativas de identificação e avaliação de riscos a processos de tratamento; [F1, F2, Q31[SQ009], Q311evi]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documento comprobatório de Relatório de Impacto à Proteção de Dados Pessoais (RIPD); [F1, F2, Q61[SQ008], Q611evi]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e registros sobre a implementação de controles para mitigar riscos identificados no RIPD; [F1, F2, Q61[SQ009], Q613evi]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5º, XVII, e art. 38, parágrafo único — Definição e obrigatoriedade de elaboração do Relatório de Impacto à Proteção de Dados Pessoais (RIPD) para operações de tratamento de dados que possam gerar riscos às liberdades civis e direitos fundamentais.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art. 50, caput — Governança e gerenciamento contínuo de riscos no tratamento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nº 3931/2025 do Plenário do TCE-RJ (Processo TCE-RJ nº 217.899-0/2024), Voto do Relator, item 1.9 — Determinação aos jurisdicionados para elaborar Relatório de Impacto à Proteção de Dados Pessoais (RIPD), conforme disposto no art. 5º, XVII, e art. 38, parágrafo único, da LGPD, em consonância com as atividades registradas no Inventário de Dados Pessoais.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ABNT NBR ISO/IEC 27701:2019, cláusula 5.4.1.2, cláusula 5.4.1.3 e cláusula 7.2.5 — Requer avaliação e tratamento dos riscos de segurança da informação relacionados à privacidade e avaliação de impacto à privacidade para novos tratamentos ou alterações em tratamentos existentes de informações de identificação pessoal.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Guia do Framework de Privacidade e Segurança da Informação — PPSI 2.0, medida 0.17 — Orienta estabelecer, manter, revisar e atualizar processo documentado de gestão de riscos relacionados às operações de tratamento de dados pessoais, incluindo medidas técnicas e administrativas testadas e avaliadas.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Guia do Framework de Privacidade e Segurança da Informação — PPSI 2.0, medidas 23.3 e 25.8 — Orienta avaliar os tratamentos que possam gerar riscos às liberdades civis e aos direitos fundamentais, elaborar o RIPD com os elementos mínimos aplicáveis e implementar salvaguardas e mecanismos de mitigação dos riscos identificados.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 resposta à questão Q31[SQ009] se a organização declarou ter identificado e avaliado os riscos associados aos processos de tratamento de dados pessoais;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P1.1: Examinar as matrizes, os relatórios ou os registros de riscos submetidos no item Q311evi para avaliar escopo, metodologia, identificação, análise, avaliação, responsáveis e consistência com a declaração;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 resposta à questão Q61[SQ008] se a organização declarou ter elaborado Relatório de Impacto à Proteção de Dados Pessoais;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P2.1: Examinar o documento submetido no item Q611evi para avaliar autenticidade aparente, aprovação, vigência, vinculação às operações inventariadas e presença dos elementos mínimos do RIPD;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 na resposta à questão Q61[SQ009] se a organização declarou ter implementado controles para mitigar os riscos identificados no RIPD;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P3.1: Examinar os planos de tratamento e os registros de implantação e monitoramento submetidos no item Q613evi para avaliar a implementação, o responsável, o prazo, o estado e a efetividade documentada dos controles mitigadores; [IR3]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 resposta à questão Q31[SQ009] sobre identificação e avaliação dos riscos associados aos tratamentos;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E1.1: Resultado do exame do documento Q311evi, com indicação de escopo, metodologia, completude e eventuais inconsistências com a declaração; [P1.1]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 resposta à questão Q61[SQ008] sobre elaboração do RIPD;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E2.1: Resultado da análise do documento Q611evi, com registro de aprovação, vigência, operações abrangidas, conteúdo mínimo e eventuais inconsistências com a declaração; [P2.1]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Registro da resposta à questão Q61[SQ009] sobre implementação dos controles mitigadores;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E3.1: Resultado da análise do documento Q613evi, incluindo responsáveis, prazos, estado e efetividade documentada dos controles; [P3.1]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gestão de riscos à privacidade.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iniciativas formais para identificação e avaliação dos riscos associados aos processos de tratamento de dados pessoais. [R4.1, P1, P1.1, E1, E1.1, C2, C4, C5];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elaboração de Relatório de Impacto à Proteção de Dados Pessoais (RIPD) para as atividades de tratamento cabíveis. [R4.2, R4.3, P2, P2.1, P3, P3.1, E2, E2.1, E3, E3.1, C1, C3, C4, C6];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Q5: A organização elaborou e divulga Política de Privacidade em seu sítio oficial e implementou mecanismos eficazes para atender aos direitos dos titulares de dados pessoais?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elaborou e divulga em seu sítio eletrônico institucional Política de Privacidade (ou instrumento similar) clara e acessível?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Foram implementados mecanismos e procedimentos operacionais para atender os direitos dos titulares previstos nos arts. 9º e 18 da LGPD aplicáveis à organização?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R5.1: Devido à falta de publicação de Política ou Aviso de Privacidade nos canais eletrônicos, os titulares de dados desconhecerão as finalidades e regras de tratamento, o que poderá levar à violação do princípio da transparência pública, impactando a publicidade dos serviços digitais municipais.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R5.2: Devido à inexistência de mecanismos formais de atendimento às requisições dos titulares, os cidadãos enfrentarão obstáculos para exercer seus direitos fundamentais (acesso, retificação, eliminação), o que poderá levar a representações judiciais e perante a ANPD, impactando a segurança jurídica municipal.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pela governança em privacidade e pelo atendimento aos direitos dos titulares.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pela edição e custódia da Política de Privacidade.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Portal institucional oficial de cada prefeitura municipal.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Resposta, declaração de divulgação e documento anexado da Política de Privacidade; [F1, F2, F3, Q71, Q711evi]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Resposta, procedimentos e detalhamento dos mecanismos implementados para atender aos direitos dos titulares; [F1, F2, F3, Q72, Q721evi]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6º, VI, e art. 9º — Princípio da transparência e direito do titular ao acesso facilitado e claro sobre as informações de tratamento de dados (finalidades, forma e duração, identificação do controlador, compartilhamento e direitos).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art. 18 — Rol de direitos dos titulares de dados pessoais e dever de atendimento facilitado, gratuito e em prazo razoável pelo controlador.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nº 3931/2025 do Plenário do TCE-RJ (Processo TCE-RJ nº 217.899-0/2024), Voto do Relator, item 1.7 — Determinação aos jurisdicionados para instituir formalmente, manter atualizada e divulgar em seu portal institucional sua Política de Privacidade, contemplando finalidades, duração, dados de contato do controlador, compartilhamentos e direitos do titular.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nº 3931/2025 do Plenário do TCE-RJ (Processo TCE-RJ nº 217.899-0/2024), Voto do Relator, item 1.8 — Determinação aos jurisdicionados para implementar mecanismos para atender a todos os direitos dos titulares relacionados no art. 18 da LGPD.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Guia do Framework de Privacidade e Segurança da Informação — PPSI 2.0, medida 25.6 — Orienta assegurar aos titulares informações claras, precisas e facilmente acessíveis sobre os tratamentos, mediante instrumentos de transparência em privacidade adequados ao público-alvo e com o conteúdo mínimo aplicável.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Guia do Framework de Privacidade e Segurança da Informação — PPSI 2.0, medidas 21.2 e 21.3 — Orienta disponibilizar meios céleres, eficazes e adequados de comunicação com o Encarregado e estabelecer processo documentado, com papéis, responsabilidades, prazos e requisitos, para atendimento aos direitos dos titulares.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 resposta da questão Q71 se a organização declarou ter elaborado e divulgado sua Política de Privacidade no sítio eletrônico institucional;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P1.1: Examinar o documento submetido no item Q711evi para avaliar aprovação, vigência, clareza, acessibilidade e conteúdo mínimo sobre finalidades, duração do tratamento, controlador, compartilhamentos e direitos dos titulares;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P1.2: Inspecionar o portal institucional da prefeitura para confirmar a publicação, atualidade, integridade e facilidade de acesso à Política de Privacidade declarada;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 resposta da questão Q72 se a organização declarou ter implementado mecanismos para atendimento aos direitos dos titulares previstos nos arts. 9º e 18 da LGPD;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P2.1: Examinar o procedimento ou fluxo submetido no item Q721evi e inspecionar os canais divulgados no portal institucional para avaliar quais direitos podem ser exercidos, as formas de autenticação, o encaminhamento das solicitações, a gratuidade e o acompanhamento dos pedidos; [IR2]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 resposta da questão Q71 sobre elaboração e divulgação da Política de Privacidade;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E1.1: Resultado da análise da política Q711evi, com registro de aprovação, vigência, clareza, acessibilidade, conteúdo mínimo e eventuais inconsistências com a declaração; [P1.1]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E1.2: Registro da inspeção do portal institucional, incluindo endereço, data de acesso, disponibilidade, conteúdo publicado e facilidade de localização da política; [P1.2]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 resposta da questão Q72 sobre os mecanismos de atendimento aos direitos dos titulares;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E2.1: Resultado do exame do documento Q721evi e da inspeção dos canais de atendimento, com indicação dos direitos atendidos, formas de autenticação, fluxo, gratuidade e eventuais inconsistências com a declaração; [P2.1]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Falta de transparência ativa em privacidade e ausência ou precariedade de mecanismos para atendimento aos direitos dos titulares de dados pessoais.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elaboração ou falta de divulgação pública de Política de Privacidade no sítio eletrônico institucional da prefeitura. [R5.1, P1, P1.1, P1.2, E1, E1.1, E1.2, C1, C3, C5];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ou incompletude de mecanismos implementados para atendimento às requisições e direitos dos titulares de dados pessoais. [R5.2, P2, P2.1, E2, E2.1, C2, C4, C6];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Q6: A organização implementou medidas técnicas e administrativas a fim de assegurar a segurança da informação e privacidade?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implementou processo formal de registro, cancelamento e provisionamento de usuários?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utiliza criptografia de ponta a ponta (dados em trânsito)?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utiliza firewall de aplicação ou de rede e mecanismos de proteção do correio eletrônico contra spam, conteúdo malicioso e códigos maliciosos?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elaborou e mantém atualizado Plano de Resposta a Incidentes de Segurança?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estabeleceu procedimentos para comunicar à ANPD e aos titulares os incidentes de violação de dados pessoais?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A organização adequou seus instrumentos contratuais com operadores de TI e provedores de computação em nuvem, prevendo salvaguardas de sigilo e responsabilidades pela proteção de dados?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R6.1: Devido à falta de controle formal de acessos e ausência de logs de auditoria, acessos indevidos passarão despercebidos, o que poderá levar ao vazamento e alteração ilícita de dados de cidadãos, impactando a confidencialidade e a integridade da administração pública.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R6.2: Devido à inexistência de Plano de Resposta a Incidentes e fluxo de comunicação formal, violações de segurança não serão contidas tempestivamente, o que poderá levar à ampliação dos danos causados aos titulares e a severas penalidades administrativas, impactando a continuidade dos serviços públicos.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R6.3: Devido à ausência de cláusulas de proteção de dados em contratos com operadores terceirizados de TI e provedores de computação em nuvem, o ente público perderá o controle sobre seus ativos informacionais, o que poderá levar ao uso indevido de dados por terceiros, impactando a governança contratual.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2259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3172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5471" w:type="dxa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2684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4080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4702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2259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pela tecnologia da informação, segurança da informação, privacidade e gestão contratual.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Unidades administrativas das prefeituras responsáveis pela elaboração e custódia do Plano de Resposta a Incidentes e dos contratos de serviços de tecnologia.</w:t>
            </w:r>
          </w:p>
        </w:tc>
        <w:tc>
          <w:tcPr>
            <w:tcBorders/>
            <w:tcW w:w="3172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processo formal de concessão de acessos, logs, uso de criptografia, firewall de aplicação ou de rede e proteção do correio eletrônico; [F1, Q101[SQ002], Q101[SQ003], Q101[SQ004], Q101[SQ005], Q101[SQ010], Q101[SQ011]]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documento do Plano de Resposta a Incidentes de Segurança com dados pessoais; [F1, F2, Q91[SQ001], Q911evi]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procedimento de notificação de incidentes à ANPD e aos titulares; [F1, Q91[SQ005]]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e instrumentos contratuais sobre a adequação dos ajustes com operadores de TI e provedores de nuvem; [F1, F2, Q31[SQ005], Q312evi, Q812[SQ001], Q812[SQ004], Q8121evi]</w:t>
            </w:r>
          </w:p>
        </w:tc>
        <w:tc>
          <w:tcPr>
            <w:tcBorders/>
            <w:tcW w:w="5471" w:type="dxa"/>
            <w:vAlign w:val="center"/>
          </w:tcPr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Federal nº 13.709/2018 (LGPD), art. 46 — Adoção de medidas de segurança, técnicas e administrativas aptas a proteger os dados pessoais de acessos não autorizados e de situações acidentais ou ilícitas.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Federal nº 13.709/2018 (LGPD), art. 48 — Comunicação obrigatória à ANPD e aos titulares sobre a ocorrência de incidentes de segurança que possam acarretar risco ou dano relevante.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Resolução CD/ANPD nº 15/2024, arts. 3º a 7º — Regulamento de Comunicação de Incidentes de Segurança, disciplinando prazos regulamentares (3 dias úteis), requisitos e obrigações do controlador na notificação à ANPD e aos titulares afetados.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Federal nº 13.709/2018 (LGPD), art. 50, § 2º, I, "g" — Plano de resposta a incidentes e remediação como componente obrigatório do programa de governança em privacidade.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Lei Federal nº 13.709/2018 (LGPD), arts. 39 e 42 — Responsabilidades legais do operador e dever de observância às instruções e salvaguardas contratuais pactuadas com o controlador.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Guia do Framework de Privacidade e Segurança da Informação — PPSI 2.0, medidas 6.1, 6.2, 8.1 e 8.2 — Orienta estabelecer processos de concessão e revogação de acessos e processo de gestão de logs que abranja coleta, revisão, armazenamento e habilitação dos registros nos ativos e nas soluções de software aplicáveis.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Guia do Framework de Privacidade e Segurança da Informação — PPSI 2.0, medidas 17.4 e 20.1 — Orienta manter processo documentado de gestão de incidentes de segurança e de incidentes com dados pessoais, com funções, responsabilidades, fluxo de tratamento, registro de evidências, plano de resposta e comunicação à ANPD e aos titulares quando cabível.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Acórdão nº 3931/2025 do Plenário do TCE-RJ (Processo TCE-RJ nº 217.899-0/2024), Voto do Relator, item 1.10 — Determinação aos jurisdicionados para instituir formalmente e manter atualizado Plano de Resposta a Incidentes, conforme disposto no art. 48 e art. 50, § 2º, I, "g", da LGPD.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Acórdão nº 3931/2025 do Plenário do TCE-RJ (Processo TCE-RJ nº 217.899-0/2024), Voto do Relator, item 1.11 — Determinação aos jurisdicionados para estabelecer procedimento alinhado ao Plano de Resposta a Incidentes para comunicar violações de dados à ANPD e aos titulares, em atendimento ao art. 48 da LGPD e à Resolução CD/ANPD nº 15/2024.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Acórdão nº 3931/2025 do Plenário do TCE-RJ (Processo TCE-RJ nº 217.899-0/2024), Voto do Relator, item 1.15 — Recomendação aos jurisdicionados para adoção de processo formal de registro e cancelamento de usuários, criptografia TLS/HTTPS ou de ponta a ponta, firewall de aplicação ou de rede e proteção do correio eletrônico por antispam, filtros de conteúdo e antimalware.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Guia do Framework de Privacidade e Segurança da Informação — PPSI 2.0, medidas 15.4, 22.1 e 22.4 — Orienta incluir, nos contratos com provedores e agentes de tratamento, requisitos de segurança, papéis, responsabilidades e salvaguardas de proteção de dados, bem como revisar e adaptar os instrumentos vigentes.</w:t>
            </w:r>
          </w:p>
          <w:p ns2:paraId="2667BB09" ns2:textId="2C1623C1">
            <w:pPr>
              <w:pStyle w:val="1010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ABNT NBR ISO/IEC 27002:2022, controle 5.15, controle 5.16, controle 5.18, controles 5.24 a 5.27, controle 8.15 e controle 8.24 — Orienta a implementação do controle de acesso, da gestão de identidades e direitos de acesso, do registro de eventos, do uso de criptografia e da gestão de incidentes de segurança da informação.</w:t>
            </w:r>
          </w:p>
        </w:tc>
        <w:tc>
          <w:tcPr>
            <w:tcBorders/>
            <w:tcW w:w="2684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 nas respostas aos itens Q101[SQ002] a Q101[SQ005], Q101[SQ010] e Q101[SQ011] se a organização declarou possuir processo formal de concessão de acessos, logs de sistemas, uso de criptografia, firewall de aplicação ou de rede e proteção do correio eletrônico;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 na resposta ao item Q91[SQ001] se a organização declarou ter formalizado Plano de Resposta a Incidentes de Segurança com violação de dados pessoais;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P2.1: Examinar o documento submetido no item Q911evi para avaliar aprovação, vigência, papéis e responsabilidades, critérios de gravidade, fluxos de detecção, contenção, comunicação e recuperação e periodicidade de revisão e testes;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 na resposta ao item Q91[SQ005] se a organização declarou possuir procedimentos padronizados para notificar a ANPD e os titulares em caso de incidentes relevantes;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 nas respostas aos itens Q31[SQ005], Q812[SQ001] e Q812[SQ004] se a organização declarou ter adequado os contratos firmados com operadores de TI e provedores de computação em nuvem; [IR4]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P4.1: Examinar os instrumentos contratuais submetidos nos itens Q312evi e Q8121evi para avaliar a existência de cláusulas sobre objeto e finalidade do tratamento, instruções do controlador, confidencialidade, medidas de segurança, subcontratação, comunicação de incidentes, devolução ou eliminação dos dados e responsabilidades das partes; [IR4]</w:t>
            </w:r>
          </w:p>
        </w:tc>
        <w:tc>
          <w:tcPr>
            <w:tcBorders/>
            <w:tcW w:w="4080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Registro das respostas aos itens Q101[SQ002] a Q101[SQ005], Q101[SQ010] e Q101[SQ011] sobre controle de acessos, logs de sistemas, uso de criptografia, firewall de aplicação ou de rede e proteção do correio eletrônico;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Registro da resposta ao item Q91[SQ001] sobre a formalização do Plano de Resposta a Incidentes;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E2.1: Resultado da análise do plano Q911evi, com registro de aprovação, vigência, conteúdo mínimo e eventuais inconsistências com a declaração; [P2.1]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Registro da resposta ao item Q91[SQ005] sobre procedimento de notificação de incidentes à ANPD e aos titulares;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Registro das respostas aos itens Q31[SQ005], Q812[SQ001] e Q812[SQ004] sobre a adequação dos contratos com operadores e provedores de nuvem;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E4.1: Resultado da análise dos instrumentos contratuais Q312evi e Q8121evi, com registro das cláusulas de proteção de dados existentes, ausentes ou insuficientes e de eventuais inconsistências com a declaração; [P4.1]</w:t>
            </w:r>
          </w:p>
        </w:tc>
        <w:tc>
          <w:tcPr>
            <w:tcBorders/>
            <w:tcW w:w="4702" w:type="dxa"/>
            <w:vAlign w:val="center"/>
          </w:tcPr>
          <w:p ns2:paraId="11118515" ns2:textId="02403B9E">
            <w:pPr>
              <w:pBdr/>
              <w:spacing w:after="8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Vulnerabilidade nos controles de segurança da informação, ausência de plano de resposta a incidentes e desproteção em contratos com operadores e compartilhamentos de dados.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Deficiência nos controles formais de acesso e inexistência de rastreabilidade (logs) em sistemas municipais. [R6.1, P1, E1, C1, C6, C10, C12];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Inexistência de Plano de Resposta a Incidentes de Segurança da Informação envolvendo dados pessoais. [R6.2, P2, P2.1, E2, E2.1, C1, C4, C7, C8, C12];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Ausência de procedimento padronizado para comunicação tempestiva de incidentes de segurança à ANPD e aos titulares. [R6.2, P3, E3, C2, C3, C7, C9];</w:t>
            </w:r>
          </w:p>
          <w:p ns2:paraId="11118515" ns2:textId="02403B9E">
            <w:pPr>
              <w:pBdr/>
              <w:spacing w:after="60"/>
              <w:ind w:firstLine="0" w:left="24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• Inexistência de cláusulas de proteção de dados e salvaguardas nos contratos firmados com operadores de TI e provedores de nuvem. [R6.3, P4, P4.1, E4, E4.1, C5, C11];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QT1: Qual é o grau de cumprimento, pelas prefeituras municipais, das decisões proferidas pelo TCE-RJ no Processo nº 217.899-0/2024 (Acórdão nº 3931/2025), e quais causas, dificuldades e impedimentos foram declarados para o não cumprimento dos respectivos encaminhamentos? (levantamento)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Os municípios implementaram as determinações e recomendações dos itens 1.1 a 1.15 do Voto condutor do Acórdão nº 3931/2025?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Quais prefeituras reincidiram na ausência dos controles objeto dos 12 encaminhamentos individualizados em 2024, conforme o baseline aplicável a cada município?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Quais causas, dificuldades e impedimentos foram declarados pelos municípios que não implementaram integralmente cada encaminhamento?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Quais dificuldades foram declaradas pelos municípios que implementaram cada encaminhamento e como elas foram superadas?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Como se distribuem o cumprimento, o não cumprimento e as causas declaradas por item do Acórdão, município e categoria analítica?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991"/>
        <w:gridCol w:w="4199"/>
        <w:gridCol w:w="3553"/>
        <w:gridCol w:w="5401"/>
        <w:gridCol w:w="6224"/>
      </w:tblGrid>
      <w:tr>
        <w:trPr>
          <w:tblHeader/>
        </w:trPr>
        <w:tc>
          <w:tcPr>
            <w:tcBorders/>
            <w:tcW w:w="2991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4199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3553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5401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6224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2991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Gestores municipais responsáveis pelo preenchimento do questionário eletrônico de auditoria da LGPD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Sistema de apoio à fiscalização do TCE-RJ, que consolida as situações encontradas e os encaminhamentos individualizados da fiscalização de 2024.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Sistema oficial de processo eletrônico do TCE-RJ, no qual tramitam os autos do Processo nº 217.899-0/2024 e os planos de ação municipais.</w:t>
            </w:r>
          </w:p>
        </w:tc>
        <w:tc>
          <w:tcPr>
            <w:tcBorders/>
            <w:tcW w:w="4199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Baseline por município dos 12 encaminhamentos individualizados em 2024 e identificação dos três encaminhamentos de aplicação universal, estabelecidos a partir da tabela_encaminhamentos.xlsx, da tabela_situacao_encontrada.xlsx e dos autos do processo; [F2,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Respostas de 2026 que permitem classificar o cumprimento dos itens 1.1 a 1.15 do Acórdão: Plano de Ação; nomeação e divulgação do Encarregado; Inventário de Dados Pessoais; elaboração e publicação da PSI e da PPDP; RIPD; política de privacidade; plano e ações de capacitação; Plano de Resposta a Incidentes; procedimento de notificação; comissão ou grupo de trabalho; Política de Classificação da Informação; e medidas técnicas e administrativas de segurança; [F1, Q24, Q41[SQ004], Q41[SQ005], Q61[SQ005], Q41[SQ001], Q416, Q41[SQ003], Q417, Q71, Q72, Q61[SQ008], Q91[SQ001], Q91[SQ005], Q22, Q51, Q41[SQ002], Q101[SQ002], Q101[SQ005], Q101[SQ010], Q101[SQ011]]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Relatos textuais sobre as dificuldades encontradas e sua superação quando o encaminhamento foi implementado, e sobre causas, dificuldades e impedimentos quando não foi integralmente implementado; [F1, QAC11S, QAC11N, QAC12S, QAC12N, QAC13S, QAC13N, QAC14S, QAC14N, QAC15S, QAC15N, QAC16S, QAC16N, QAC17S, QAC17N, QAC18S, QAC18N, QAC19S, QAC19N, QAC110S, QAC110N, QAC111S, QAC111N, QAC112S, QAC112N, QAC113S, QAC113N, QAC114S, QAC114N, QAC115S, QAC115N]</w:t>
            </w:r>
          </w:p>
        </w:tc>
        <w:tc>
          <w:tcPr>
            <w:tcBorders/>
            <w:tcW w:w="3553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Reconstruir e conferir o baseline municipal por meio da importação da tabela_encaminhamentos.xlsx e da tabela_situacao_encontrada.xlsx de 2024 e da consulta aos autos, distinguindo os 12 encaminhamentos individualizados — 946 ocorrências — dos três encaminhamentos de aplicação universal;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Aplicar às respostas de 2026 regras baseadas nos códigos de resposta para classificar cada item como cumprimento integral ou não cumprimento integral; [IR1, IR2] Regras de cumprimento integral: item 1.1, Q24 == 'A1'; item 1.2, Q41[SQ004] == 'Y'; item 1.3, Q41[SQ005] == 'Y'; item 1.4, Q61[SQ005] == 'Y'; item 1.5, Q41[SQ001] == 'Y' e Q416 == 'A1'; item 1.6, Q41[SQ003] == 'Y' e Q417 == 'A1'; item 1.7, Q71 == 'A4'; item 1.8, Q72 == 'A4'; item 1.9, Q61[SQ008] == 'Y'; item 1.10, Q91[SQ001] == 'Y'; item 1.11, Q91[SQ005] == 'Y'; item 1.12, Q22 == 'A1'; item 1.13, Q51 in ['A5', 'A6']; item 1.14, Q41[SQ002] == 'Y'; e item 1.15, Q101[SQ002] == 'Y', Q101[SQ005] == 'Y', Q101[SQ010] == 'Y' e Q101[SQ011] == 'Y'. Classificar as demais combinações como não cumprimento integral. Para os 12 itens individualizados, considerar como monitoramento de decisão somente as combinações município-item presentes no baseline e tratar as demais respostas como informação diagnóstica. Para os itens 1.1, 1.12 e 1.15, avaliar todos os municípios.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Examinar separadamente os relatos associados ao cumprimento e ao não cumprimento de cada item e codificá-los, admitindo múltiplas categorias por resposta: governança ou priorização; pessoal ou capacidade técnica; orçamento; contratação ou gestão contratual; tecnologia ou infraestrutura; interpretação jurídica; coordenação interna ou mapeamento de processos; descontinuidade administrativa; dependência externa; outros; e justificativa ausente ou insuficiente;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Consolidar, por município, item do Acórdão e categoria analítica, as quantidades e proporções de cumprimento, não cumprimento, causas, dificuldades, impedimentos e formas de superação, mantendo separados os 12 itens individualizados e os três itens universais; [IR1, IR2, IR3]</w:t>
            </w:r>
          </w:p>
        </w:tc>
        <w:tc>
          <w:tcPr>
            <w:tcBorders/>
            <w:tcW w:w="5401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Matriz do baseline de 2024 por município e item, com indicação da aplicabilidade individualizada ou universal;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Matriz comparativa do status de cumprimento em 2026 por município e item do Acórdão, com distinção entre monitoramento de decisão e diagnóstico geral;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Base de relatos codificados, com a resposta original preservada, as categorias atribuídas e a distinção entre dificuldades superadas e causas ou impedimentos do não cumprimento;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Tabelas consolidadas de cumprimento, reincidência e categorias declaradas, por município e item do Acórdão; [P4]</w:t>
            </w:r>
          </w:p>
        </w:tc>
        <w:tc>
          <w:tcPr>
            <w:tcBorders/>
            <w:tcW w:w="6224" w:type="dxa"/>
            <w:vAlign w:val="center"/>
          </w:tcPr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percentual consolidado e individualizado de cumprimento dos itens aplicáveis do Acórdão nº 3931/2025 pelas 91 prefeituras fluminenses, distinguindo os 12 encaminhamentos individualizados dos três encaminhamentos universais.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identificação dos municípios que declararam não possuir controles que deveriam ter implementado em razão dos encaminhamentos individualizados de 2024.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distribuição dos casos de cumprimento, não cumprimento e reincidência por município e item monitorado.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As causas, dificuldades e impedimentos declarados para o não cumprimento, bem como as dificuldades declaradas pelos municípios que cumpriram os encaminhamentos e as formas relatadas de superação.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classificação decorre de respostas autodeclaradas e da correspondência entre cada resposta e o encaminhamento aplicável ao município.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Embora todos os municípios respondam aos itens, para os 12 encaminhamentos individualizados somente as combinações município-item existentes no baseline de 2024 caracterizam monitoramento da decisão; as demais respostas possuem finalidade diagnóstica.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categorização dos relatos textuais exige julgamento analítico, pode admitir múltiplas categorias e deve preservar a rastreabilidade até a resposta original.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Os relatos permitem identificar causas e dificuldades declaradas e associações recorrentes, mas não comprovam, isoladamente, relações causais.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análise deste levantamento subsidia o processo de monitoramento sem substituir o julgamento plenário definitivo do cumprimento das deliberações.</w:t>
            </w:r>
          </w:p>
        </w:tc>
      </w:tr>
    </w:tbl>
    <w:p>
      <w:r>
        <w:br w:type="page"/>
      </w:r>
    </w:p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rFonts w:ascii="Arial" w:hAnsi="Arial" w:cs="Arial" w:eastAsia="Arial"/>
                <w:sz w:val="20"/>
                <w:szCs w:val="20"/>
              </w:rPr>
              <w:t>QT2: Qual é o perfil de maturidade em proteção de dados pessoais das 91 prefeituras segundo o índice iLGPD 2026, qual a evolução observada desde 2024 e qual é a avaliação dos gestores sobre a efetividade do material didático "Os 6 passos para adequação à LGPD"? (levantamento)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Qual é o nível de maturidade (Inexpressivo, Iniciando, Intermediário ou Aprimorado) alcançado por cada município no iLGPD 2026?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Houve avanço, estagnação ou retrocesso das práticas municipais entre 2024 e 2026 nos indicadores comparáveis?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Em que medida os municípios contrataram consultorias ou soluções tecnológicas de terceiros para suporte à adequação à LGPD?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O material didático orientativo elaborado pela equipe de auditoria do TCE-RJ no ciclo anterior ("Os 6 passos para adequação à LGPD" - Anexo 07 do Relatório da Fiscalização nº 60/2024) foi conhecido e utilizado pelas equipes municipais?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Em que medida o guia "Os 6 passos para adequação à LGPD" contribuiu concretamente para nortear e impulsionar o processo de adequação das prefeituras, e quais passos apresentaram maior facilidade ou dificuldade de implementação prática?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Quais opiniões, críticas e sugestões de melhoria (ex.: novos modelos, guias temáticos específicos, minutas contratuais, aprofundamento técnico) foram apresentadas pelos gestores para aprimorar os materiais orientativos e elevar a efetividade da fiscalização corrente?</w:t>
            </w:r>
          </w:p>
          <w:p ns2:paraId="4ED18313" ns2:textId="42BA0AFF">
            <w:pPr>
              <w:pStyle w:val="1012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Quais são os principais desafios, deficiências estruturais e pontos de atenção relatados abertamente pelos jurisdicionados?</w:t>
            </w:r>
          </w:p>
        </w:tc>
      </w:tr>
    </w:tbl>
    <w:tbl>
      <w:tblPr>
        <w:tblStyle w:val="1011"/>
        <w:tblW w:w="5000" w:type="pct"/>
        <w:tblBorders/>
        <w:tblLook w:val="04A0" w:firstRow="1" w:lastRow="0" w:firstColumn="1" w:lastColumn="0" w:noHBand="0" w:noVBand="1"/>
      </w:tblPr>
      <w:tblGrid>
        <w:gridCol w:w="2991"/>
        <w:gridCol w:w="4199"/>
        <w:gridCol w:w="3553"/>
        <w:gridCol w:w="5401"/>
        <w:gridCol w:w="6224"/>
      </w:tblGrid>
      <w:tr>
        <w:trPr>
          <w:tblHeader/>
        </w:trPr>
        <w:tc>
          <w:tcPr>
            <w:tcBorders/>
            <w:tcW w:w="2991" w:type="dxa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4199" w:type="dxa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3553" w:type="dxa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5401" w:type="dxa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6224" w:type="dxa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2991" w:type="dxa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Sistema de questionários eletrônicos do TCE-RJ utilizado na fiscalização da LGPD de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Sistema de apoio à fiscalização do TCE-RJ, que mantém a base histórica de respostas e pontuações da fiscalização temática de 2024.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Gestores municipais responsáveis pelas informações sobre contratações, pela avaliação do guia "Os 6 passos" e pelas considerações abertas.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F4: Repositório institucional do TCE-RJ que mantém o guia "Os 6 passos para adequação à LGPD", Anexo 07 do Relatório da Fiscalização nº 60/2024.</w:t>
            </w:r>
          </w:p>
        </w:tc>
        <w:tc>
          <w:tcPr>
            <w:tcBorders/>
            <w:tcW w:w="4199" w:type="dxa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Pontuações por dimensão temática e índice geral iLGPD 2026 calculadas para as 91 prefeituras; [F1]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Indicadores comparáveis e histórico de notas do questionário de 2024; [F2]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Informações prestadas sobre contratação de consultorias especializadas e soluções de software para LGPD; [F1, F3, Q111, Q112]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Respostas quantitativas e qualitativas sobre o conhecimento, grau de utilização, utilidade prática e efetividade do guia "Os 6 passos para adequação à LGPD" no processo de adequação municipal; [F1, F3, F4, Q121, Q122, Q123, Q125]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Opiniões, críticas e propostas de aprimoramento sugeridas pelos auditados para futuros guias e materiais didáticos do Tribunal; [F1, F3, Q124, Q125]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Relatos abertos registrados pelos jurisdicionados sobre os principais desafios e deficiências para a conformidade à LGPD; [F1, Q132]</w:t>
            </w:r>
          </w:p>
        </w:tc>
        <w:tc>
          <w:tcPr>
            <w:tcBorders/>
            <w:tcW w:w="3553" w:type="dxa"/>
            <w:vAlign w:val="center"/>
          </w:tcPr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Calcular o índice iLGPD 2026 para os 91 municípios aplicando a metodologia ponderada do Tribunal; [IR1]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Confrontar os índices de 2026 com os resultados históricos de 2024 para mensurar a variação percentual agregada e individual; [IR2]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Consolidar as respostas aos itens Q111 e Q112 relativas a contratações de serviços de terceiros e soluções tecnológicas voltadas à LGPD; [IR3]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Tabular e analisar as respostas aos itens Q121, Q122, Q123 e Q125 sobre o guia "Os 6 passos para adequação à LGPD", mensurando utilização, relevância percebida e gargalos enfrentados na execução de cada passo; [IR4]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Compilar e classificar as propostas de melhoria, críticas e demandas formuladas nos itens Q124 e Q125 para subsidiar o aprimoramento pedagógico do Tribunal e potencializar os impactos da fiscalização corrente; [IR5]</w:t>
            </w:r>
          </w:p>
          <w:p ns2:paraId="4C6E5B2E" ns2:textId="42100C78">
            <w:pPr>
              <w:pStyle w:val="1010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Mapear e categorizar tematicamente as manifestações abertas registradas pelos gestores no item Q132; [IR6]</w:t>
            </w:r>
          </w:p>
        </w:tc>
        <w:tc>
          <w:tcPr>
            <w:tcBorders/>
            <w:tcW w:w="5401" w:type="dxa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Tabela de escores, ranking e distribuição dos níveis de maturidade no índice iLGPD 2026;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Gráficos e painéis de evolução comparativa 2024–2026 por dimensão de privacidade;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Relatório analítico sobre o panorama de contratações de consultorias e soluções tecnológicas municipais;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Painel diagnóstico de avaliação do guia pedagógico "Os 6 passos para adequação à LGPD", contendo notas de utilidade, gargalos metodológicos apontados e índice de conhecimento prévio pelos gestores;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Caderno de propostas e oportunidades de melhoria sugeridas pelos auditados para o aperfeiçoamento das ações indutoras do Tribunal de Contas;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Matriz temática de desafios práticos e gargalos estruturais compilados a partir dos relatos livres dos jurisdicionados; [P6]</w:t>
            </w:r>
          </w:p>
        </w:tc>
        <w:tc>
          <w:tcPr>
            <w:tcBorders/>
            <w:tcW w:w="6224" w:type="dxa"/>
            <w:vAlign w:val="center"/>
          </w:tcPr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panorama atualizado e comparativo do grau de conformidade e maturidade das administrações municipais em relação às exigências da LGPD.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mensuração do impacto pedagógico e orientador da atuação prévia do TCE-RJ por meio do guia "Os 6 passos para adequação à LGPD", identificando em que medida o material serviu de suporte prático aos municípios e quais foram seus pontos fortes e limitações.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As principais carências, desafios técnicos e demandas relatadas pelos municípios, orientando futuras ações capacitadoras, notas técnicas e materiais instrucionais da Corte de Contas.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mapeamento do ecossistema de contratações públicas de consultorias e soluções tecnológicas no âmbito municipal voltadas à governança em privacidade.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Os dados do iLGPD baseiam-se em respostas declaratórias e amostragens documentais, expressando uma aproximação diagnóstica da maturidade institucional.</w:t>
            </w:r>
          </w:p>
          <w:p ns2:paraId="11118515" ns2:textId="02403B9E">
            <w:pPr>
              <w:pBdr/>
              <w:spacing w:after="120"/>
              <w:ind w:firstLine="0" w:left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avaliação do material didático expressa a percepção dos respondentes e pode ser influenciada pela rotatividade das equipes municipais.</w:t>
            </w:r>
          </w:p>
        </w:tc>
      </w:tr>
    </w:tbl>
    <w:p/>
    <w:tbl>
      <w:tblPr>
        <w:tblStyle w:val="1011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27086525" ns2:textId="5BC84706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 w:clear="all"/>
            </w:r>
            <w:r>
              <w:rPr>
                <w:rFonts w:ascii="Arial" w:hAnsi="Arial" w:cs="Arial"/>
                <w:b/>
                <w:bCs/>
              </w:rPr>
              <w:t xml:space="preserve">Equipe de Auditoria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081D154F" ns2:textId="77777777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Supervisor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1C42D2D4" ns2:textId="44C819D1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/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A9ED85F" ns2:textId="2B0DC6CF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/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477C9695" ns2:textId="261A00B8">
            <w:pPr>
              <w:pBdr/>
              <w:spacing w:line="276" w:lineRule="auto"/>
              <w:ind/>
              <w:rPr>
                <w:rFonts w:ascii="Arial" w:hAnsi="Arial" w:cs="Arial"/>
                <w:color w:val="212529"/>
                <w:shd w:val="clear" w:color="auto" w:fill="ffffff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/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11A9A3E1" ns2:textId="77777777">
            <w:pPr>
              <w:pBdr/>
              <w:spacing w:line="276" w:lineRule="auto"/>
              <w:ind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  <w:t/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7C650FE0" ns2:textId="156A8C0C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C1EF345" ns2:textId="77777777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</w:tbl>
    <w:sectPr>
      <w:headerReference w:type="default" r:id="rId9"/>
      <w:footnotePr/>
      <w:endnotePr/>
      <w:type w:val="nextPage"/>
      <w:pgSz w:h="16840" w:orient="landscape" w:w="23808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85821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75EB2F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7A504E6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panose1 w:val="020B060402020202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NewRoman">
    <w:panose1 w:val="02020603050405020304"/>
  </w:font>
  <w:font w:name="Segoe UI">
    <w:panose1 w:val="020B05020404040202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86B9FD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DE19FB1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16EFF2D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p14">
  <w:tbl>
    <w:tblPr>
      <w:tblStyle w:val="1011"/>
      <w:tblW w:w="223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>
      <w:trPr/>
      <w:tc>
        <w:tcPr>
          <w:tcBorders/>
          <w:tcW w:w="1838" w:type="dxa"/>
        </w:tcPr>
        <w:p ns2:paraId="4885B09B" ns2:textId="42238352">
          <w:pPr>
            <w:pStyle w:val="1008"/>
            <w:pBdr/>
            <w:spacing w:before="0"/>
            <w:ind w:left="0"/>
            <w:rPr/>
          </w:pPr>
          <w:r/>
          <w:r/>
        </w:p>
      </w:tc>
      <w:tc>
        <w:tcPr>
          <w:tcBorders/>
          <w:tcW w:w="7093" w:type="dxa"/>
        </w:tcPr>
        <w:p ns2:paraId="7692314E" ns2:textId="7732243A">
          <w:pPr>
            <w:pStyle w:val="1004"/>
            <w:pBdr/>
            <w:spacing/>
            <w:ind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SECRETARIA-GERAL</w:t>
          </w:r>
          <w:r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DE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CONTROLE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EXTERNO</w:t>
          </w:r>
          <w:r>
            <w:rPr>
              <w:rFonts w:ascii="Arial" w:hAnsi="Arial" w:cs="Arial"/>
              <w:sz w:val="16"/>
              <w:szCs w:val="16"/>
            </w:rPr>
          </w:r>
          <w:r>
            <w:rPr>
              <w:rFonts w:ascii="Arial" w:hAnsi="Arial" w:cs="Arial"/>
              <w:sz w:val="16"/>
              <w:szCs w:val="16"/>
            </w:rPr>
          </w:r>
        </w:p>
        <w:p ns2:paraId="617A7E23" ns2:textId="59A4ABCC">
          <w:pPr>
            <w:pStyle w:val="1008"/>
            <w:pBdr/>
            <w:tabs>
              <w:tab w:val="left" w:leader="none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SUBSECRETARIA DE CONTROLE DE POLÍTICAS DE CIDADANIA</w:t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</w:p>
        <w:p ns2:paraId="4BD4FB4E" ns2:textId="3216BC59">
          <w:pPr>
            <w:pStyle w:val="1008"/>
            <w:pBdr/>
            <w:spacing w:before="0"/>
            <w:ind w:left="0"/>
            <w:jc w:val="left"/>
            <w:rPr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COORDENADORIA DE AUDITORIA DE POLÍTICAS EM TECNOLOGIA DA INFORMAÇÃO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tcBorders/>
          <w:tcW w:w="13466" w:type="dxa"/>
        </w:tcPr>
        <w:p ns2:paraId="17267BE2" ns2:textId="617A7088">
          <w:pPr>
            <w:pBdr/>
            <w:tabs>
              <w:tab w:val="left" w:leader="none" w:pos="2142"/>
              <w:tab w:val="right" w:leader="none" w:pos="14034"/>
            </w:tabs>
            <w:spacing w:after="120"/>
            <w:ind w:firstLine="386" w:left="-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22/2026</w:t>
          </w:r>
        </w:p>
        <w:p ns2:paraId="3A6B45F9" ns2:textId="6FCBAC11">
          <w:pPr>
            <w:pBdr/>
            <w:spacing w:after="120"/>
            <w:ind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91 prefeituras municipais jurisdicionadas ao TCE-RJ</w:t>
          </w:r>
        </w:p>
        <w:p ns2:paraId="44B9C6BD" ns2:textId="61CE63E0">
          <w:pPr>
            <w:pStyle w:val="1027"/>
            <w:pBdr/>
            <w:spacing w:after="120"/>
            <w:ind/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Verificar a conformidade das prefeituras municipais jurisdicionadas à Lei 13.709/2018 (Lei Geral de Proteção aos Dados – LGPD), bem como monitorar o cumprimento das decisões do processo TCE-RJ nº 217.899-0/2024</w:t>
          </w:r>
        </w:p>
      </w:tc>
    </w:tr>
  </w:tbl>
  <w:p ns2:paraId="3AB268CB" ns2:textId="77777777">
    <w:pPr>
      <w:pBdr/>
      <w:spacing/>
      <w:ind/>
      <w:jc w:val="center"/>
      <w:rPr>
        <w:bCs/>
        <w:sz w:val="12"/>
        <w:szCs w:val="12"/>
      </w:rPr>
    </w:pPr>
    <w:r>
      <w:rPr>
        <w:bCs/>
        <w:sz w:val="12"/>
        <w:szCs w:val="12"/>
      </w:rPr>
    </w:r>
    <w:r>
      <w:rPr>
        <w:bCs/>
        <w:sz w:val="12"/>
        <w:szCs w:val="12"/>
      </w:rPr>
    </w:r>
    <w:r>
      <w:rPr>
        <w:bCs/>
        <w:sz w:val="12"/>
        <w:szCs w:val="12"/>
      </w:rPr>
    </w:r>
  </w:p>
  <w:p ns2:paraId="10951264" ns2:textId="77777777">
    <w:pPr>
      <w:pStyle w:val="1004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0FF09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4CD138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FD831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39813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2BE16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78F57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D4027F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2F56DB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76AC7162"/>
    <w:lvl w:ilvl="0">
      <w:isLgl w:val="false"/>
      <w:lvlJc w:val="left"/>
      <w:lvlText w:val="C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7E4D28B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F38510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4"/>
  </w:num>
  <w:num w:numId="10">
    <w:abstractNumId w:val="2"/>
  </w:num>
  <w:num w:numId="11">
    <w:abstractNumId w:val="8"/>
  </w:num>
  <w:num w:numId="12">
    <w:abstractNumId w:val="9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3">
    <w:name w:val="Table Grid Light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1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2"/>
    <w:basedOn w:val="1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1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2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3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4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5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6"/>
    <w:basedOn w:val="1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1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2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3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4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5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6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1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2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3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4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5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6"/>
    <w:basedOn w:val="1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1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2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3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4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5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6"/>
    <w:basedOn w:val="1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8">
    <w:name w:val="Heading 1"/>
    <w:basedOn w:val="1000"/>
    <w:next w:val="1000"/>
    <w:link w:val="9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9">
    <w:name w:val="Heading 2"/>
    <w:basedOn w:val="1000"/>
    <w:next w:val="1000"/>
    <w:link w:val="9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50">
    <w:name w:val="Heading 3"/>
    <w:basedOn w:val="1000"/>
    <w:next w:val="1000"/>
    <w:link w:val="9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51">
    <w:name w:val="Heading 4"/>
    <w:basedOn w:val="1000"/>
    <w:next w:val="1000"/>
    <w:link w:val="9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52">
    <w:name w:val="Heading 5"/>
    <w:basedOn w:val="1000"/>
    <w:next w:val="1000"/>
    <w:link w:val="9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3">
    <w:name w:val="Heading 6"/>
    <w:basedOn w:val="1000"/>
    <w:next w:val="1000"/>
    <w:link w:val="9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4">
    <w:name w:val="Heading 7"/>
    <w:basedOn w:val="1000"/>
    <w:next w:val="1000"/>
    <w:link w:val="9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5">
    <w:name w:val="Heading 8"/>
    <w:basedOn w:val="1000"/>
    <w:next w:val="1000"/>
    <w:link w:val="9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6">
    <w:name w:val="Heading 9"/>
    <w:basedOn w:val="1000"/>
    <w:next w:val="1000"/>
    <w:link w:val="9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7">
    <w:name w:val="Heading 1 Char"/>
    <w:basedOn w:val="1001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8">
    <w:name w:val="Heading 2 Char"/>
    <w:basedOn w:val="1001"/>
    <w:link w:val="9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9">
    <w:name w:val="Heading 3 Char"/>
    <w:basedOn w:val="1001"/>
    <w:link w:val="9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60">
    <w:name w:val="Heading 4 Char"/>
    <w:basedOn w:val="1001"/>
    <w:link w:val="9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61">
    <w:name w:val="Heading 5 Char"/>
    <w:basedOn w:val="1001"/>
    <w:link w:val="9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2">
    <w:name w:val="Heading 6 Char"/>
    <w:basedOn w:val="1001"/>
    <w:link w:val="9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3">
    <w:name w:val="Heading 7 Char"/>
    <w:basedOn w:val="1001"/>
    <w:link w:val="9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4">
    <w:name w:val="Heading 8 Char"/>
    <w:basedOn w:val="1001"/>
    <w:link w:val="9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5">
    <w:name w:val="Heading 9 Char"/>
    <w:basedOn w:val="1001"/>
    <w:link w:val="9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6">
    <w:name w:val="Title Char"/>
    <w:basedOn w:val="1001"/>
    <w:link w:val="10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7">
    <w:name w:val="Subtitle"/>
    <w:basedOn w:val="1000"/>
    <w:next w:val="1000"/>
    <w:link w:val="9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8">
    <w:name w:val="Subtitle Char"/>
    <w:basedOn w:val="1001"/>
    <w:link w:val="9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9">
    <w:name w:val="Quote"/>
    <w:basedOn w:val="1000"/>
    <w:next w:val="1000"/>
    <w:link w:val="9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0">
    <w:name w:val="Quote Char"/>
    <w:basedOn w:val="1001"/>
    <w:link w:val="9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1">
    <w:name w:val="Intense Emphasis"/>
    <w:basedOn w:val="1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2">
    <w:name w:val="Intense Quote"/>
    <w:basedOn w:val="1000"/>
    <w:next w:val="1000"/>
    <w:link w:val="9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3">
    <w:name w:val="Intense Quote Char"/>
    <w:basedOn w:val="1001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4">
    <w:name w:val="Intense Reference"/>
    <w:basedOn w:val="1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5">
    <w:name w:val="No Spacing"/>
    <w:basedOn w:val="1000"/>
    <w:uiPriority w:val="1"/>
    <w:qFormat/>
    <w:pPr>
      <w:pBdr/>
      <w:spacing w:after="0" w:line="240" w:lineRule="auto"/>
      <w:ind/>
    </w:pPr>
  </w:style>
  <w:style w:type="character" w:styleId="976">
    <w:name w:val="Subtle Emphasis"/>
    <w:basedOn w:val="1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7">
    <w:name w:val="Emphasis"/>
    <w:basedOn w:val="1001"/>
    <w:uiPriority w:val="20"/>
    <w:qFormat/>
    <w:pPr>
      <w:pBdr/>
      <w:spacing/>
      <w:ind/>
    </w:pPr>
    <w:rPr>
      <w:i/>
      <w:iCs/>
    </w:rPr>
  </w:style>
  <w:style w:type="character" w:styleId="978">
    <w:name w:val="Strong"/>
    <w:basedOn w:val="1001"/>
    <w:uiPriority w:val="22"/>
    <w:qFormat/>
    <w:pPr>
      <w:pBdr/>
      <w:spacing/>
      <w:ind/>
    </w:pPr>
    <w:rPr>
      <w:b/>
      <w:bCs/>
    </w:rPr>
  </w:style>
  <w:style w:type="character" w:styleId="979">
    <w:name w:val="Subtle Reference"/>
    <w:basedOn w:val="1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0">
    <w:name w:val="Book Title"/>
    <w:basedOn w:val="1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81">
    <w:name w:val="Header Char"/>
    <w:basedOn w:val="1001"/>
    <w:link w:val="1004"/>
    <w:uiPriority w:val="99"/>
    <w:pPr>
      <w:pBdr/>
      <w:spacing/>
      <w:ind/>
    </w:pPr>
  </w:style>
  <w:style w:type="character" w:styleId="982">
    <w:name w:val="Footer Char"/>
    <w:basedOn w:val="1001"/>
    <w:link w:val="1006"/>
    <w:uiPriority w:val="99"/>
    <w:pPr>
      <w:pBdr/>
      <w:spacing/>
      <w:ind/>
    </w:pPr>
  </w:style>
  <w:style w:type="paragraph" w:styleId="983">
    <w:name w:val="Caption"/>
    <w:basedOn w:val="1000"/>
    <w:next w:val="1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84">
    <w:name w:val="Footnote Text Char"/>
    <w:basedOn w:val="1001"/>
    <w:link w:val="1018"/>
    <w:uiPriority w:val="99"/>
    <w:semiHidden/>
    <w:pPr>
      <w:pBdr/>
      <w:spacing/>
      <w:ind/>
    </w:pPr>
    <w:rPr>
      <w:sz w:val="20"/>
      <w:szCs w:val="20"/>
    </w:rPr>
  </w:style>
  <w:style w:type="paragraph" w:styleId="985">
    <w:name w:val="endnote text"/>
    <w:basedOn w:val="1000"/>
    <w:link w:val="9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6">
    <w:name w:val="Endnote Text Char"/>
    <w:basedOn w:val="1001"/>
    <w:link w:val="985"/>
    <w:uiPriority w:val="99"/>
    <w:semiHidden/>
    <w:pPr>
      <w:pBdr/>
      <w:spacing/>
      <w:ind/>
    </w:pPr>
    <w:rPr>
      <w:sz w:val="20"/>
      <w:szCs w:val="20"/>
    </w:rPr>
  </w:style>
  <w:style w:type="character" w:styleId="987">
    <w:name w:val="endnote reference"/>
    <w:basedOn w:val="1001"/>
    <w:uiPriority w:val="99"/>
    <w:semiHidden/>
    <w:unhideWhenUsed/>
    <w:pPr>
      <w:pBdr/>
      <w:spacing/>
      <w:ind/>
    </w:pPr>
    <w:rPr>
      <w:vertAlign w:val="superscript"/>
    </w:rPr>
  </w:style>
  <w:style w:type="paragraph" w:styleId="988">
    <w:name w:val="toc 1"/>
    <w:basedOn w:val="1000"/>
    <w:next w:val="1000"/>
    <w:uiPriority w:val="39"/>
    <w:unhideWhenUsed/>
    <w:pPr>
      <w:pBdr/>
      <w:spacing w:after="100"/>
      <w:ind/>
    </w:pPr>
  </w:style>
  <w:style w:type="paragraph" w:styleId="989">
    <w:name w:val="toc 2"/>
    <w:basedOn w:val="1000"/>
    <w:next w:val="1000"/>
    <w:uiPriority w:val="39"/>
    <w:unhideWhenUsed/>
    <w:pPr>
      <w:pBdr/>
      <w:spacing w:after="100"/>
      <w:ind w:left="220"/>
    </w:pPr>
  </w:style>
  <w:style w:type="paragraph" w:styleId="990">
    <w:name w:val="toc 3"/>
    <w:basedOn w:val="1000"/>
    <w:next w:val="1000"/>
    <w:uiPriority w:val="39"/>
    <w:unhideWhenUsed/>
    <w:pPr>
      <w:pBdr/>
      <w:spacing w:after="100"/>
      <w:ind w:left="440"/>
    </w:pPr>
  </w:style>
  <w:style w:type="paragraph" w:styleId="991">
    <w:name w:val="toc 4"/>
    <w:basedOn w:val="1000"/>
    <w:next w:val="1000"/>
    <w:uiPriority w:val="39"/>
    <w:unhideWhenUsed/>
    <w:pPr>
      <w:pBdr/>
      <w:spacing w:after="100"/>
      <w:ind w:left="660"/>
    </w:pPr>
  </w:style>
  <w:style w:type="paragraph" w:styleId="992">
    <w:name w:val="toc 5"/>
    <w:basedOn w:val="1000"/>
    <w:next w:val="1000"/>
    <w:uiPriority w:val="39"/>
    <w:unhideWhenUsed/>
    <w:pPr>
      <w:pBdr/>
      <w:spacing w:after="100"/>
      <w:ind w:left="880"/>
    </w:pPr>
  </w:style>
  <w:style w:type="paragraph" w:styleId="993">
    <w:name w:val="toc 6"/>
    <w:basedOn w:val="1000"/>
    <w:next w:val="1000"/>
    <w:uiPriority w:val="39"/>
    <w:unhideWhenUsed/>
    <w:pPr>
      <w:pBdr/>
      <w:spacing w:after="100"/>
      <w:ind w:left="1100"/>
    </w:pPr>
  </w:style>
  <w:style w:type="paragraph" w:styleId="994">
    <w:name w:val="toc 7"/>
    <w:basedOn w:val="1000"/>
    <w:next w:val="1000"/>
    <w:uiPriority w:val="39"/>
    <w:unhideWhenUsed/>
    <w:pPr>
      <w:pBdr/>
      <w:spacing w:after="100"/>
      <w:ind w:left="1320"/>
    </w:pPr>
  </w:style>
  <w:style w:type="paragraph" w:styleId="995">
    <w:name w:val="toc 8"/>
    <w:basedOn w:val="1000"/>
    <w:next w:val="1000"/>
    <w:uiPriority w:val="39"/>
    <w:unhideWhenUsed/>
    <w:pPr>
      <w:pBdr/>
      <w:spacing w:after="100"/>
      <w:ind w:left="1540"/>
    </w:pPr>
  </w:style>
  <w:style w:type="paragraph" w:styleId="996">
    <w:name w:val="toc 9"/>
    <w:basedOn w:val="1000"/>
    <w:next w:val="1000"/>
    <w:uiPriority w:val="39"/>
    <w:unhideWhenUsed/>
    <w:pPr>
      <w:pBdr/>
      <w:spacing w:after="100"/>
      <w:ind w:left="1760"/>
    </w:pPr>
  </w:style>
  <w:style w:type="character" w:styleId="997">
    <w:name w:val="Placeholder Text"/>
    <w:basedOn w:val="1001"/>
    <w:uiPriority w:val="99"/>
    <w:semiHidden/>
    <w:pPr>
      <w:pBdr/>
      <w:spacing/>
      <w:ind/>
    </w:pPr>
    <w:rPr>
      <w:color w:val="666666"/>
    </w:rPr>
  </w:style>
  <w:style w:type="paragraph" w:styleId="998">
    <w:name w:val="TOC Heading"/>
    <w:uiPriority w:val="39"/>
    <w:unhideWhenUsed/>
    <w:pPr>
      <w:pBdr/>
      <w:spacing/>
      <w:ind/>
    </w:pPr>
  </w:style>
  <w:style w:type="paragraph" w:styleId="999">
    <w:name w:val="table of figures"/>
    <w:basedOn w:val="1000"/>
    <w:next w:val="1000"/>
    <w:uiPriority w:val="99"/>
    <w:unhideWhenUsed/>
    <w:pPr>
      <w:pBdr/>
      <w:spacing w:after="0" w:afterAutospacing="0"/>
      <w:ind/>
    </w:pPr>
  </w:style>
  <w:style w:type="paragraph" w:styleId="1000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1001" w:default="1">
    <w:name w:val="Default Paragraph Font"/>
    <w:uiPriority w:val="1"/>
    <w:semiHidden/>
    <w:unhideWhenUsed/>
    <w:pPr>
      <w:pBdr/>
      <w:spacing/>
      <w:ind/>
    </w:pPr>
  </w:style>
  <w:style w:type="table" w:styleId="1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3" w:default="1">
    <w:name w:val="No List"/>
    <w:uiPriority w:val="99"/>
    <w:semiHidden/>
    <w:unhideWhenUsed/>
    <w:pPr>
      <w:pBdr/>
      <w:spacing/>
      <w:ind/>
    </w:pPr>
  </w:style>
  <w:style w:type="paragraph" w:styleId="1004">
    <w:name w:val="Header"/>
    <w:basedOn w:val="1000"/>
    <w:link w:val="1005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1005" w:customStyle="1">
    <w:name w:val="Cabeçalho Char"/>
    <w:basedOn w:val="1001"/>
    <w:link w:val="1004"/>
    <w:uiPriority w:val="99"/>
    <w:pPr>
      <w:pBdr/>
      <w:spacing/>
      <w:ind/>
    </w:pPr>
  </w:style>
  <w:style w:type="paragraph" w:styleId="1006">
    <w:name w:val="Footer"/>
    <w:basedOn w:val="1000"/>
    <w:link w:val="10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1007" w:customStyle="1">
    <w:name w:val="Rodapé Char"/>
    <w:basedOn w:val="1001"/>
    <w:link w:val="1006"/>
    <w:uiPriority w:val="99"/>
    <w:pPr>
      <w:pBdr/>
      <w:spacing/>
      <w:ind/>
    </w:pPr>
  </w:style>
  <w:style w:type="paragraph" w:styleId="1008">
    <w:name w:val="Title"/>
    <w:basedOn w:val="1000"/>
    <w:link w:val="1009"/>
    <w:uiPriority w:val="10"/>
    <w:qFormat/>
    <w:pPr>
      <w:widowControl w:val="false"/>
      <w:pBdr/>
      <w:spacing w:before="83"/>
      <w:ind w:right="310" w:left="277"/>
      <w:jc w:val="center"/>
    </w:pPr>
    <w:rPr>
      <w:rFonts w:ascii="Arial" w:hAnsi="Arial" w:eastAsia="Arial" w:cs="Arial"/>
      <w:b/>
      <w:bCs/>
      <w:sz w:val="23"/>
      <w:szCs w:val="23"/>
      <w:lang w:val="pt-PT" w:eastAsia="en-US"/>
    </w:rPr>
  </w:style>
  <w:style w:type="character" w:styleId="1009" w:customStyle="1">
    <w:name w:val="Título Char"/>
    <w:basedOn w:val="1001"/>
    <w:link w:val="1008"/>
    <w:uiPriority w:val="10"/>
    <w:pPr>
      <w:pBdr/>
      <w:spacing/>
      <w:ind/>
    </w:pPr>
    <w:rPr>
      <w:rFonts w:ascii="Arial" w:hAnsi="Arial" w:eastAsia="Arial" w:cs="Arial"/>
      <w:b/>
      <w:bCs/>
      <w:sz w:val="23"/>
      <w:szCs w:val="23"/>
      <w:lang w:val="pt-PT"/>
    </w:rPr>
  </w:style>
  <w:style w:type="paragraph" w:styleId="1010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pt-BR"/>
    </w:rPr>
  </w:style>
  <w:style w:type="table" w:styleId="1011">
    <w:name w:val="Table Grid"/>
    <w:basedOn w:val="1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2">
    <w:name w:val="List Paragraph"/>
    <w:basedOn w:val="1000"/>
    <w:uiPriority w:val="34"/>
    <w:qFormat/>
    <w:pPr>
      <w:pBdr/>
      <w:spacing/>
      <w:ind w:left="720"/>
      <w:contextualSpacing w:val="true"/>
    </w:pPr>
  </w:style>
  <w:style w:type="character" w:styleId="1013">
    <w:name w:val="annotation reference"/>
    <w:basedOn w:val="100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4">
    <w:name w:val="annotation text"/>
    <w:basedOn w:val="1000"/>
    <w:link w:val="1015"/>
    <w:uiPriority w:val="99"/>
    <w:unhideWhenUsed/>
    <w:pPr>
      <w:pBdr/>
      <w:spacing/>
      <w:ind/>
    </w:pPr>
    <w:rPr>
      <w:sz w:val="20"/>
      <w:szCs w:val="20"/>
    </w:rPr>
  </w:style>
  <w:style w:type="character" w:styleId="1015" w:customStyle="1">
    <w:name w:val="Texto de comentário Char"/>
    <w:basedOn w:val="1001"/>
    <w:link w:val="1014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1016">
    <w:name w:val="annotation subject"/>
    <w:basedOn w:val="1014"/>
    <w:next w:val="1014"/>
    <w:link w:val="1017"/>
    <w:uiPriority w:val="99"/>
    <w:semiHidden/>
    <w:unhideWhenUsed/>
    <w:pPr>
      <w:pBdr/>
      <w:spacing/>
      <w:ind/>
    </w:pPr>
    <w:rPr>
      <w:b/>
      <w:bCs/>
    </w:rPr>
  </w:style>
  <w:style w:type="character" w:styleId="1017" w:customStyle="1">
    <w:name w:val="Assunto do comentário Char"/>
    <w:basedOn w:val="1015"/>
    <w:link w:val="1016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pt-BR"/>
    </w:rPr>
  </w:style>
  <w:style w:type="paragraph" w:styleId="1018">
    <w:name w:val="footnote text"/>
    <w:basedOn w:val="1000"/>
    <w:link w:val="10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19" w:customStyle="1">
    <w:name w:val="Texto de nota de rodapé Char"/>
    <w:basedOn w:val="1001"/>
    <w:link w:val="1018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1020">
    <w:name w:val="footnote reference"/>
    <w:basedOn w:val="1001"/>
    <w:uiPriority w:val="99"/>
    <w:unhideWhenUsed/>
    <w:pPr>
      <w:pBdr/>
      <w:spacing/>
      <w:ind/>
    </w:pPr>
    <w:rPr>
      <w:vertAlign w:val="superscript"/>
    </w:rPr>
  </w:style>
  <w:style w:type="character" w:styleId="1021">
    <w:name w:val="Hyperlink"/>
    <w:basedOn w:val="1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Unresolved Mention"/>
    <w:basedOn w:val="100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23">
    <w:name w:val="FollowedHyperlink"/>
    <w:basedOn w:val="1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4">
    <w:name w:val="Balloon Text"/>
    <w:basedOn w:val="1000"/>
    <w:link w:val="102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25" w:customStyle="1">
    <w:name w:val="Texto de balão Char"/>
    <w:basedOn w:val="1001"/>
    <w:link w:val="102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pt-BR"/>
    </w:rPr>
  </w:style>
  <w:style w:type="paragraph" w:styleId="1026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1027">
    <w:name w:val="Body Text"/>
    <w:basedOn w:val="1000"/>
    <w:link w:val="1028"/>
    <w:pPr>
      <w:pBdr/>
      <w:spacing/>
      <w:ind/>
      <w:jc w:val="both"/>
    </w:pPr>
    <w:rPr>
      <w:rFonts w:ascii="TimesNewRoman" w:hAnsi="TimesNewRoman"/>
      <w:sz w:val="19"/>
      <w:szCs w:val="19"/>
    </w:rPr>
  </w:style>
  <w:style w:type="character" w:styleId="1028" w:customStyle="1">
    <w:name w:val="Corpo de texto Char"/>
    <w:basedOn w:val="1001"/>
    <w:link w:val="1027"/>
    <w:pPr>
      <w:pBdr/>
      <w:spacing/>
      <w:ind/>
    </w:pPr>
    <w:rPr>
      <w:rFonts w:ascii="TimesNewRoman" w:hAnsi="TimesNewRoman" w:eastAsia="Times New Roman" w:cs="Times New Roman"/>
      <w:sz w:val="19"/>
      <w:szCs w:val="19"/>
      <w:lang w:eastAsia="pt-B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Relationship Id="rId13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FBFA4F3B-2708-4731-A0D3-85F4C0631F4E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09CE5C4D-344E-4B9A-BACC-B692E5F42C94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B3B699C-58A5-4E30-B28D-A0EBD2730770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C460D41C-4D86-48AB-A742-517920900E3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revision>3058</cp:revision>
  <dcterms:created xsi:type="dcterms:W3CDTF">2023-08-10T03:29:00Z</dcterms:created>
  <dcterms:modified xsi:type="dcterms:W3CDTF">2026-09-11T21:20:15Z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61100.000000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