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p14">
  <w:body>
    <w:p ns2:paraId="71BC7204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0D1BC449" ns2:textId="55C4960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MATRIZ DE PLANEJAMENTO</w:t>
      </w:r>
    </w:p>
    <w:p ns2:paraId="46357FAD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5D2618CF" ns2:textId="6C9D6D25">
      <w:pPr>
        <w:pBdr/>
        <w:spacing w:after="200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QUESTÃO GERAL DE AUDITORIA: Qual é o grau de adoção das práticas de governança e gestão de TIC das organizações avaliadas, segundo o iGovTI 2026, e quais fragilidades relevantes estão presentes?</w:t>
      </w:r>
    </w:p>
    <w:p>
      <w:pPr>
        <w:pBdr/>
        <w:spacing/>
        <w:ind/>
        <w:rPr/>
      </w:pPr>
      <w:r/>
      <w:r/>
    </w:p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Q1: A organização possui área, unidade, setor ou função de TIC formalmente instituída, com atribuições definidas e posicionamento organizacional compatível com suas responsabilidades institucionais?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área, unidade, setor ou função de TIC formalmente instituída?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possui atribuições formalmente definidas relacionadas à gestão da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está posicionada em nível organizacional que favoreça sua interlocução com a alta administração e sua atuação estratégica?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R1.1: Devido à ausência de formalização da área de TIC, poderá não haver unidade ou função institucionalmente reconhecida para coordenar o uso da tecnologia da informação, prejudicando a responsabilização e o alinhamento da TIC aos objetivos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R1.2: Devido à ausência de atribuições formais da área de TIC, poderá não haver clareza sobre responsabilidades de planejamento, coordenação, gestão e controle da TIC, favorecendo atuação reativa e fragmentada.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R1.3: Devido ao posicionamento organizacional inadequado da área de TIC, poderá haver baixa capacidade de influência institucional, comprometendo a participação da TIC em decisões estratégicas, orçamentárias, contratuais e de gestão de riscos.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a existência formal de área, unidade, setor ou função de TIC; [F1, q0101]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sobre atribuições e competências formalizadas da área de TIC; [F1, q0103]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Evidência anexada que demonstre atribuições formalmente definidas relacionadas à gestão da TIC; [F2, q0103evi]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posicionamento hierárquico da área de TIC na estrutura organizacional; [F1, q0102]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APO01.04 - Definir e implementar as estruturas organizacionais: estabelecer estruturas organizacionais internas e externas necessárias para apoiar os objetivos de governança e gestão de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APO01.05 - Estabelecer papéis e responsabilidades: definir, comunicar e manter papéis e responsabilidades relacionados à governança e gestão de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APO01.06 - Aprimorar o posicionamento da função de TI: posicionar a função de tecnologia de modo compatível com sua relevância estratégica, responsabilidades e necessidade de interação com a alta administração.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Portaria SGD/ME nº 778/2019, art. 4º, § 1º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Constituição Federal, art. 37, caput - Princípio da eficiência.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Decreto Estadual nº 48.997/2024, art. 4º — o nível setorial do SETIC deve ser representado por assessoria de informática ou setor equivalente em cada órgão ou entidade da Administração Direta e Indireta do Poder Executivo Estadual e exercer as competências de TIC previstas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Resolução CNJ nº 370/2021, art. 21 — cada órgão do Poder Judiciário deve constituir e manter estruturas organizacionais adequadas e compatíveis com a demanda de TIC, contemplando os macroprocessos mínimos definidos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Resolução CNMP nº 171/2017, art. 16 — a gestão de TI compete à área de TI da unidade ou do ramo do Ministério Público, à qual são atribuídas as atividades previstas no dispositivo.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Resolução GPGJ nº 2.675/2025, art. 1º — a Secretaria-Geral de Modernização Tecnológica e Inovação do MPRJ é diretamente subordinada ao Procurador-Geral de Justiça.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resposta à q0101, se a organização possui área, unidade, setor ou função de TIC formalmente instituída;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Verificar, por meio da resposta à q0103, se a área de TIC possui atribuições formalmente definidas relacionadas à gestão da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Validar, pela evidência anexada à q0103, a existência de atribuições formalmente definidas relacionadas à gestão da TIC;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q0102, o posicionamento hierárquico da área de TIC; [IR4]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formalização da área, unidade, setor ou função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atribuições formalizadas da área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Ausência ou insuficiência de evidência que demonstre atribuições formalmente definidas relacionadas à gestão da TIC;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Resposta que indique posicionamento inexistente ou incompatível da área de TIC; [P4]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Estrutura de TIC insuficientemente formalizada, definida ou posicionada para gerir a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área, unidade, setor ou função de TIC formalmente instituída.[R1.1, P1, E1, C1,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Área de TIC sem atribuições formalmente definidas ou sem atribuições formais de gestão de TIC.[R1.2, P2, E2, P3, E3, C2,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Posicionamento organizacional inadequado da área de TIC.[R1.3, P4, E4,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[C3,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Q2: A organização possui mecanismos básicos de governança de TIC, incluindo objetivos, indicadores e metas, bem como Comitê de TIC ou instância equivalente formalmente instituída e atuante?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alta administração estabeleceu objetivos, indicadores e metas para a gestão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está formalmente instituído e conta com representantes de áreas relevantes da organização?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realiza as atividades previstas em seu ato constitutivo?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R2.1: Devido à ausência de objetivos, indicadores ou metas para a gestão de TIC, poderá haver dificuldade para direcionar prioridades, medir resultados e acompanhar a contribuição da TIC para os objetivos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R2.2: Devido à inexistência de Comitê de TIC ou instância equivalente, ou à ausência de representação de áreas relevantes em sua composição, poderá não haver instância colegiada adequada para alinhar prioridades e decisões relevantes de TIC às necessidades e aos objetivos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R2.3: Devido à ausência de atuação efetiva do Comitê de TIC ou instância equivalente, o colegiado poderá existir apenas formalmente, sem contribuir efetivamente para o direcionamento, a priorização e o acompanhamento da TIC.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objetivos, indicadores e metas para a gestão de TIC estabelecidos pela alta administração; [F1, q1001ext[H]]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anexada que demonstre a formalização dos objetivos, indicadores e metas para a gestão de TIC; [F2, q1001evi]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existência de Comitê de TIC ou instância equivalente composto por representantes de áreas relevantes da organização; [F1, q1001ext[E]]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 instituição formal e a composição do Comitê de TIC ou instância equivalente; [F2, q1001evi]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Resposta sobre a realização das atividades previstas no ato constitutivo do Comitê de TIC ou instância equivalente; [F1, q1001ext[F]]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Evidência anexada que demonstre atuação efetiva do Comitê de TIC ou instância equivalente, como atas, pautas, listas de presença, registros de deliberação, decisões, encaminhamentos ou acompanhamento de pendências; [F2, q1001evi]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EDM01.02 - Dirigir o sistema de governança: orientar estruturas, princípios, processos e práticas de governança para assegurar que a TI apoie os objetivos organizacionais.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MEA01.04 - Avaliar o desempenho: monitorar e avaliar periodicamente o desempenho e a conformidade da TI em relação a objetivos, indicadores, metas e expectativas das partes interessadas.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Decreto nº 12.198/2024, art. 6º, § 2º — referência de governança digital quanto à atribuição, a Comitê de Governança Digital ou colegiado equivalente, de deliberar sobre ações de governo digital e uso de recursos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item II.1 — precedente pela instituição e atuação efetiva de instância colegiada de governança de TIC, com responsabilidade pelo alinhamento das ações de TIC aos objetivos institucionais, pela priorização dos investimentos e pelo monitoramento do desempenho da TIC.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Portaria PRODERJ/PRE nº 825/2021, Anexo C, art. 5º — cada órgão ou entidade do Poder Executivo Estadual deve instituir Comitê Permanente do PEDTIC com a composição multidisciplinar definida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Resolução CNJ nº 370/2021, art. 7º — cada órgão do Poder Judiciário deve constituir ou manter Comitê de Governança de TIC multidisciplinar, com a composição e as atribuições definidas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Resolução CNMP nº 171/2017, art. 13 — cada unidade ou ramo do Ministério Público deve dispor de Comitê Estratégico de TI com a composição mínima definida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Resolução CNJ nº 370/2021, art. 7º, inciso I — o Comitê de Governança de TIC deve apoiar o desenvolvimento e o estabelecimento de estratégias, indicadores e metas institucionais.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Resolução CNMP nº 171/2017, art. 11, § 1º — o PETI deve conter contribuições da TI para os objetivos estratégicos, indicadores de resultado e, pelo menos, uma meta para cada indicador.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Resolução CNMP nº 171/2017, art. 14 — o Comitê Estratégico de TI deve exercer as competências de deliberação, acompanhamento e prestação de contas previstas no dispositivo.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resposta à q1001ext[H], se a alta administração estabeleceu objetivos, indicadores e metas para a gestão de TIC;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q1001, a formalização dos objetivos, indicadores e metas para a gestão de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resposta à q1001ext[E], se a organização declarou dispor de Comitê de TIC ou instância equivalente composto por representantes de áreas relevantes;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Validar, pela evidência anexada à q1001, a instituição formal e a composição do Comitê de TIC ou instância equivalente;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resposta à q1001ext[F], se o Comitê de TIC ou instância equivalente realiza as atividades previstas em seu ato constitutivo;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Validar, pela evidência anexada à q1001, se há atas, pautas, registros de deliberação, encaminhamentos ou acompanhamento de decisões do Comitê de TIC ou instância equivalente; [IR6]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sobre o estabelecimento de objetivos, indicadores ou metas para a gestão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demonstre objetivos, indicadores e metas para a gestão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que indique inexistência de Comitê de TIC ou instância equivalente com representação de áreas relevantes da organização;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 instituição formal e a composição do Comitê de TIC ou instância equivalente;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que indique que o Comitê de TIC ou instância equivalente não realiza as atividades previstas em seu ato constitutivo;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desatualização, incompatibilidade ou insuficiência de atas, registros de deliberação, encaminhamentos ou acompanhamento de decisões do Comitê de TIC ou instância equivalente; [P6]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de TIC insuficiente para avaliar, dirigir e monitorar a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objetivos, indicadores ou metas para a gestão de TIC.[R2.1, P1, E1, P2, E2, C2];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Comitê de TIC ou instância equivalente não instituído formalmente ou sem representação de áreas relevantes da organização.[R2.2, P3, E3, P4, E4,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Comitê de TIC ou instância equivalente sem atuação efetiva comprovada.[R2.3, P5, E5, P6, E6,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Q3: 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executa processo formal de planejamento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áreas demandantes participam do processo de planejamento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foi formalmente aprovado pela instância competente?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alinhado ao planejamento institucional?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integrado à proposta orçamentária da área de TIC e ao plano de contratações?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é acompanhado, revisto e atualizado periodicamente ou diante de mudanças relevantes?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R3.1: Devido à inexistência ou insuficiência do processo de planejamento de TIC, poderá não haver plano vigente e participação adequada das áreas demandantes, favorecendo atuação reativa e desalinhada às necessidades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R3.2: Devido à ausência de aprovação formal do plano de TIC pela instância competente, o instrumento poderá não possuir legitimidade institucional para orientar a gestão, os projetos, o orçamento e as contratações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R3.3: Devido ao alinhamento insuficiente do plano de TIC ao planejamento institucional poderão ser executadas ações de TIC com baixo valor ou desconectadas das prioridades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R3.4: Devido à ausência de integração entre planejamento de TIC, orçamento e contratações, poderão ocorrer aquisições reativas, não priorizadas ou desalinhadas.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R3.5: Devido à ausência de acompanhamento da execução do plano de TIC, poderão deixar de ser identificados tempestivamente desvios, pendências ou mudanças que demandem ajustes nas iniciativas e prioridades planejadas.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Respostas sobre execução e formalização do processo de planejamento de TIC, bem como sobre a existência de plano de TIC vigente; [F1, q2101, q2101ext[D], q2102]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que demonstre a formalização do processo de planejamento de TIC; [F2, q2101evi]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participação das áreas demandantes no processo de planejamento de TIC; [F1, q2101ext[A]]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aprovação formal do plano de TIC pela instância competente; [F1, q2102ext[A]]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anexada do ato de aprovação formal do plano de TIC; [F2,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e evidência sobre alinhamento das iniciativas do plano de TIC ao planejamento institucional; [F1, F2, q2102ext[D],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Resposta e evidência sobre a utilização do plano de TIC como referência para a elaboração da proposta orçamentária da área de TIC e do plano de contratações; [F1, F2, q2102ext[C],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IR8: Resposta e evidência sobre acompanhamento da execução do plano de TIC; [F1, F2, q2102ext[E], q2102evi]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APO02.05 - Definir o plano e o roteiro estratégico: estabelecer plano e roteiro de TIC que traduzam a estratégia em iniciativas, prioridades, recursos, dependências, prazos e benefícios esperados.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APO06.03 - Criar e manter orçamentos: elaborar e manter orçamento de TIC alinhado ao portfólio, ao planejamento e às prioridades aprovadas.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nº 1.411/2014-TCU-Plenário, item 9.1.6 — precedente quanto à instituição formal de plano diretor de TI que contemple as diretrizes estratégicas e os elementos mínimos indicados no item.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item II.3 — precedente quanto ao estabelecimento formal de processo estruturado de planejamento de TIC e à elaboração, aprovação, alinhamento, integração e monitoramento do PDTI nos termos do item.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Portaria PRODERJ/PRE nº 825/2021, art. 2º — os níveis setoriais de TIC do Poder Executivo Estadual são responsáveis pela elaboração do PEDTIC.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Portaria PRODERJ/PRE nº 825/2021, Anexo C, art. 11, parágrafo único — o PEDTIC deve ser submetido à aprovação formal da alta direção do órgão ou entidade.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Portaria PRODERJ/PRE nº 825/2021, art. 3º — o PEDTIC deve ser elaborado em conformidade com as diretrizes e metas do governo e com a governança estadual de TIC.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Portaria PRODERJ/PRE nº 825/2021, Anexo C, art. 13 — a execução do PEDTIC deve ser monitorada na forma prevista no dispositivo.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Resolução CNJ nº 370/2021, art. 6º — cada órgão do Poder Judiciário deve elaborar e manter PDTIC alinhado ao planejamento institucional, e sua proposta orçamentária de TIC deve guardar integral harmonia com o plano.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Resolução CNJ nº 370/2021, art. 7º, inciso II — compete ao Comitê de Governança de TIC aprovar projetos e planos estratégicos.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Resolução CNMP nº 171/2017, art. 12 — cada unidade ou ramo do Ministério Público deve elaborar PDTI, submetê-lo à instância de governança em TI e acompanhar sua implementação.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Resolução CNMP nº 171/2017, art. 11 — o PETI deve desdobrar o planejamento estratégico institucional e conter as contribuições da TI para os objetivos estratégicos.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IN PRODERJ/PRE nº 5/2024, art. 5º — as contratações de TIC do Poder Executivo Estadual devem estar previstas no PEDTIC e indicadas no Plano de Contratações Anual.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Resolução CNMP nº 283/2024, art. 5º — as contratações de TI do Ministério Público devem constar do plano de contratações anual, observado o respectivo PDTI.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das respostas à q2101 e q2101ext[D], se a organização executa processo de planejamento de TIC formalizado;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q2101, a formalização mínima do processo de planejamento de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q2101ext[A], se há participação das áreas demandantes no processo de planejamento de TIC;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q2102ext[A], se o plano de TIC foi aprovado pelo dirigente máximo da organização ou por dirigente ou colegiado integrante da alta administração;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Validar, pelas evidências anexadas à q2102, a aprovação formal do plano de TIC pela instância competente;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Verificar, por meio da resposta e das evidências da q2102, se o plano está alinhado ao planejamento institucional;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Verificar, por meio da resposta à q2102ext[C] e da evidência correspondente, se o plano de TIC fundamenta a proposta orçamentária da área de TIC e o plano de contratações; [IR7]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P8: Verificar, por meio da resposta à q2102ext[E] e das evidências correspondentes, se é realizado acompanhamento concomitante à execução do plano de TIC; [IR8]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a existência de processo de planejamento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discipline o processo de planejamento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participação das áreas demandantes;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Resposta negativa ou insuficiente sobre a aprovação formal do plano de TIC pela instância competente;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Ausência ou insuficiência de evidência do ato de aprovação formal do plano de TIC pela instância competente;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Inexistência ou insuficiência de alinhamento entre plano de TIC e planejamento institucional;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Ausência ou insuficiência de evidência de utilização do plano de TIC como referência para a proposta orçamentária da área de TIC e o plano de contratações; [P7]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E8: Ausência ou insuficiência de evidência de acompanhamento da execução do plano de TIC; [P8]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Planejamento de TIC insuficiente para orientar a gestão, o orçamento e as contratações de TIC.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insuficiência do processo de planejamento de TIC para produzir e manter plano de TIC adequado.[R3.1, P1, E1, P2, E2, P3, E3,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aprovação formal do plano de TIC.[R3.2, P4, E4, P5, E5,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Plano de TIC sem alinhamento adequado ao planejamento institucional.[R3.3, P6, E6,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Plano de TIC não utilizado como referência para a elaboração da proposta orçamentária e do plano de contratações.[R3.4, P7, E7, C2,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C4,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C4,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C4,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acompanhamento da execução do plano de TIC.[R3.5, P8, E8,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Q4: A organização dispõe de mecanismos mínimos para estruturar e dimensionar sua força de trabalho de TIC e segurança da informação, formalizar funções e preservar capacidade interna nos modelos de operação predominantemente terceirizados?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profissionais que atuam regularmente em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o quantitativo necessário de pessoal de TIC e segurança da informação?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cargos ou funções formalmente atribuídos à TIC e à segurança da informação?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Nos modelos de operação predominantemente terceirizados, a organização mantém força de trabalho interna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R4.1: Devido à ausência de profissionais atuando regularmente em TIC, poderá não haver capacidade operacional mínima para coordenar e sustentar as atividades e serviços tecnológicos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R4.2: Devido à ausência de definição do quantitativo necessário de pessoal de TIC e segurança da informação, poderá haver subdimensionamento ou alocação inadequada da equipe.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R4.3: Devido à ausência de cargos ou funções formalmente atribuídos à TIC ou à segurança da informação, poderá haver baixa clareza de responsabilidades e insuficiente capacidade de alocação e responsabilização dos profissionais.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R4.4: Devido à operação predominantemente terceirizada sem profissionais internos de TIC, poderá haver insuficiência de capacidade interna para coordenação, supervisão e fiscalização das atividades terceirizadas, além de maior risco de dependência externa, perda de conhecimento e descontinuidade.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quantitativo de profissionais que atuam em TIC e segurança da informação, por área e tipo de vínculo; [F1, q0105]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definição do quantitativo necessário de pessoal de TIC e segurança da informação; [F1, F2, q2703, q2703evi]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e evidência sobre existência de cargos ou funções formalmente atribuídos à TIC e à segurança da informação; [F1, F2, q2708, q2708evi]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o modelo de operação predominante de TIC e os quantitativos total e interno de profissionais de TIC, para avaliação da dependência de terceiros e da capacidade interna de coordenação e fiscalização; [F1, q0101, q0105]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APO01.05 - Estabelecer papéis e responsabilidades: definir, comunicar e manter papéis e responsabilidades relacionados à governança e gestão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APO07.01 - Adquirir e manter pessoal adequado e apropriado: assegurar quantidade e perfil de profissionais compatíveis com as necessidades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APO07.05 - Planejar e monitorar o uso de recursos humanos de TI e de negócio: planejar, alocar e acompanhar capacidade de pessoal para iniciativas, operações e serviços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COBIT 2019, APO07.06 - Gerenciar pessoal contratado: controlar o uso de pessoal terceirizado ou externo, preservando responsabilização, supervisão e retenção de conhecimento.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Acórdão 1.411/2014-TCU-Plenário, item 9.1.6.5 - O PDTI deve contemplar o quantitativo necessário ou ideal para a força de trabalho em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1.411/2014-TCU-Plenário, item 9.1.7 - A organização deve adotar providências para dotar o setor de TI de quantitativo adequado às necessidades de trabalho em TI, consideradas as necessidades das demais áreas.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item I.10.11 — precedente para avaliação da estrutura de recursos humanos de TIC quanto à suficiência e à preservação de capacidade interna em atividades de planejamento, coordenação, fiscalização e controle.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Resolução CNJ nº 370/2021, art. 24 — cada órgão do Poder Judiciário deve compor quadro permanente de servidores dedicados à área de TIC em quantitativo compatível com a demanda e com o referencial aplicável.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Resolução CNJ nº 468/2022, art. 8º, § 1º — a assessoria técnica terceirizada ao planejamento e à avaliação da qualidade de soluções de TIC deve permanecer sob supervisão exclusiva de membro ou servidor do órgão.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q0105, o quantitativo informado de profissionais que atuam em TIC e segurança da informação, por área e tipo de vínculo;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Verificar, por meio da q2703 e respectiva evidência, se há definição do quantitativo necessário de pessoal de TIC e segurança da informação;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q2708 e da respectiva evidência, se há cargos ou funções formalmente atribuídos à TIC e à segurança da informação;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q0101 e dos quantitativos informados na q0105, se o modelo de operação de TIC é predominantemente terceirizado, há profissionais atuando em TIC e não há profissionais internos de TIC; [IR4]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Quantitativo total declarado igual a zero para profissionais de TIC, desde que a organização tenha informado possuir estrutura formal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definição do quantitativo necessário de pessoal de TIC e segurança da informação, ou evidência inexistente/incompatível/insuficiente;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evidência inexistente, incompatível ou insuficiente sobre cargos ou funções formalmente atribuídos à TIC ou à segurança da informação;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Modelo de operação de TIC predominantemente terceirizado (q0101 = B), com profissionais atuando em TIC, mas sem profissionais internos de TIC (total de efetivos, comissionados, cedidos e temporários igual a zero); [P4]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Capacidade institucional de pessoal de TIC e segurança da informação insuficientemente estruturada ou dimensionada.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força de trabalho dedicada à TIC.[R4.1, P1, E1, C2,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insuficiência de definição documentada do quantitativo necessário de pessoal de TIC e segurança da informação.[R4.2, P2, E2, C3,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[C3,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cargos ou funções formalmente atribuídos à TIC ou à segurança da informação.[R4.3, P3, E3, C1, C2];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Operação de TIC predominantemente terceirizada sem profissionais internos de TIC.[R4.4, P4, E4,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C7,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Q5: A organização adota práticas mínimas de gestão de serviços de TIC, incluindo catálogo de serviços, níveis de serviço, inventário de ativos, gestão de configuração e tratamento de incidentes, de modo a assegurar eficiência, rastreabilidade e qualidade dos serviços prestados?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catálogo de serviços de TIC atualizado e acessível aos usuários e às equipes de suporte?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catálogo de serviços de TIC contém informações mínimas sobre os serviços efetivamente prestados?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Existem Acordos de Níveis de Serviço ou metas mínimas formalmente definidas e monitoradas para os principais serviços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inventário atualizado dos ativos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processo formal de gestão de configuração, com identificação de itens de configuração relevantes para os serviços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processo formal de gestão de incidentes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R5.1: Devido à inexistência ou desatualização do catálogo de serviços de TIC, poderá não haver definição clara e padronizada dos serviços prestados, levando à prestação reativa e pouco transparente de serviços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R5.2: Devido à inexistência de níveis de serviço formalmente definidos ou monitorados, poderá não haver parâmetros objetivos de desempenho e qualidade dos serviços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R5.3: Devido à inexistência ou fragilidade do inventário de ativos e da gestão de configuração, poderá não haver controle adequado dos recursos tecnológicos e suas relações com os serviços prestados.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R5.4: Devido à inexistência ou fragilidade do processo de gestão de incidentes de TIC, poderá não haver tratamento padronizado, tempestivo e rastreável dos incidentes.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adoção, atualização e disponibilidade do catálogo de serviços de TIC; [F1, q2201, q2201ext[B], q2201ext[C]]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anexada contendo catálogo de serviços de TIC; [F2, q2201evi]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adoção da prática, metas no catálogo e existência de ANS ou metas mínimas de nível de serviço; [F1, q2201, q2201ext[A], q2201ext[D]]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monitoramento de ANS ou metas mínimas; [F1, q2201ext[E]]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anexada contendo ANS, metas ou registros de monitoramento; [F2, q2201evi]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sobre inventário e controle de dispositivos e softwares de TIC; [F1, q2504, q2504ext[A], q2504ext[B]]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Evidência anexada contendo inventário de ativos de TIC; [F2, q2504evi]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IR8: Respostas sobre existência de base consolidada de configurações e formalização do processo de gestão de configuração; [F1, q2203, q2203ext[A], q2203ext[C]]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IR9: Evidência anexada contendo norma, procedimento, CMDB ou base equivalente de gestão de configuração; [F2, q2203evi]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IR10: Respostas sobre adoção e formalização do processo de gestão de incidentes, critérios de priorização e escalamento e tratamento de incidentes de segurança da informação; [F1, q2204, q2204ext[A], q2204ext[D], q2204ext[E]]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IR11: Evidência anexada contendo norma, procedimento ou fluxo de gestão de incidentes de TIC; [F2, q2204evi]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IR12: Evidência anexada contendo registros de incidentes, chamados, tickets, relatórios de atendimento ou sistema equivalente; [F2, q2204evi]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APO09.02 - Catalogar serviços facilitados por TI: definir, manter e comunicar catálogo de serviços, incluindo serviços prestados, características, requisitos e níveis de serviço esperados.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ITIL 4, prática de gerenciamento de nível de serviço: definir, acordar, monitorar, avaliar e reportar metas e níveis de serviço alinhados às necessidades das áreas usuárias.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ITIL 4, prática de gerenciamento de ativos de TI: planejar e gerenciar o ciclo de vida dos ativos de TI, mantendo informações suficientes para apoiar controle, custo, risco, valor e tomada de decisão.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COBIT 2019, BAI10.01 - Estabelecer e manter um modelo de configuração: definir escopo, granularidade, atributos, relacionamentos e responsáveis pela base de configuração.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DSS02.02 - Classificar solicitações e incidentes: registrar, classificar e priorizar incidentes e requisições de serviço conforme critérios definidos.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TCE-RJ nº 44.490/2024-PLEN, item II.7.4 — precedente quanto à estruturação do catálogo de serviços de TIC, incluindo descrição dos serviços, metas, formas de acesso e disponibilidade aos usuários.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item II.7.5 — precedente quanto à gestão de configuração e ativos de TIC, incluindo formalização do processo e manutenção de base consolidada de ativos e itens de configuração.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Acórdão TCE-RJ nº 44.490/2024-PLEN, item II.7.6 — precedente quanto à formalização e à execução do processo de gestão de incidentes, incluindo registros, classificação, escalamento e tratamento.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Acórdão TCE-RJ nº 44.490/2024-PLEN, item II.7.7 — precedente quanto à definição, à pactuação e ao monitoramento de níveis de serviço.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ABNT NBR ISO/IEC 20000-2:2021,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ABNT NBR ISO/IEC 20000-2:2021,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ABNT NBR ISO/IEC 20000-2:2021, item 8.6.1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Decreto Estadual nº 48.997/2024, art. 4º, inciso V — o nível setorial deve alimentar as bases de dados do nível de Direção Geral com o inventário permanente de equipamentos, licenças e softwares utilizados.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Resolução CNJ nº 370/2021, art. 21, inciso IV, alínea "d" — a estrutura de infraestrutura e serviços de TIC deve contemplar o macroprocesso de catálogo de serviços.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C15: Resolução CNJ nº 370/2021, art. 34, § 2º — a gestão dos ativos de infraestrutura tecnológica deve ser realizada mediante processos de registro e monitoramento da localização de cada ativo.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C16: Resolução CNJ nº 370/2021, art. 21, inciso IV, alínea "f" — a estrutura de infraestrutura e serviços de TIC deve contemplar o macroprocesso de gestão de incidentes.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C17: Resolução CNMP nº 171/2017, art. 23 — a regulamentação da gestão dos serviços de TI deve contemplar catálogo, acordos de nível de serviço e gestão de incidentes, nos termos do dispositivo.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C18: Resolução CNMP nº 171/2017, art. 26, inciso II — a regulamentação da gestão da infraestrutura de TI deve contemplar o controle e a gestão dos itens de configuração e dos ativos de TI.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q2201 e das q2201ext[B] e [C], a adoção da prática e a atualização e disponibilidade do catálogo de serviços de TIC;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q2201, se o catálogo contém informações mínimas sobre os serviços prestados;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q2201 e das q2201ext[A], [D] e [E], a adoção, definição, pactuação e monitoramento de metas ou níveis de serviço; [IR3, 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Validar, pela evidência anexada à q2201, a existência de ANS, metas ou registros de monitoramento;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q2504 e das q2504ext[A] e [B], se a organização inventaria e controla dispositivos e softwares;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Validar, pela evidência anexada à q2504, a existência e atualização do inventário de dispositivos e softwares; [IR7]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Verificar, por meio da q2203 e das q2203ext[A] e [C], se a organização mantém base consolidada de configurações e processo formalizado de gestão de configuração; [IR8]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P8: Validar, pela evidência anexada à q2203, a existência de procedimento, base ou mecanismo equivalente de gestão de configuração; [IR9]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P9: Verificar, por meio da q2204 e das q2204ext[A], [D] e [E], se a organização possui processo de gestão de incidentes formalizado, com critérios de priorização e escalamento e procedimentos para incidentes de segurança da informação; [IR10]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P10: Validar, pela evidência anexada à q2204, a existência de procedimento ou fluxo formal de gestão de incidentes; [IR11]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P11: Validar, pela evidência anexada à q2204, a existência de registros rastreáveis de incidentes, chamados ou tickets; [IR12]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catálogo de serviços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inacessibilidade ou insuficiência do catálogo de serviços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ANS ou metas mínimas de nível de serviço;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Ausência, desatualização ou insuficiência de ANS, metas ou registros de monitoramento;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inventário de ativos de TIC;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 ou insuficiência de inventário de ativos de TIC;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Resposta negativa ou insuficiente quanto à manutenção de base consolidada de configurações ou à formalização do processo de gestão de configuração; [P7]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E8: Ausência, desatualização ou insuficiência de norma, procedimento, CMDB ou base equivalente de gestão de configuração; [P8]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E9: Resposta negativa ou insuficiente sobre processo formal de gestão de incidentes de TIC; [P9]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E10: Ausência, desatualização ou insuficiência de norma, procedimento ou fluxo formal de gestão de incidentes; [P10]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E11: Ausência, insuficiência ou baixa rastreabilidade dos registros de incidentes, chamados ou tickets; [P11]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Gestão de serviços de TIC insuficiente para assegurar controle sobre serviços, ativos e incidentes.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insuficiência do catálogo de serviços de TIC.[R5.1, P1, E1, P2, E2, C1, C6,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C10,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C10, C17];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fragilidade na definição e no monitoramento de níveis mínimos de serviço de TIC.[R5.2, P3, E3, P4, E4, C2,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C17];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Inventário e controle de dispositivos e softwares de TIC inexistente ou insuficiente.[R5.3, P5, E5, P6, E6, C3,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[C3,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[C3,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[C3, C18];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fragilidade do processo de gestão de configuração.[R5.3, P7, E7, P8, E8, C4, C7,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fragilidade do processo de gestão de incidentes de TIC.[R5.4, P9, E9, P10, E10, P11, E11, C5, C8,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[C5, C12, C16];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[C5, C12, C17];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Q6: A organização adota processo formal e padronizado para a fase preparatória das contratações de TIC, com responsabilidades definidas, análise técnica pela área de TIC e alinhamento aos instrumentos de planejamento?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fluxo formalizado e padronizado para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papéis e responsabilidades nas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modelos, manuais, checklists ou normativos orientativos para elaboração dos artefatos das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são submetidas à análise prévia e aprovação técnica da área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estão alinhadas ao plano de TIC e ao plano de contratações?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equipe de planejamento da contratação é formalmente designada e possui participação técnica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R6.1: Devido à inexistência ou fragilidade de fluxo formal e padronizado para contratações de TIC, poderá não haver clareza quanto às etapas, instâncias decisórias e critérios de aprovação.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R6.2: Devido à ausência de definição formal de papéis, responsabilidades, modelos e orientações, poderá haver instrução processual incompleta, inconsistente ou tecnicamente frágil.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R6.3: Devido à ausência de análise técnica prévia da área de TIC e de alinhamento ao planejamento, poderão ser contratadas soluções incompatíveis com padrões técnicos, requisitos institucionais ou prioridades definidas.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R6.4: Devido à ausência de equipe de planejamento formalmente designada e de participação técnica da área de TIC, a instrução da contratação poderá não considerar adequadamente as necessidades institucionais e os aspectos técnicos da solução.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definição do processo de planejamento das contratações de TIC, incluindo etapas, responsabilidades e artefatos resultantes; [F1, q2801, q2801ext[A]]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papéis e responsabilidades nas contratações de TIC; [F1, F2, q2801, q2801evi]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disponibilização de modelos e artefatos padronizados para o planejamento das contratações de TIC; [F1, q2801, q2801ext[B]]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submissão obrigatória das contratações de TIC à análise prévia e aprovação técnica da área de TIC; [F1, q2804[A]]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específica sobre aprovação técnica da área de TIC; [F2, q2804eviA]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sobre alinhamento das contratações aos instrumentos de planejamento e ao Plano de Contratações Anual; [F1, q2804[B]]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Resposta sobre equipe de planejamento formalmente designada e com participação técnica de TIC; [F1, q2804[C]]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nº 14.133/2021, art. 11, parágrafo único: responsabilidade da alta administração pela governança das contratações, com processos, estruturas, gestão de riscos e controles internos.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nº 14.133/2021, art. 12, inciso VII — as contratações devem observar o plano de contratações anual, quando elaborado, nos termos do dispositivo.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nº 14.133/2021, art. 19, inciso IV: instituição de modelos de minutas de editais, termos de referência, contratos padronizados e demais documentos.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nº 14.133/2021, art. 7º, caput — a autoridade máxima deve promover a gestão por competências e designar agentes públicos para o desempenho das funções essenciais à execução da Lei.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BAI02.04 - Obter aprovação dos requisitos da solução: obter aprovação formal dos requisitos funcionais, técnicos, de segurança e de conformidade antes de prosseguir com a solução.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Instrução Normativa SGD/ME nº 94/2022, art. 12, § 6º — referência de boa prática quanto à assinatura do termo de referência pela Equipe de Planejamento da Contratação e pela autoridade máxima da área de TIC, seguida da aprovação pela autoridade competente.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item III.7 — precedente quanto à estruturação do processo de planejamento anual das contratações, contemplando consolidação das demandas, participação das áreas, aprovação e publicidade do plano.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Acórdão nº 2.342/2016-TCU-Plenário, item 9.1.7 – Precedente quanto à definição, aprovação e formalização de processo de trabalho para o planejamento de cada contratação, com controles internos mínimos.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IN PRODERJ/PRE nº 5/2024, art. 4º — os pedidos de contratação de soluções de TIC do Poder Executivo Estadual devem ser instruídos com os documentos de planejamento definidos no dispositivo.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IN PRODERJ/PRE nº 5/2024, art. 5º — as contratações de TIC do Poder Executivo Estadual devem estar previstas no PEDTIC e indicadas no Plano de Contratações Anual.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Resolução CNJ nº 468/2022, art. 10 — a execução da fase de planejamento da contratação de TIC é obrigatória nas hipóteses definidas no dispositivo.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Resolução CNJ nº 468/2022, art. 4º — as contratações de TIC devem ser precedidas de Plano de Contratações de STIC alinhado ao PDTIC e aos planejamentos estratégicos aplicáveis.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Resolução CNJ nº 468/2022, art. 7º — a fase de planejamento da contratação deve ser coordenada por equipe formalmente designada e composta pelos setores demandante, técnico e administrativo.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Resolução CNMP nº 283/2024, art. 8º — a etapa de planejamento da solução deve compreender, no mínimo, a instituição da equipe de planejamento, o estudo técnico preliminar e o termo de referência.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C15: Resolução CNMP nº 283/2024, art. 5º — as contratações de TI devem constar do plano de contratações anual, observado o respectivo PDTI.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C16: Resolução CNMP nº 283/2024, art. 9º — a Equipe de Planejamento da Solução deve ser formalmente designada e conter representantes das áreas requisitante, de TI e administrativa.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q2801 e das q2801ext[A] e [B], se o processo de planejamento das contratações de TIC possui etapas e responsabilidades definidas e artefatos padronizados;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pelas evidências anexadas à q2801, a existência de fluxo, papéis, responsabilidades, modelos, manuais, checklists ou normativos orientativos;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q2804[A] e da q2804eviA, se as contratações de TIC são submetidas à análise prévia e aprovação técnica da área de TIC; [IR4, 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q2804[B], se as contratações de TIC estão alinhadas aos instrumentos de planejamento e ao Plano de Contratações Anual;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q2804[C], se a equipe de planejamento da contratação é formalmente designada e possui participação técnica de TIC; [IR7]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processo formal e padronizado para contratações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 ou insuficiência de evidências de fluxo, papéis, responsabilidades, modelos, manuais, checklists ou normativos orientativos;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análise prévia e aprovação técnica da área de TIC;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Quando declarada a adoção da prática, ausência ou insuficiência de norma que estabeleça a análise e aprovação técnica da área de TIC ou de evidência de sua aplicação em caso concreto;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aderência das contratações ao plano de TIC ou ao plano de contratações;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Resposta negativa ou insuficiente sobre equipe de planejamento formalmente designada e com participação técnica de TIC; [P5]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Fragilidades na governança técnica da fase preparatória das contratações de TIC.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fragilidade de processo formal e padronizado para o planejamento das contratações de TIC.[R6.1, R6.2, P1, E1, P2, E2, C1, C3,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C3,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C3,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C3,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análise prévia e aprovação técnica da área de TIC.[R6.3, P3, E3, E4, C1, C5,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alinhamento ao planejamento de TIC e ao Plano de Contratações Anual.[R6.3, P4, E5, C1, C2,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C2,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C2,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C2,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designação de equipe de planejamento com integrante técnico da área de TIC.[R6.4, P5, E6, 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C16];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QTD: Qual é o grau de adoção das práticas de governança e gestão de TIC pelas organizações avaliadas no iGovTI 2026, globalmente e por componente e dimensão? (levantamento)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Como se distribuem os resultados do iGovTI 2026 entre as faixas de maturidade definidas na metodologia?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é o desempenho agregado das organizações nos componentes Governança de TIC e Gestão de TIC e nas dimensões que compõem o índice?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diferenças relevantes nos resultados entre segmentos institucionais com quantidade suficiente de organizações para análise?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práticas avaliadas apresentam os maiores e os menores graus de adoção?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Não se aplica: questão de levantamento, sem formulação de risco de achado.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válidas e processadas do questionário eletrônico iGovTI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Metodologia de cálculo e estrutura do índice iGovTI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Resultados individuais e agregados calculados para o iGovTI 2026, seus componentes e suas dimensões.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F4: Cadastro das organizações avaliadas, com os atributos institucionais necessários aos recortes analíticos.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Universo de organizações avaliadas, respondentes válidos e respectivos atributos institucionais; [F1,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Resultado individual do iGovTI 2026, respectiva faixa de maturidade e resultados dos componentes Governança de TIC e Gestão de TIC; [F2,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Resultados individuais e agregados das dimensões Planejamento de TIC, Gestão de serviços de TIC, Riscos de TI e de segurança da informação, Estrutura de segurança da informação, Processos de segurança da informação e Gestão de soluções de TIC; [F2,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Pontuações normalizadas das práticas e dos itens que compõem o iGovTI 2026, com seus denominadores e regras de tratamento;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Registros de completude, consistência, ajustes e limitações relevantes das bases utilizadas no cálculo; [F1, F2, F3]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Não se aplica como critério de conformidade: análise orientada pelas fontes e pelos procedimentos definidos.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Validar o universo de organizações avaliadas e calcular ou conferir, conforme a metodologia do iGovTI 2026, o índice, a faixa de maturidade, os componentes e as dimensões de cada organização;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Consolidar a distribuição das organizações por faixa de maturidade e calcular medidas descritivas do iGovTI 2026 para o universo avaliado; [IR1, 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Consolidar e comparar os resultados dos componentes Governança de TIC e Gestão de TIC e das seis dimensões que compõem o índice; [IR2,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Segregar os resultados por Poder, esfera, natureza institucional ou outro segmento pertinente, quando a quantidade e a composição das organizações permitirem comparação descritiva adequada;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Identificar as práticas e os itens com maiores e menores graus de adoção, informando a medida utilizada, o número de respostas válidas e o tratamento das respostas não aplicáveis;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Verificar a completude e a consistência das bases e registrar as limitações que afetem o cálculo ou a interpretação dos resultados; [IR5]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avaliadas, dos respondentes válidos e dos atributos institucionais utilizados na análise;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Memória de cálculo ou base de resultados com o iGovTI 2026, a faixa de maturidade, os componentes e as dimensões de cada organização;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a distribuição por faixa de maturidade e as medidas descritivas do iGovTI 2026;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Tabelas, gráficos ou painéis com os resultados agregados dos componentes e das dimensões do índice;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Quadros comparativos por segmento institucional, acompanhados do quantitativo de organizações de cada grupo;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Relação das práticas e dos itens com maiores e menores graus de adoção, acompanhada dos respectivos percentuais, pontuações ou medidas de síntese e denominadores;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Registro das verificações de completude e consistência e das limitações relevantes para interpretação dos resultados; [P6]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Qual é o grau de adoção das práticas de governança e gestão de TIC no universo avaliado em 2026, segundo o índice e as faixas de maturidade definidas na metodologia.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Como se comportam, em termos agregados, os componentes Governança de TIC e Gestão de TIC e as seis dimensões que compõem o iGovTI 2026.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segmentos institucionais apresentam resultados distintos, quando houver quantidade e composição adequadas para comparação descritiva.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práticas e itens do questionário concentram os maiores e os menores graus de adoção.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questão tem caráter de levantamento e diagnóstico agregado, não gerando achado ou encaminhamento individual por organização.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iGovTI 2026 mensura o grau de adoção segundo as respostas e as regras da metodologia; o resultado não comprova, isoladamente, a efetividade das práticas nem conformidade jurídica.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Os resultados agregados não substituem a avaliação individualizada das fragilidades abrangidas pelas Questões 1 a 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Médias e demais medidas de síntese devem ser apresentadas com a distribuição dos resultados, para evitar que ocultem diferenças relevantes entre as organizações.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Comparações entre segmentos institucionais devem considerar o tamanho, a composição e a cobertura de cada grupo e não devem ser tratadas como inferência causal.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Práticas ou itens com universos de respostas distintos devem ser comparados somente com indicação dos respectivos denominadores e do tratamento das respostas não aplicáveis.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QT: As organizações anteriormente avaliadas apresentaram evolução mensurável, em termos agregados, em governança e gestão de TIC e no atendimento aos encaminhamentos da fiscalização anterior? (levantamento)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Houve variação agregada positiva, negativa ou estável nos indicadores comparáveis de governança e gestão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apresentaram maior evolução?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permaneceram estáveis ou regrediram?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foi o grau agregado de atendimento aos encaminhamentos propostos na fiscalização anterior?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 relevante entre a evolução agregada dos municípios avaliados em 2023 e a evolução agregada das organizações do Poder Executivo?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diferenças metodológicas entre os ciclos limitam a comparabilidade dos resultados?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Critérios de comparabilidade: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CT3: Utilizar quantitativos absolutos e percentuais para descrever variações agregadas, distinguindo evolução, estabilidade e regressão.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Resultados, respostas e indicadores calculados no iGovTI 2026 para as organizações também avaliadas na fiscalização anterior.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Resultados, respostas, indicadores, achados e encaminhamentos da fiscalização anterior de 2023 relativa ao iGovTI em municípios.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Resultados, respostas, indicadores, achados e encaminhamentos da fiscalização anterior de 2023 relativa ao iGovTI nas organizações do Poder Executivo estadual.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F4: Metodologias de cálculo, dicionários de variáveis, questionários, planilhas de correspondência e demais registros necessários para compatibilizar os ciclos de avaliação.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F5: Informações, evidências e registros produzidos no iGovTI 2026 que permitam inferir, em termos agregados, atendimento, não atendimento ou atendimento parcial dos encaminhamentos anteriores.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Relação das organizações avaliadas na fiscalização anterior que também integram o iGovTI 2026, segregadas, quando aplicável, entre municípios e organizações do Poder Executivo estadual;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Indicadores, dimensões, práticas, faixas de maturidade ou métricas da fiscalização anterior que sejam comparáveis com os resultados do iGovTI 2026; [F1, F2, F3,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Tabela de correspondência entre indicadores, práticas, dimensões ou métricas dos ciclos de avaliação, com indicação do grau de comparabilidade; [F4]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Distribuição agregada dos resultados da fiscalização anterior e do iGovTI 2026, incluindo quantitativo e percentual de organizações por nível, faixa, dimensão, prática ou indicador comparável;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Variação agregada entre os ciclos, incluindo evolução, estabilidade ou regressão por indicador, dimensão, prática ou faixa de maturidade comparável; [F1, F2, F3,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Relação dos encaminhamentos propostos na fiscalização anterior e sua classificação agregada quanto a atendimento, atendimento parcial, não atendimento ou impossibilidade de avaliação; [F2, F3, F5]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Limitações metodológicas que afetem a comparação entre os ciclos, incluindo alteração de questionário, pesos, fórmulas, universo avaliado, escala de resposta ou critérios de classificação; [F1, F2, F3, F4]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CT3: Utilizar quantitativos absolutos e percentuais para descrever variações agregadas, distinguindo evolução, estabilidade e regressão.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Identificar o conjunto de organizações avaliadas na fiscalização anterior e cruzá-lo com o universo de organizações respondentes do iGovTI 2026;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Construir tabela de correspondência entre indicadores, dimensões, práticas, faixas de maturidade ou métricas comparáveis entre a fiscalização anterior e o iGovTI 2026; [IR2,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Calcular, para o conjunto comum de organizações, a distribuição agregada dos resultados nos dois ciclos, por indicador, dimensão, prática ou faixa de maturidade comparável;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Calcular a variação agregada entre os ciclos, distinguindo evolução, estabilidade e regressão, em quantitativos absolutos e percentuais;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Segregar, quando aplicável, os resultados agregados dos municípios avaliados em 2023 e das organizações do Poder Executivo estadual avaliadas em 2023; [IR1, IR4, 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Classificar, em termos agregados, o atendimento dos encaminhamentos da fiscalização anterior, com base nos registros disponíveis e nas evidências ou respostas do iGovTI 2026;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Identificar limitações metodológicas da comparação e indicar quais conclusões podem ou não ser extraídas dos dados disponíveis; [IR7]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presentes nos dois ciclos de avaliação;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Tabela de correspondência entre itens, indicadores, dimensões, práticas ou faixas comparáveis entre a fiscalização anterior e o iGovTI 2026;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distribuição agregada dos resultados da fiscalização anterior e do iGovTI 2026;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Cálculo da variação agregada dos resultados, em números absolutos e percentuais, indicando evolução, estabilidade ou regressão;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Comparativo agregado entre municípios avaliados em 2023 e organizações do Poder Executivo estadual avaliadas em 2023, quando os dados permitirem a segregação;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Quadro consolidado de atendimento, atendimento parcial, não atendimento ou impossibilidade de avaliação dos encaminhamentos anteriores;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Registro das limitações metodológicas e das cautelas necessárias para interpretação dos resultados comparativos; [P7]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Se, no conjunto comum de organizações, houve evolução, estabilidade ou regressão agregada em governança e gestão de TIC entre a fiscalização anterior e o iGovTI 2026.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dimensões, práticas ou indicadores comparáveis concentraram os maiores avanços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dimensões, práticas ou indicadores comparáveis permaneceram com baixa evolução, estagnaram ou regrediram em termos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 os encaminhamentos da fiscalização anterior foram atendidos, parcialmente atendidos, não atendidos ou não puderam ser avaliados, em termos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 há diferença relevante entre a evolução agregada dos municípios avaliados em 2023 e das organizações do Poder Executivo estadual avaliadas em 2023.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Em que medida diferenças metodológicas entre os ciclos limitam a força das conclusões comparativas.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questão tem caráter de levantamento e análise longitudinal agregada, não gerando achado individual por organização.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comparação não deve ser feita questão a questão quando não houver equivalência metodológica suficiente entre os instrumentos de avaliação.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evolução agregada não autoriza, isoladamente, concluir que todas as organizações evoluíram individualmente.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regressão agregada não autoriza, isoladamente, concluir descumprimento individual de encaminhamento anterior.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atendimento dos encaminhamentos anteriores deve ser analisado conforme o conteúdo de cada encaminhamento, as evidências disponíveis e a compatibilidade com os dados coletados no iGovTI 2026.\n</w:t>
            </w:r>
          </w:p>
        </w:tc>
      </w:tr>
    </w:tbl>
    <w:p/>
    <w:tbl>
      <w:tblPr>
        <w:tblStyle w:val="842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27086525" ns2:textId="5BC84706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 w:clear="all"/>
            </w:r>
            <w:r>
              <w:rPr>
                <w:rFonts w:ascii="Arial" w:hAnsi="Arial" w:cs="Arial"/>
                <w:b/>
                <w:bCs/>
              </w:rPr>
              <w:t xml:space="preserve">Equipe de Auditoria</w:t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081D154F" ns2:textId="77777777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Supervisor</w:t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1C42D2D4" ns2:textId="44C819D1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Augusto César Benvenuto de Almeida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823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A9ED85F" ns2:textId="2B0DC6CF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 xml:space="preserve">Bruno Mattos Souza de Souza Melo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– 02/42</w:t>
            </w:r>
            <w:r>
              <w:rPr>
                <w:rFonts w:ascii="Arial" w:hAnsi="Arial" w:cs="Arial"/>
              </w:rPr>
              <w:t xml:space="preserve">5</w:t>
            </w:r>
            <w:r>
              <w:rPr>
                <w:rFonts w:ascii="Arial" w:hAnsi="Arial" w:cs="Arial"/>
              </w:rPr>
              <w:t xml:space="preserve">8</w:t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477C9695" ns2:textId="261A00B8">
            <w:pPr>
              <w:pBdr/>
              <w:spacing w:line="276" w:lineRule="auto"/>
              <w:ind/>
              <w:rPr>
                <w:rFonts w:ascii="Arial" w:hAnsi="Arial" w:cs="Arial"/>
                <w:color w:val="212529"/>
                <w:shd w:val="clear" w:color="auto" w:fill="ffffff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11A9A3E1" ns2:textId="77777777">
            <w:pPr>
              <w:pBdr/>
              <w:spacing w:line="276" w:lineRule="auto"/>
              <w:ind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</w:r>
            <w:r>
              <w:rPr>
                <w:rFonts w:ascii="Arial" w:hAnsi="Arial" w:cs="Arial"/>
                <w:lang w:eastAsia="en-US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7C650FE0" ns2:textId="156A8C0C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 xml:space="preserve">Freitas Ramirez</w:t>
            </w:r>
            <w:r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 xml:space="preserve">0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C1EF345" ns2:textId="77777777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sectPr>
      <w:headerReference w:type="default" r:id="rId9"/>
      <w:footnotePr/>
      <w:endnotePr/>
      <w:type w:val="nextPage"/>
      <w:pgSz w:h="16840" w:orient="landscape" w:w="23808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85821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75EB2F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7A504E6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NewRoman">
    <w:panose1 w:val="05040102010807070707"/>
  </w:font>
  <w:font w:name="Segoe UI">
    <w:panose1 w:val="020B05020404040202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86B9FD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DE19FB1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16EFF2D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ns1="http://schemas.openxmlformats.org/markup-compatibility/2006" xmlns:ns10="urn:schemas-microsoft-com:office:office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7="http://schemas.microsoft.com/office/drawing/2016/SVG/main" xmlns:ns8="http://schemas.microsoft.com/office/word/2010/wordprocessingDrawing" xmlns:ns9="urn:schemas-microsoft-com:vml" xmlns:r="http://schemas.openxmlformats.org/officeDocument/2006/relationships" xmlns:w="http://schemas.openxmlformats.org/wordprocessingml/2006/main" ns1:Ignorable="w14 w15 wp14">
  <w:tbl>
    <w:tblPr>
      <w:tblStyle w:val="842"/>
      <w:tblW w:w="223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>
      <w:trPr/>
      <w:tc>
        <w:tcPr>
          <w:tcBorders/>
          <w:tcW w:w="1838" w:type="dxa"/>
        </w:tcPr>
        <w:p ns2:paraId="4885B09B" ns2:textId="42238352">
          <w:pPr>
            <w:pStyle w:val="839"/>
            <w:pBdr/>
            <w:spacing w:before="0"/>
            <w:ind w:left="0"/>
            <w:rPr/>
          </w:pPr>
          <w:r>
            <ns1:AlternateContent>
              <ns1:Choice Requires="wpg">
                <w:drawing>
                  <ns3:anchor distT="0" distB="0" distL="114300" distR="114300" simplePos="0" relativeHeight="251658240" behindDoc="0" locked="0" layoutInCell="1" allowOverlap="1">
                    <ns3:simplePos x="0" y="0"/>
                    <ns3:positionH relativeFrom="column">
                      <ns3:posOffset>181637</ns3:posOffset>
                    </ns3:positionH>
                    <ns3:positionV relativeFrom="paragraph">
                      <ns3:posOffset>4815</ns3:posOffset>
                    </ns3:positionV>
                    <ns3:extent cx="903478" cy="381468"/>
                    <ns3:effectExtent l="0" t="0" r="0" b="0"/>
                    <ns3:wrapNone/>
                    <ns3:docPr id="1" name="Picture 954985232"/>
                    <ns3:cNvGraphicFramePr>
                      <ns4:graphicFrameLocks noChangeAspect="1"/>
                    </ns3:cNvGraphicFramePr>
                    <ns4:graphic>
                      <ns4:graphicData uri="http://schemas.openxmlformats.org/drawingml/2006/picture">
                        <ns5:pic>
                          <ns5:nvPicPr>
                            <ns5:cNvPr id="1" name="logo-horizontal-colorida-para_fundo_branco.svg"/>
                            <ns5:cNvPicPr>
                              <ns4:picLocks noChangeAspect="1"/>
                            </ns5:cNvPicPr>
                            <ns5:nvPr/>
                          </ns5:nvPicPr>
                          <ns5:blipFill rotWithShape="1">
                            <ns4:blip r:embed="rId1">
                              <ns4:extLst>
                                <ns4:ext uri="{96DAC541-7B7A-43D3-8B79-37D633B846F1}">
                                  <ns7:svgBlip r:embed="rId2"/>
                                </ns4:ext>
                              </ns4:extLst>
                            </ns4:blip>
                            <ns4:stretch/>
                          </ns5:blipFill>
                          <ns5:spPr bwMode="auto">
                            <ns4:xfrm>
                              <ns4:off x="0" y="0"/>
                              <ns4:ext cx="930644" cy="392938"/>
                            </ns4:xfrm>
                            <ns4:prstGeom prst="rect">
                              <ns4:avLst/>
                            </ns4:prstGeom>
                          </ns5:spPr>
                        </ns5:pic>
                      </ns4:graphicData>
                    </ns4:graphic>
                    <ns8:sizeRelH relativeFrom="page">
                      <ns8:pctWidth>0</ns8:pctWidth>
                    </ns8:sizeRelH>
                    <ns8:sizeRelV relativeFrom="page">
                      <ns8:pctHeight>0</ns8:pctHeight>
                    </ns8:sizeRelV>
                  </ns3:anchor>
                </w:drawing>
              </ns1:Choice>
              <ns1:Fallback>
                <w:pict>
                  <ns9:shapetype id="_x0000_t75" coordsize="21600,21600" ns10:spt="75" ns10:preferrelative="t" path="m@4@5l@4@11@9@11@9@5xe" filled="f" stroked="f">
                    <ns9:stroke joinstyle="miter"/>
                    <ns9:formulas>
                      <ns9:f eqn="if lineDrawn pixelLineWidth 0"/>
                      <ns9:f eqn="sum @0 1 0"/>
                      <ns9:f eqn="sum 0 0 @1"/>
                      <ns9:f eqn="prod @2 1 2"/>
                      <ns9:f eqn="prod @3 21600 pixelWidth"/>
                      <ns9:f eqn="prod @3 21600 pixelHeight"/>
                      <ns9:f eqn="sum @0 0 1"/>
                      <ns9:f eqn="prod @6 1 2"/>
                      <ns9:f eqn="prod @7 21600 pixelWidth"/>
                      <ns9:f eqn="sum @8 21600 0"/>
                      <ns9:f eqn="prod @7 21600 pixelHeight"/>
                      <ns9:f eqn="sum @10 21600 0"/>
                    </ns9:formulas>
                    <ns9:path ns10:extrusionok="f" gradientshapeok="t" ns10:connecttype="rect"/>
                    <ns10:lock ns9:ext="edit" aspectratio="t"/>
                  </ns9:shapetype>
                  <ns9:shape id="_x0000_i0" ns10:spid="_x0000_s0" type="#_x0000_t75" style="position:absolute;z-index:251658240;o:allowoverlap:true;o:allowincell:true;mso-position-horizontal-relative:text;margin-left:14.30pt;mso-position-horizontal:absolute;mso-position-vertical-relative:text;margin-top:0.38pt;mso-position-vertical:absolute;width:71.14pt;height:30.04pt;mso-wrap-distance-left:9.00pt;mso-wrap-distance-top:0.00pt;mso-wrap-distance-right:9.00pt;mso-wrap-distance-bottom:0.00pt;z-index:1;" stroked="false">
                    <ns9:imagedata r:id="rId1" ns10:title=""/>
                    <ns10:lock ns9:ext="edit" rotation="t"/>
                  </ns9:shape>
                </w:pict>
              </ns1:Fallback>
            </ns1:AlternateContent>
          </w:r>
          <w:r/>
        </w:p>
      </w:tc>
      <w:tc>
        <w:tcPr>
          <w:tcBorders/>
          <w:tcW w:w="7093" w:type="dxa"/>
        </w:tcPr>
        <w:p ns2:paraId="7692314E" ns2:textId="7732243A">
          <w:pPr>
            <w:pStyle w:val="835"/>
            <w:pBdr/>
            <w:spacing/>
            <w:ind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SECRETARIA-GERAL</w:t>
          </w:r>
          <w:r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DE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CONTROLE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EXTERNO</w:t>
          </w:r>
          <w:r>
            <w:rPr>
              <w:rFonts w:ascii="Arial" w:hAnsi="Arial" w:cs="Arial"/>
              <w:sz w:val="16"/>
              <w:szCs w:val="16"/>
            </w:rPr>
          </w:r>
        </w:p>
        <w:p ns2:paraId="617A7E23" ns2:textId="59A4ABCC">
          <w:pPr>
            <w:pStyle w:val="839"/>
            <w:pBdr/>
            <w:tabs>
              <w:tab w:val="left" w:leader="none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SUBSECRETARIA DE CONTROLE DE POLÍTICAS DE CIDADANIA</w:t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</w:p>
        <w:p ns2:paraId="4BD4FB4E" ns2:textId="3216BC59">
          <w:pPr>
            <w:pStyle w:val="839"/>
            <w:pBdr/>
            <w:spacing w:before="0"/>
            <w:ind w:left="0"/>
            <w:jc w:val="left"/>
            <w:rPr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COORDENADORIA DE AUDITORIA DE POLÍTICAS EM TECNOLOGIA DA INFORMAÇÃO</w:t>
          </w:r>
          <w:r>
            <w:rPr>
              <w:sz w:val="16"/>
              <w:szCs w:val="16"/>
            </w:rPr>
          </w:r>
        </w:p>
      </w:tc>
      <w:tc>
        <w:tcPr>
          <w:tcBorders/>
          <w:tcW w:w="13466" w:type="dxa"/>
        </w:tcPr>
        <w:p ns2:paraId="17267BE2" ns2:textId="617A7088">
          <w:pPr>
            <w:pBdr/>
            <w:tabs>
              <w:tab w:val="right" w:leader="none" w:pos="14034"/>
            </w:tabs>
            <w:spacing w:after="120"/>
            <w:ind w:firstLine="386" w:left="-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FISCALIZAÇÃO</w:t>
          </w:r>
          <w:r>
            <w:rPr>
              <w:rFonts w:ascii="Arial" w:hAnsi="Arial" w:cs="Arial"/>
              <w:sz w:val="18"/>
              <w:szCs w:val="18"/>
            </w:rPr>
            <w:t xml:space="preserve">: 1</w:t>
          </w:r>
          <w:r>
            <w:rPr>
              <w:rFonts w:ascii="Arial" w:hAnsi="Arial" w:cs="Arial"/>
              <w:sz w:val="18"/>
              <w:szCs w:val="18"/>
            </w:rPr>
            <w:t xml:space="preserve">8</w:t>
          </w:r>
          <w:r>
            <w:rPr>
              <w:rFonts w:ascii="Arial" w:hAnsi="Arial" w:cs="Arial"/>
              <w:sz w:val="18"/>
              <w:szCs w:val="18"/>
            </w:rPr>
            <w:t xml:space="preserve">/202</w:t>
          </w:r>
          <w:r>
            <w:rPr>
              <w:rFonts w:ascii="Arial" w:hAnsi="Arial" w:cs="Arial"/>
              <w:sz w:val="18"/>
              <w:szCs w:val="18"/>
            </w:rPr>
            <w:t xml:space="preserve">6</w:t>
          </w:r>
          <w:r>
            <w:rPr>
              <w:rFonts w:ascii="Arial" w:hAnsi="Arial" w:cs="Arial"/>
              <w:sz w:val="18"/>
              <w:szCs w:val="18"/>
            </w:rPr>
          </w:r>
        </w:p>
        <w:p ns2:paraId="3A6B45F9" ns2:textId="6FCBAC11">
          <w:pPr>
            <w:pBdr/>
            <w:spacing w:after="120"/>
            <w:ind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 ns2:paraId="44B9C6BD" ns2:textId="61CE63E0">
          <w:pPr>
            <w:pStyle w:val="858"/>
            <w:pBdr/>
            <w:spacing w:after="120"/>
            <w:ind/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ns2:paraId="3AB268CB" ns2:textId="77777777">
    <w:pPr>
      <w:pBdr/>
      <w:spacing/>
      <w:ind/>
      <w:jc w:val="center"/>
      <w:rPr>
        <w:bCs/>
        <w:sz w:val="12"/>
        <w:szCs w:val="12"/>
      </w:rPr>
    </w:pPr>
    <w:r>
      <w:rPr>
        <w:bCs/>
        <w:sz w:val="12"/>
        <w:szCs w:val="12"/>
      </w:rPr>
    </w:r>
    <w:r>
      <w:rPr>
        <w:bCs/>
        <w:sz w:val="12"/>
        <w:szCs w:val="12"/>
      </w:rPr>
    </w:r>
  </w:p>
  <w:p ns2:paraId="10951264" ns2:textId="77777777">
    <w:pPr>
      <w:pStyle w:val="835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0FF09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4CD138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FD831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39813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2BE16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78F57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D4027F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2F56DB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76AC7162"/>
    <w:lvl w:ilvl="0">
      <w:isLgl w:val="false"/>
      <w:lvlJc w:val="left"/>
      <w:lvlText w:val="C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7E4D28B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F38510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4"/>
  </w:num>
  <w:num w:numId="10">
    <w:abstractNumId w:val="2"/>
  </w:num>
  <w:num w:numId="11">
    <w:abstractNumId w:val="8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31"/>
    <w:next w:val="83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831"/>
    <w:next w:val="83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831"/>
    <w:next w:val="83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31"/>
    <w:next w:val="83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31"/>
    <w:next w:val="83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31"/>
    <w:next w:val="83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31"/>
    <w:next w:val="83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31"/>
    <w:next w:val="83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31"/>
    <w:next w:val="83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32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32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3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3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3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3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32"/>
    <w:link w:val="8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31"/>
    <w:next w:val="83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3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31"/>
    <w:next w:val="83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3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31"/>
    <w:next w:val="83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3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3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32"/>
    <w:link w:val="835"/>
    <w:uiPriority w:val="99"/>
    <w:pPr>
      <w:pBdr/>
      <w:spacing/>
      <w:ind/>
    </w:pPr>
  </w:style>
  <w:style w:type="character" w:styleId="179">
    <w:name w:val="Footer Char"/>
    <w:basedOn w:val="832"/>
    <w:link w:val="837"/>
    <w:uiPriority w:val="99"/>
    <w:pPr>
      <w:pBdr/>
      <w:spacing/>
      <w:ind/>
    </w:pPr>
  </w:style>
  <w:style w:type="paragraph" w:styleId="180">
    <w:name w:val="Caption"/>
    <w:basedOn w:val="831"/>
    <w:next w:val="8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832"/>
    <w:link w:val="849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83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31"/>
    <w:next w:val="831"/>
    <w:uiPriority w:val="39"/>
    <w:unhideWhenUsed/>
    <w:pPr>
      <w:pBdr/>
      <w:spacing w:after="100"/>
      <w:ind/>
    </w:pPr>
  </w:style>
  <w:style w:type="paragraph" w:styleId="190">
    <w:name w:val="toc 2"/>
    <w:basedOn w:val="831"/>
    <w:next w:val="831"/>
    <w:uiPriority w:val="39"/>
    <w:unhideWhenUsed/>
    <w:pPr>
      <w:pBdr/>
      <w:spacing w:after="100"/>
      <w:ind w:left="220"/>
    </w:pPr>
  </w:style>
  <w:style w:type="paragraph" w:styleId="191">
    <w:name w:val="toc 3"/>
    <w:basedOn w:val="831"/>
    <w:next w:val="831"/>
    <w:uiPriority w:val="39"/>
    <w:unhideWhenUsed/>
    <w:pPr>
      <w:pBdr/>
      <w:spacing w:after="100"/>
      <w:ind w:left="440"/>
    </w:pPr>
  </w:style>
  <w:style w:type="paragraph" w:styleId="192">
    <w:name w:val="toc 4"/>
    <w:basedOn w:val="831"/>
    <w:next w:val="831"/>
    <w:uiPriority w:val="39"/>
    <w:unhideWhenUsed/>
    <w:pPr>
      <w:pBdr/>
      <w:spacing w:after="100"/>
      <w:ind w:left="660"/>
    </w:pPr>
  </w:style>
  <w:style w:type="paragraph" w:styleId="193">
    <w:name w:val="toc 5"/>
    <w:basedOn w:val="831"/>
    <w:next w:val="831"/>
    <w:uiPriority w:val="39"/>
    <w:unhideWhenUsed/>
    <w:pPr>
      <w:pBdr/>
      <w:spacing w:after="100"/>
      <w:ind w:left="880"/>
    </w:pPr>
  </w:style>
  <w:style w:type="paragraph" w:styleId="194">
    <w:name w:val="toc 6"/>
    <w:basedOn w:val="831"/>
    <w:next w:val="831"/>
    <w:uiPriority w:val="39"/>
    <w:unhideWhenUsed/>
    <w:pPr>
      <w:pBdr/>
      <w:spacing w:after="100"/>
      <w:ind w:left="1100"/>
    </w:pPr>
  </w:style>
  <w:style w:type="paragraph" w:styleId="195">
    <w:name w:val="toc 7"/>
    <w:basedOn w:val="831"/>
    <w:next w:val="831"/>
    <w:uiPriority w:val="39"/>
    <w:unhideWhenUsed/>
    <w:pPr>
      <w:pBdr/>
      <w:spacing w:after="100"/>
      <w:ind w:left="1320"/>
    </w:pPr>
  </w:style>
  <w:style w:type="paragraph" w:styleId="196">
    <w:name w:val="toc 8"/>
    <w:basedOn w:val="831"/>
    <w:next w:val="831"/>
    <w:uiPriority w:val="39"/>
    <w:unhideWhenUsed/>
    <w:pPr>
      <w:pBdr/>
      <w:spacing w:after="100"/>
      <w:ind w:left="1540"/>
    </w:pPr>
  </w:style>
  <w:style w:type="paragraph" w:styleId="197">
    <w:name w:val="toc 9"/>
    <w:basedOn w:val="831"/>
    <w:next w:val="83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31"/>
    <w:next w:val="831"/>
    <w:uiPriority w:val="99"/>
    <w:unhideWhenUsed/>
    <w:pPr>
      <w:pBdr/>
      <w:spacing w:after="0" w:afterAutospacing="0"/>
      <w:ind/>
    </w:pPr>
  </w:style>
  <w:style w:type="paragraph" w:styleId="831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paragraph" w:styleId="835">
    <w:name w:val="Header"/>
    <w:basedOn w:val="831"/>
    <w:link w:val="836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6" w:customStyle="1">
    <w:name w:val="Cabeçalho Char"/>
    <w:basedOn w:val="832"/>
    <w:link w:val="835"/>
    <w:uiPriority w:val="99"/>
    <w:pPr>
      <w:pBdr/>
      <w:spacing/>
      <w:ind/>
    </w:pPr>
  </w:style>
  <w:style w:type="paragraph" w:styleId="837">
    <w:name w:val="Footer"/>
    <w:basedOn w:val="831"/>
    <w:link w:val="838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8" w:customStyle="1">
    <w:name w:val="Rodapé Char"/>
    <w:basedOn w:val="832"/>
    <w:link w:val="837"/>
    <w:uiPriority w:val="99"/>
    <w:pPr>
      <w:pBdr/>
      <w:spacing/>
      <w:ind/>
    </w:pPr>
  </w:style>
  <w:style w:type="paragraph" w:styleId="839">
    <w:name w:val="Title"/>
    <w:basedOn w:val="831"/>
    <w:link w:val="840"/>
    <w:uiPriority w:val="10"/>
    <w:qFormat/>
    <w:pPr>
      <w:widowControl w:val="false"/>
      <w:pBdr/>
      <w:spacing w:before="83"/>
      <w:ind w:right="310" w:left="277"/>
      <w:jc w:val="center"/>
    </w:pPr>
    <w:rPr>
      <w:rFonts w:ascii="Arial" w:hAnsi="Arial" w:eastAsia="Arial" w:cs="Arial"/>
      <w:b/>
      <w:bCs/>
      <w:sz w:val="23"/>
      <w:szCs w:val="23"/>
      <w:lang w:val="pt-PT" w:eastAsia="en-US"/>
    </w:rPr>
  </w:style>
  <w:style w:type="character" w:styleId="840" w:customStyle="1">
    <w:name w:val="Título Char"/>
    <w:basedOn w:val="832"/>
    <w:link w:val="839"/>
    <w:uiPriority w:val="10"/>
    <w:pPr>
      <w:pBdr/>
      <w:spacing/>
      <w:ind/>
    </w:pPr>
    <w:rPr>
      <w:rFonts w:ascii="Arial" w:hAnsi="Arial" w:eastAsia="Arial" w:cs="Arial"/>
      <w:b/>
      <w:bCs/>
      <w:sz w:val="23"/>
      <w:szCs w:val="23"/>
      <w:lang w:val="pt-PT"/>
    </w:rPr>
  </w:style>
  <w:style w:type="paragraph" w:styleId="841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pt-BR"/>
    </w:rPr>
  </w:style>
  <w:style w:type="table" w:styleId="842">
    <w:name w:val="Table Grid"/>
    <w:basedOn w:val="8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List Paragraph"/>
    <w:basedOn w:val="831"/>
    <w:uiPriority w:val="34"/>
    <w:qFormat/>
    <w:pPr>
      <w:pBdr/>
      <w:spacing/>
      <w:ind w:left="720"/>
      <w:contextualSpacing w:val="true"/>
    </w:pPr>
  </w:style>
  <w:style w:type="character" w:styleId="844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45">
    <w:name w:val="annotation text"/>
    <w:basedOn w:val="831"/>
    <w:link w:val="846"/>
    <w:uiPriority w:val="99"/>
    <w:unhideWhenUsed/>
    <w:pPr>
      <w:pBdr/>
      <w:spacing/>
      <w:ind/>
    </w:pPr>
    <w:rPr>
      <w:sz w:val="20"/>
      <w:szCs w:val="20"/>
    </w:rPr>
  </w:style>
  <w:style w:type="character" w:styleId="846" w:customStyle="1">
    <w:name w:val="Texto de comentário Char"/>
    <w:basedOn w:val="832"/>
    <w:link w:val="845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847">
    <w:name w:val="annotation subject"/>
    <w:basedOn w:val="845"/>
    <w:next w:val="845"/>
    <w:link w:val="848"/>
    <w:uiPriority w:val="99"/>
    <w:semiHidden/>
    <w:unhideWhenUsed/>
    <w:pPr>
      <w:pBdr/>
      <w:spacing/>
      <w:ind/>
    </w:pPr>
    <w:rPr>
      <w:b/>
      <w:bCs/>
    </w:rPr>
  </w:style>
  <w:style w:type="character" w:styleId="848" w:customStyle="1">
    <w:name w:val="Assunto do comentário Char"/>
    <w:basedOn w:val="846"/>
    <w:link w:val="847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pt-BR"/>
    </w:rPr>
  </w:style>
  <w:style w:type="paragraph" w:styleId="849">
    <w:name w:val="footnote text"/>
    <w:basedOn w:val="831"/>
    <w:link w:val="85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0" w:customStyle="1">
    <w:name w:val="Texto de nota de rodapé Char"/>
    <w:basedOn w:val="832"/>
    <w:link w:val="849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851">
    <w:name w:val="footnote reference"/>
    <w:basedOn w:val="832"/>
    <w:uiPriority w:val="99"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3">
    <w:name w:val="Unresolved Mention"/>
    <w:basedOn w:val="83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54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5">
    <w:name w:val="Balloon Text"/>
    <w:basedOn w:val="831"/>
    <w:link w:val="856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856" w:customStyle="1">
    <w:name w:val="Texto de balão Char"/>
    <w:basedOn w:val="832"/>
    <w:link w:val="855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pt-BR"/>
    </w:rPr>
  </w:style>
  <w:style w:type="paragraph" w:styleId="857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858">
    <w:name w:val="Body Text"/>
    <w:basedOn w:val="831"/>
    <w:link w:val="859"/>
    <w:pPr>
      <w:pBdr/>
      <w:spacing/>
      <w:ind/>
      <w:jc w:val="both"/>
    </w:pPr>
    <w:rPr>
      <w:rFonts w:ascii="TimesNewRoman" w:hAnsi="TimesNewRoman"/>
      <w:sz w:val="19"/>
      <w:szCs w:val="19"/>
    </w:rPr>
  </w:style>
  <w:style w:type="character" w:styleId="859" w:customStyle="1">
    <w:name w:val="Corpo de texto Char"/>
    <w:basedOn w:val="832"/>
    <w:link w:val="858"/>
    <w:pPr>
      <w:pBdr/>
      <w:spacing/>
      <w:ind/>
    </w:pPr>
    <w:rPr>
      <w:rFonts w:ascii="TimesNewRoman" w:hAnsi="TimesNewRoman" w:eastAsia="Times New Roman" w:cs="Times New Roman"/>
      <w:sz w:val="19"/>
      <w:szCs w:val="19"/>
      <w:lang w:eastAsia="pt-B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Relationship Id="rId13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FBFA4F3B-2708-4731-A0D3-85F4C0631F4E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09CE5C4D-344E-4B9A-BACC-B692E5F42C94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B3B699C-58A5-4E30-B28D-A0EBD2730770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C460D41C-4D86-48AB-A742-517920900E3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revision>3057</cp:revision>
  <dcterms:created xsi:type="dcterms:W3CDTF">2023-08-10T03:29:00Z</dcterms:created>
  <dcterms:modified xsi:type="dcterms:W3CDTF">2026-08-27T19:40:19Z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61100.000000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