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FDBFE" w14:textId="77777777" w:rsidR="002D2D31" w:rsidRDefault="002D2D31" w:rsidP="001E6730">
      <w:pPr>
        <w:jc w:val="center"/>
        <w:rPr>
          <w:rFonts w:ascii="Arial" w:hAnsi="Arial" w:cs="Arial"/>
          <w:b/>
        </w:rPr>
      </w:pPr>
    </w:p>
    <w:p w14:paraId="37E75FF0" w14:textId="77777777" w:rsidR="00AE7776" w:rsidRDefault="002D2D31" w:rsidP="001E6730">
      <w:pPr>
        <w:jc w:val="center"/>
        <w:rPr>
          <w:rFonts w:ascii="Arial" w:hAnsi="Arial" w:cs="Arial"/>
          <w:b/>
        </w:rPr>
      </w:pPr>
      <w:r>
        <w:rPr>
          <w:rFonts w:ascii="Arial" w:hAnsi="Arial" w:cs="Arial"/>
          <w:b/>
        </w:rPr>
        <w:t>MATRIZ DE ACHADOS</w:t>
      </w:r>
    </w:p>
    <w:p w14:paraId="42584AA9" w14:textId="77777777" w:rsidR="00644DA6" w:rsidRDefault="00644DA6" w:rsidP="001E6730">
      <w:pPr>
        <w:jc w:val="center"/>
        <w:rPr>
          <w:rFonts w:ascii="Arial" w:hAnsi="Arial" w:cs="Arial"/>
          <w:b/>
        </w:rPr>
      </w:pPr>
    </w:p>
    <w:tbl>
      <w:tblPr>
        <w:tblStyle w:val="Tabelacomgrad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3364"/>
        <w:gridCol w:w="3364"/>
        <w:gridCol w:w="3534"/>
        <w:gridCol w:w="3179"/>
        <w:gridCol w:w="6801"/>
      </w:tblGrid>
      <w:tr w:rsidR="004A3674" w:rsidRPr="00636B72" w14:paraId="08F5CB99" w14:textId="77777777" w:rsidTr="004A3674">
        <w:trPr>
          <w:trHeight w:val="300"/>
          <w:tblHeader/>
        </w:trPr>
        <w:tc>
          <w:tcPr>
            <w:tcW w:w="473" w:type="pct"/>
          </w:tcPr>
          <w:p w14:paraId="50351261" w14:textId="77777777" w:rsidR="004A3674" w:rsidRPr="00636B72" w:rsidRDefault="004A3674">
            <w:pPr>
              <w:autoSpaceDE w:val="0"/>
              <w:autoSpaceDN w:val="0"/>
              <w:adjustRightInd w:val="0"/>
              <w:spacing w:before="40" w:after="60"/>
              <w:jc w:val="center"/>
              <w:rPr>
                <w:rFonts w:ascii="Arial" w:hAnsi="Arial" w:cs="Arial"/>
                <w:b/>
                <w:bCs/>
                <w:sz w:val="16"/>
                <w:szCs w:val="16"/>
              </w:rPr>
            </w:pPr>
            <w:r>
              <w:rPr>
                <w:rFonts w:ascii="Arial" w:hAnsi="Arial" w:cs="Arial"/>
                <w:b/>
                <w:bCs/>
                <w:sz w:val="16"/>
                <w:szCs w:val="16"/>
              </w:rPr>
              <w:t>ACHADO</w:t>
            </w:r>
          </w:p>
        </w:tc>
        <w:tc>
          <w:tcPr>
            <w:tcW w:w="752" w:type="pct"/>
            <w:vAlign w:val="center"/>
          </w:tcPr>
          <w:p w14:paraId="1F0EFD0A" w14:textId="77777777" w:rsidR="004A3674" w:rsidRPr="00636B72" w:rsidRDefault="004A3674">
            <w:pPr>
              <w:autoSpaceDE w:val="0"/>
              <w:autoSpaceDN w:val="0"/>
              <w:adjustRightInd w:val="0"/>
              <w:spacing w:before="40" w:after="60"/>
              <w:jc w:val="center"/>
              <w:rPr>
                <w:rFonts w:ascii="Arial" w:hAnsi="Arial" w:cs="Arial"/>
                <w:b/>
                <w:bCs/>
                <w:sz w:val="16"/>
                <w:szCs w:val="16"/>
              </w:rPr>
            </w:pPr>
            <w:r>
              <w:rPr>
                <w:rFonts w:ascii="Arial" w:hAnsi="Arial" w:cs="Arial"/>
                <w:b/>
                <w:bCs/>
                <w:sz w:val="16"/>
                <w:szCs w:val="16"/>
              </w:rPr>
              <w:t>CRITÉRIO</w:t>
            </w:r>
          </w:p>
        </w:tc>
        <w:tc>
          <w:tcPr>
            <w:tcW w:w="752" w:type="pct"/>
            <w:vAlign w:val="center"/>
          </w:tcPr>
          <w:p w14:paraId="1D0E2E65" w14:textId="77777777" w:rsidR="004A3674" w:rsidRPr="00636B72" w:rsidRDefault="004A3674">
            <w:pPr>
              <w:spacing w:before="40" w:after="60"/>
              <w:jc w:val="center"/>
              <w:rPr>
                <w:rFonts w:ascii="Arial" w:hAnsi="Arial" w:cs="Arial"/>
                <w:b/>
                <w:bCs/>
                <w:sz w:val="16"/>
                <w:szCs w:val="16"/>
              </w:rPr>
            </w:pPr>
            <w:r>
              <w:rPr>
                <w:rFonts w:ascii="Arial" w:hAnsi="Arial" w:cs="Arial"/>
                <w:b/>
                <w:bCs/>
                <w:sz w:val="16"/>
                <w:szCs w:val="16"/>
              </w:rPr>
              <w:t>EVIDÊNCIA</w:t>
            </w:r>
          </w:p>
        </w:tc>
        <w:tc>
          <w:tcPr>
            <w:tcW w:w="790" w:type="pct"/>
            <w:vAlign w:val="center"/>
          </w:tcPr>
          <w:p w14:paraId="4416904A" w14:textId="77777777" w:rsidR="004A3674" w:rsidRPr="00636B72" w:rsidRDefault="004A3674">
            <w:pPr>
              <w:spacing w:before="40" w:after="60"/>
              <w:jc w:val="center"/>
              <w:rPr>
                <w:rFonts w:ascii="Arial" w:hAnsi="Arial" w:cs="Arial"/>
                <w:b/>
                <w:bCs/>
                <w:strike/>
                <w:sz w:val="16"/>
                <w:szCs w:val="16"/>
              </w:rPr>
            </w:pPr>
            <w:r>
              <w:rPr>
                <w:rFonts w:ascii="Arial" w:hAnsi="Arial" w:cs="Arial"/>
                <w:b/>
                <w:bCs/>
                <w:sz w:val="16"/>
                <w:szCs w:val="16"/>
              </w:rPr>
              <w:t>CAUSA</w:t>
            </w:r>
          </w:p>
        </w:tc>
        <w:tc>
          <w:tcPr>
            <w:tcW w:w="711" w:type="pct"/>
            <w:vAlign w:val="center"/>
          </w:tcPr>
          <w:p w14:paraId="30AA382E" w14:textId="77777777" w:rsidR="004A3674" w:rsidRPr="00636B72" w:rsidRDefault="004A3674">
            <w:pPr>
              <w:spacing w:before="40" w:after="60"/>
              <w:jc w:val="center"/>
              <w:rPr>
                <w:rFonts w:ascii="Arial" w:hAnsi="Arial" w:cs="Arial"/>
                <w:b/>
                <w:bCs/>
                <w:sz w:val="16"/>
                <w:szCs w:val="16"/>
              </w:rPr>
            </w:pPr>
            <w:r>
              <w:rPr>
                <w:rFonts w:ascii="Arial" w:hAnsi="Arial" w:cs="Arial"/>
                <w:b/>
                <w:bCs/>
                <w:sz w:val="16"/>
                <w:szCs w:val="16"/>
              </w:rPr>
              <w:t>EFEITO</w:t>
            </w:r>
          </w:p>
        </w:tc>
        <w:tc>
          <w:tcPr>
            <w:tcW w:w="1521" w:type="pct"/>
            <w:vAlign w:val="center"/>
          </w:tcPr>
          <w:p w14:paraId="0D3A19A0" w14:textId="77777777" w:rsidR="004A3674" w:rsidRPr="00636B72" w:rsidRDefault="004A3674">
            <w:pPr>
              <w:spacing w:before="40" w:after="60"/>
              <w:jc w:val="center"/>
              <w:rPr>
                <w:rFonts w:ascii="Arial" w:hAnsi="Arial" w:cs="Arial"/>
                <w:b/>
                <w:bCs/>
                <w:sz w:val="16"/>
                <w:szCs w:val="16"/>
              </w:rPr>
            </w:pPr>
            <w:r>
              <w:rPr>
                <w:rFonts w:ascii="Arial" w:hAnsi="Arial" w:cs="Arial"/>
                <w:b/>
                <w:bCs/>
                <w:sz w:val="16"/>
                <w:szCs w:val="16"/>
              </w:rPr>
              <w:t>ENCAMINHAMENTO</w:t>
            </w:r>
          </w:p>
        </w:tc>
      </w:tr>
      <w:tr w:rsidR="00C6354A" w:rsidRPr="00636B72" w14:paraId="23EC5547" w14:textId="77777777" w:rsidTr="004A3674">
        <w:trPr>
          <w:trHeight w:val="300"/>
        </w:trPr>
        <w:tc>
          <w:tcPr>
            <w:tcW w:w="473" w:type="pct"/>
          </w:tcPr>
          <w:p>
            <w:pPr>
              <w:spacing w:after="60"/>
              <w:jc w:val="both"/>
              <w:rPr>
                <w:rFonts w:ascii="Arial" w:hAnsi="Arial" w:cs="Arial"/>
                <w:b/>
                <w:bCs/>
                <w:sz w:val="18"/>
                <w:szCs w:val="18"/>
              </w:rPr>
            </w:pPr>
            <w:r>
              <w:rPr>
                <w:rFonts w:ascii="Arial" w:hAnsi="Arial" w:cs="Arial"/>
                <w:b/>
                <w:bCs/>
                <w:sz w:val="18"/>
                <w:szCs w:val="18"/>
              </w:rPr>
              <w:t>ACHADO 01</w:t>
            </w:r>
          </w:p>
          <w:p>
            <w:pPr>
              <w:spacing w:after="60"/>
              <w:jc w:val="both"/>
              <w:rPr>
                <w:rFonts w:ascii="Arial" w:hAnsi="Arial" w:cs="Arial"/>
                <w:b/>
                <w:bCs/>
                <w:sz w:val="18"/>
                <w:szCs w:val="18"/>
              </w:rPr>
            </w:pPr>
          </w:p>
          <w:p>
            <w:pPr>
              <w:spacing w:after="60"/>
              <w:jc w:val="both"/>
              <w:rPr>
                <w:rFonts w:ascii="Arial" w:hAnsi="Arial" w:cs="Arial"/>
                <w:b/>
                <w:bCs/>
                <w:sz w:val="18"/>
                <w:szCs w:val="18"/>
              </w:rPr>
            </w:pPr>
            <w:r>
              <w:rPr>
                <w:rFonts w:ascii="Arial" w:hAnsi="Arial" w:cs="Arial"/>
                <w:sz w:val="18"/>
                <w:szCs w:val="18"/>
              </w:rPr>
              <w:t>Estrutura de TIC insuficiente para coordenar, gerir e sustentar a tecnologia da informação</w:t>
            </w:r>
          </w:p>
        </w:tc>
        <w:tc>
          <w:tcPr>
            <w:tcW w:w="752" w:type="pct"/>
          </w:tcPr>
          <w:p>
            <w:pPr>
              <w:jc w:val="both"/>
              <w:rPr>
                <w:rFonts w:ascii="Arial" w:hAnsi="Arial" w:cs="Arial"/>
                <w:sz w:val="18"/>
                <w:szCs w:val="18"/>
                <w:vertAlign w:val="superscript"/>
              </w:rPr>
            </w:pPr>
            <w:r>
              <w:rPr>
                <w:rFonts w:ascii="Arial" w:hAnsi="Arial" w:cs="Arial"/>
                <w:b/>
                <w:sz w:val="18"/>
                <w:szCs w:val="18"/>
              </w:rPr>
              <w:t>COBIT 2019, APO01.04 - Definir e implementar as estruturas organizacionais:</w:t>
            </w:r>
            <w:r>
              <w:rPr>
                <w:rFonts w:ascii="Arial" w:hAnsi="Arial" w:cs="Arial"/>
                <w:sz w:val="18"/>
                <w:szCs w:val="18"/>
              </w:rPr>
              <w:t xml:space="preserve"> estabelecer estruturas organizacionais internas e externas necessárias para apoiar os objetivos de governança e gestão de TI.</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COBIT 2019, APO01.09 - Definição e comunicação de políticas e procedimentos:</w:t>
            </w:r>
            <w:r>
              <w:rPr>
                <w:rFonts w:ascii="Arial" w:hAnsi="Arial" w:cs="Arial"/>
                <w:sz w:val="18"/>
                <w:szCs w:val="18"/>
              </w:rPr>
              <w:t xml:space="preserve"> estabelecer e comunicar políticas e procedimentos de gestão de TI que orientem papéis, responsabilidades e controles.</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ABNT NBR ISO/IEC 38500:</w:t>
            </w:r>
            <w:r>
              <w:rPr>
                <w:rFonts w:ascii="Arial" w:hAnsi="Arial" w:cs="Arial"/>
                <w:sz w:val="18"/>
                <w:szCs w:val="18"/>
              </w:rPr>
              <w:t>2025, item 5.6.1 - Governança efetiva de TI: responsabilização clara, estrutura adequada de tomada de decisão e direção organizacional compatível com o uso atual e futuro da tecnologia.</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COBIT 2019, APO01.05 - Estabelecer papéis e responsabilidades:</w:t>
            </w:r>
            <w:r>
              <w:rPr>
                <w:rFonts w:ascii="Arial" w:hAnsi="Arial" w:cs="Arial"/>
                <w:sz w:val="18"/>
                <w:szCs w:val="18"/>
              </w:rPr>
              <w:t xml:space="preserve"> definir, comunicar e manter papéis e responsabilidades relacionados à governança e gestão de TI.</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COBIT 2019, APO01.06 - Aprimorar o posicionamento da função de TI:</w:t>
            </w:r>
            <w:r>
              <w:rPr>
                <w:rFonts w:ascii="Arial" w:hAnsi="Arial" w:cs="Arial"/>
                <w:sz w:val="18"/>
                <w:szCs w:val="18"/>
              </w:rPr>
              <w:t xml:space="preserve"> posicionar a função de tecnologia de modo compatível com sua relevância estratégica, responsabilidades e necessidade de interação com a alta administração.</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Portaria SGD/ME nº 778/2019, art. 4º, § 1º - Referência de posicionamento organizacional:</w:t>
            </w:r>
            <w:r>
              <w:rPr>
                <w:rFonts w:ascii="Arial" w:hAnsi="Arial" w:cs="Arial"/>
                <w:sz w:val="18"/>
                <w:szCs w:val="18"/>
              </w:rPr>
              <w:t xml:space="preserve"> para a obtenção de melhores resultados, a área de TIC de cada órgão ou entidade deve, preferencialmente, estar vinculada à alta administração, com o intuito de apoiá-la na tomada de decisões e no alcance dos objetivos estratégicos.</w:t>
            </w:r>
          </w:p>
        </w:tc>
        <w:tc>
          <w:tcPr>
            <w:tcW w:w="752" w:type="pct"/>
          </w:tcPr>
          <w:p>
            <w:pPr>
              <w:spacing w:after="60"/>
              <w:jc w:val="both"/>
              <w:rPr>
                <w:rFonts w:ascii="Arial" w:hAnsi="Arial" w:cs="Arial"/>
                <w:sz w:val="18"/>
                <w:szCs w:val="18"/>
              </w:rPr>
            </w:pPr>
            <w:r>
              <w:rPr>
                <w:rFonts w:ascii="Arial" w:hAnsi="Arial" w:cs="Arial"/>
                <w:b/>
                <w:bCs/>
                <w:sz w:val="18"/>
                <w:szCs w:val="18"/>
              </w:rPr>
              <w:t>Respostas ao Questionário iGovTI 2026</w:t>
            </w:r>
            <w:r>
              <w:rPr>
                <w:rFonts w:ascii="Arial" w:hAnsi="Arial" w:cs="Arial"/>
                <w:sz w:val="18"/>
                <w:szCs w:val="18"/>
              </w:rPr>
              <w:t xml:space="preserve"> - Situações caracterizadas pelas respostas declaradas às questões indicadas:</w:t>
            </w:r>
          </w:p>
          <w:p>
            <w:pPr>
              <w:spacing w:after="60"/>
              <w:jc w:val="both"/>
              <w:rPr>
                <w:rFonts w:ascii="Arial" w:hAnsi="Arial" w:cs="Arial"/>
                <w:sz w:val="18"/>
                <w:szCs w:val="18"/>
              </w:rPr>
            </w:pPr>
            <w:r>
              <w:rPr>
                <w:rFonts w:ascii="Arial" w:hAnsi="Arial" w:cs="Arial"/>
                <w:b/>
                <w:sz w:val="18"/>
                <w:szCs w:val="18"/>
              </w:rPr>
              <w:t xml:space="preserve">a) S1.1 - Ausência de área, unidade, setor ou função de TIC formalmente instituída.: </w:t>
            </w:r>
            <w:r>
              <w:rPr>
                <w:rFonts w:ascii="Arial" w:hAnsi="Arial" w:cs="Arial"/>
                <w:sz w:val="18"/>
                <w:szCs w:val="18"/>
              </w:rPr>
              <w:t>alternativa f) em q0101, observada a composição lógica definida na Matriz de Procedimentos de Auditoria.</w:t>
            </w:r>
          </w:p>
          <w:p>
            <w:pPr>
              <w:spacing w:after="60"/>
              <w:jc w:val="both"/>
              <w:rPr>
                <w:rFonts w:ascii="Arial" w:hAnsi="Arial" w:cs="Arial"/>
                <w:sz w:val="18"/>
                <w:szCs w:val="18"/>
              </w:rPr>
            </w:pPr>
            <w:r>
              <w:rPr>
                <w:rFonts w:ascii="Arial" w:hAnsi="Arial" w:cs="Arial"/>
                <w:b/>
                <w:sz w:val="18"/>
                <w:szCs w:val="18"/>
              </w:rPr>
              <w:t xml:space="preserve">b) S1.2 - Área de TIC sem atribuições formais suficientes para planejamento, coordenação, gestão, execução, monitoramento e controle da TIC.: </w:t>
            </w:r>
            <w:r>
              <w:rPr>
                <w:rFonts w:ascii="Arial" w:hAnsi="Arial" w:cs="Arial"/>
                <w:sz w:val="18"/>
                <w:szCs w:val="18"/>
              </w:rPr>
              <w:t>resposta distinta da alternativa f) em q0101; resposta "Sim" em q0103[G]; resposta "Não" em q0103[D]; resposta "Não conforme" em q0103[D], observada a composição lógica definida na Matriz de Procedimentos de Auditoria.</w:t>
            </w:r>
          </w:p>
          <w:p>
            <w:pPr>
              <w:spacing w:after="60"/>
              <w:jc w:val="both"/>
              <w:rPr>
                <w:rFonts w:ascii="Arial" w:hAnsi="Arial" w:cs="Arial"/>
                <w:sz w:val="18"/>
                <w:szCs w:val="18"/>
              </w:rPr>
            </w:pPr>
            <w:r>
              <w:rPr>
                <w:rFonts w:ascii="Arial" w:hAnsi="Arial" w:cs="Arial"/>
                <w:b/>
                <w:sz w:val="18"/>
                <w:szCs w:val="18"/>
              </w:rPr>
              <w:t xml:space="preserve">c) S1.3 - Posicionamento organizacional inadequado da área de TIC.: </w:t>
            </w:r>
            <w:r>
              <w:rPr>
                <w:rFonts w:ascii="Arial" w:hAnsi="Arial" w:cs="Arial"/>
                <w:sz w:val="18"/>
                <w:szCs w:val="18"/>
              </w:rPr>
              <w:t>resposta distinta da alternativa f) em q0101; uma das alternativas c), d), e) em q0102, observada a composição lógica definida na Matriz de Procedimentos de Auditoria.</w:t>
            </w:r>
          </w:p>
        </w:tc>
        <w:tc>
          <w:tcPr>
            <w:tcW w:w="790" w:type="pct"/>
          </w:tcPr>
          <w:p>
            <w:pPr>
              <w:jc w:val="both"/>
              <w:rPr>
                <w:rFonts w:ascii="Arial" w:hAnsi="Arial" w:cs="Arial"/>
                <w:sz w:val="18"/>
                <w:szCs w:val="18"/>
              </w:rPr>
            </w:pPr>
            <w:r>
              <w:rPr>
                <w:rFonts w:ascii="Arial" w:hAnsi="Arial" w:cs="Arial"/>
                <w:b/>
                <w:bCs/>
                <w:sz w:val="18"/>
                <w:szCs w:val="18"/>
              </w:rPr>
              <w:t>Não investigada.</w:t>
            </w:r>
          </w:p>
        </w:tc>
        <w:tc>
          <w:tcPr>
            <w:tcW w:w="711" w:type="pct"/>
          </w:tcPr>
          <w:p>
            <w:pPr>
              <w:spacing w:after="60"/>
              <w:jc w:val="both"/>
              <w:rPr>
                <w:rFonts w:ascii="Arial" w:hAnsi="Arial" w:cs="Arial"/>
                <w:sz w:val="18"/>
                <w:szCs w:val="18"/>
              </w:rPr>
            </w:pPr>
            <w:r>
              <w:rPr>
                <w:rFonts w:ascii="Arial" w:hAnsi="Arial" w:cs="Arial"/>
                <w:b/>
                <w:bCs/>
                <w:sz w:val="18"/>
                <w:szCs w:val="18"/>
              </w:rPr>
              <w:t>Fragilidade na responsabilização:</w:t>
            </w:r>
            <w:r>
              <w:rPr>
                <w:rFonts w:ascii="Arial" w:hAnsi="Arial" w:cs="Arial"/>
                <w:sz w:val="18"/>
                <w:szCs w:val="18"/>
              </w:rPr>
              <w:t xml:space="preserve"> Ausência de unidade ou função institucionalmente reconhecida para coordenar o uso da tecnologia da informação e responder por seus resultados.</w:t>
            </w:r>
          </w:p>
          <w:p>
            <w:pPr>
              <w:spacing w:after="60"/>
              <w:jc w:val="both"/>
              <w:rPr>
                <w:rFonts w:ascii="Arial" w:hAnsi="Arial" w:cs="Arial"/>
                <w:sz w:val="18"/>
                <w:szCs w:val="18"/>
              </w:rPr>
            </w:pPr>
          </w:p>
          <w:p>
            <w:pPr>
              <w:spacing w:after="60"/>
              <w:jc w:val="both"/>
              <w:rPr>
                <w:rFonts w:ascii="Arial" w:hAnsi="Arial" w:cs="Arial"/>
                <w:sz w:val="18"/>
                <w:szCs w:val="18"/>
              </w:rPr>
            </w:pPr>
            <w:r>
              <w:rPr>
                <w:rFonts w:ascii="Arial" w:hAnsi="Arial" w:cs="Arial"/>
                <w:b/>
                <w:bCs/>
                <w:sz w:val="18"/>
                <w:szCs w:val="18"/>
              </w:rPr>
              <w:t>Atuação reativa e fragmentada:</w:t>
            </w:r>
            <w:r>
              <w:rPr>
                <w:rFonts w:ascii="Arial" w:hAnsi="Arial" w:cs="Arial"/>
                <w:sz w:val="18"/>
                <w:szCs w:val="18"/>
              </w:rPr>
              <w:t xml:space="preserve"> Falta de clareza sobre as responsabilidades de planejamento, coordenação, gestão, execução, monitoramento e controle da TIC.</w:t>
            </w:r>
          </w:p>
          <w:p>
            <w:pPr>
              <w:spacing w:after="60"/>
              <w:jc w:val="both"/>
              <w:rPr>
                <w:rFonts w:ascii="Arial" w:hAnsi="Arial" w:cs="Arial"/>
                <w:sz w:val="18"/>
                <w:szCs w:val="18"/>
              </w:rPr>
            </w:pPr>
          </w:p>
          <w:p>
            <w:pPr>
              <w:spacing w:after="60"/>
              <w:jc w:val="both"/>
              <w:rPr>
                <w:rFonts w:ascii="Arial" w:hAnsi="Arial" w:cs="Arial"/>
                <w:sz w:val="18"/>
                <w:szCs w:val="18"/>
              </w:rPr>
            </w:pPr>
            <w:r>
              <w:rPr>
                <w:rFonts w:ascii="Arial" w:hAnsi="Arial" w:cs="Arial"/>
                <w:b/>
                <w:bCs/>
                <w:sz w:val="18"/>
                <w:szCs w:val="18"/>
              </w:rPr>
              <w:t>Baixa influência institucional:</w:t>
            </w:r>
            <w:r>
              <w:rPr>
                <w:rFonts w:ascii="Arial" w:hAnsi="Arial" w:cs="Arial"/>
                <w:sz w:val="18"/>
                <w:szCs w:val="18"/>
              </w:rPr>
              <w:t xml:space="preserve"> Participação insuficiente da TIC em decisões estratégicas, orçamentárias, contratuais e de gestão de riscos.</w:t>
            </w:r>
          </w:p>
        </w:tc>
        <w:tc>
          <w:tcPr>
            <w:tcW w:w="1521" w:type="pct"/>
          </w:tcPr>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formalize a área, unidade, setor ou função de TIC em regimento, decreto, portaria, resolução, organograma ou instrumento equivalente, definindo sua vinculação e suas responsabilidades essenciais de modo compatível com o porte, a complexidade e a dependência tecnológica da organização [S1.1].</w:t>
            </w:r>
          </w:p>
          <w:p>
            <w:pPr>
              <w:jc w:val="both"/>
              <w:rPr>
                <w:rFonts w:ascii="Arial" w:hAnsi="Arial" w:cs="Arial"/>
                <w:sz w:val="18"/>
                <w:szCs w:val="18"/>
              </w:rPr>
            </w:pPr>
          </w:p>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defina formalmente as atribuições da área de TIC, atentando-se, minimamente, em abranger as atividades de planejamento, coordenação, gestão, execução, monitoramento e controle da TIC [S1.2].</w:t>
            </w:r>
          </w:p>
          <w:p>
            <w:pPr>
              <w:jc w:val="both"/>
              <w:rPr>
                <w:rFonts w:ascii="Arial" w:hAnsi="Arial" w:cs="Arial"/>
                <w:sz w:val="18"/>
                <w:szCs w:val="18"/>
              </w:rPr>
            </w:pPr>
          </w:p>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avalie e ajuste o posicionamento organizacional da área de TIC, atentando-se, minimamente, em assegurar interlocução adequada com a alta administração e participação nas decisões estratégicas, orçamentárias, contratuais e de gestão de riscos relacionadas à tecnologia da informação [S1.3].</w:t>
            </w:r>
          </w:p>
        </w:tc>
      </w:tr>
    </w:tbl>
    <w:p w14:paraId="3C9052A5" w14:textId="77777777" w:rsidR="008F694B" w:rsidRDefault="008F694B" w:rsidP="001E6730">
      <w:pPr>
        <w:jc w:val="center"/>
        <w:rPr>
          <w:rFonts w:ascii="Arial" w:hAnsi="Arial" w:cs="Arial"/>
          <w:b/>
        </w:rPr>
      </w:pPr>
    </w:p>
    <w:tbl>
      <w:tblPr>
        <w:tblStyle w:val="Tabelacomgrad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3364"/>
        <w:gridCol w:w="3364"/>
        <w:gridCol w:w="3534"/>
        <w:gridCol w:w="3179"/>
        <w:gridCol w:w="6801"/>
      </w:tblGrid>
      <w:tr w:rsidR="008F694B" w:rsidRPr="00636B72" w14:paraId="1EF158A8" w14:textId="77777777">
        <w:trPr>
          <w:trHeight w:val="300"/>
          <w:tblHeader/>
        </w:trPr>
        <w:tc>
          <w:tcPr>
            <w:tcW w:w="473" w:type="pct"/>
          </w:tcPr>
          <w:p w14:paraId="51E84590" w14:textId="77777777" w:rsidR="008F694B" w:rsidRPr="00636B72" w:rsidRDefault="008F694B">
            <w:pPr>
              <w:autoSpaceDE w:val="0"/>
              <w:autoSpaceDN w:val="0"/>
              <w:adjustRightInd w:val="0"/>
              <w:spacing w:before="40" w:after="60"/>
              <w:jc w:val="center"/>
              <w:rPr>
                <w:rFonts w:ascii="Arial" w:hAnsi="Arial" w:cs="Arial"/>
                <w:b/>
                <w:bCs/>
                <w:sz w:val="16"/>
                <w:szCs w:val="16"/>
              </w:rPr>
              <w:pageBreakBefore/>
            </w:pPr>
            <w:r>
              <w:rPr>
                <w:rFonts w:ascii="Arial" w:hAnsi="Arial" w:cs="Arial"/>
                <w:b/>
                <w:bCs/>
                <w:sz w:val="16"/>
                <w:szCs w:val="16"/>
              </w:rPr>
              <w:lastRenderedPageBreak/>
              <w:t>ACHADO</w:t>
            </w:r>
          </w:p>
        </w:tc>
        <w:tc>
          <w:tcPr>
            <w:tcW w:w="752" w:type="pct"/>
            <w:vAlign w:val="center"/>
          </w:tcPr>
          <w:p w14:paraId="56C18452" w14:textId="77777777" w:rsidR="008F694B" w:rsidRPr="00636B72" w:rsidRDefault="008F694B">
            <w:pPr>
              <w:autoSpaceDE w:val="0"/>
              <w:autoSpaceDN w:val="0"/>
              <w:adjustRightInd w:val="0"/>
              <w:spacing w:before="40" w:after="60"/>
              <w:jc w:val="center"/>
              <w:rPr>
                <w:rFonts w:ascii="Arial" w:hAnsi="Arial" w:cs="Arial"/>
                <w:b/>
                <w:bCs/>
                <w:sz w:val="16"/>
                <w:szCs w:val="16"/>
              </w:rPr>
            </w:pPr>
            <w:r>
              <w:rPr>
                <w:rFonts w:ascii="Arial" w:hAnsi="Arial" w:cs="Arial"/>
                <w:b/>
                <w:bCs/>
                <w:sz w:val="16"/>
                <w:szCs w:val="16"/>
              </w:rPr>
              <w:t>CRITÉRIO</w:t>
            </w:r>
          </w:p>
        </w:tc>
        <w:tc>
          <w:tcPr>
            <w:tcW w:w="752" w:type="pct"/>
            <w:vAlign w:val="center"/>
          </w:tcPr>
          <w:p w14:paraId="58FE23EA" w14:textId="77777777" w:rsidR="008F694B" w:rsidRPr="00636B72" w:rsidRDefault="008F694B">
            <w:pPr>
              <w:spacing w:before="40" w:after="60"/>
              <w:jc w:val="center"/>
              <w:rPr>
                <w:rFonts w:ascii="Arial" w:hAnsi="Arial" w:cs="Arial"/>
                <w:b/>
                <w:bCs/>
                <w:sz w:val="16"/>
                <w:szCs w:val="16"/>
              </w:rPr>
            </w:pPr>
            <w:r>
              <w:rPr>
                <w:rFonts w:ascii="Arial" w:hAnsi="Arial" w:cs="Arial"/>
                <w:b/>
                <w:bCs/>
                <w:sz w:val="16"/>
                <w:szCs w:val="16"/>
              </w:rPr>
              <w:t>EVIDÊNCIA</w:t>
            </w:r>
          </w:p>
        </w:tc>
        <w:tc>
          <w:tcPr>
            <w:tcW w:w="790" w:type="pct"/>
            <w:vAlign w:val="center"/>
          </w:tcPr>
          <w:p w14:paraId="28B4B7F4" w14:textId="77777777" w:rsidR="008F694B" w:rsidRPr="00636B72" w:rsidRDefault="008F694B">
            <w:pPr>
              <w:spacing w:before="40" w:after="60"/>
              <w:jc w:val="center"/>
              <w:rPr>
                <w:rFonts w:ascii="Arial" w:hAnsi="Arial" w:cs="Arial"/>
                <w:b/>
                <w:bCs/>
                <w:strike/>
                <w:sz w:val="16"/>
                <w:szCs w:val="16"/>
              </w:rPr>
            </w:pPr>
            <w:r>
              <w:rPr>
                <w:rFonts w:ascii="Arial" w:hAnsi="Arial" w:cs="Arial"/>
                <w:b/>
                <w:bCs/>
                <w:sz w:val="16"/>
                <w:szCs w:val="16"/>
              </w:rPr>
              <w:t>CAUSA</w:t>
            </w:r>
          </w:p>
        </w:tc>
        <w:tc>
          <w:tcPr>
            <w:tcW w:w="711" w:type="pct"/>
            <w:vAlign w:val="center"/>
          </w:tcPr>
          <w:p w14:paraId="3801CD5B" w14:textId="77777777" w:rsidR="008F694B" w:rsidRPr="00636B72" w:rsidRDefault="008F694B">
            <w:pPr>
              <w:spacing w:before="40" w:after="60"/>
              <w:jc w:val="center"/>
              <w:rPr>
                <w:rFonts w:ascii="Arial" w:hAnsi="Arial" w:cs="Arial"/>
                <w:b/>
                <w:bCs/>
                <w:sz w:val="16"/>
                <w:szCs w:val="16"/>
              </w:rPr>
            </w:pPr>
            <w:r>
              <w:rPr>
                <w:rFonts w:ascii="Arial" w:hAnsi="Arial" w:cs="Arial"/>
                <w:b/>
                <w:bCs/>
                <w:sz w:val="16"/>
                <w:szCs w:val="16"/>
              </w:rPr>
              <w:t>EFEITO</w:t>
            </w:r>
          </w:p>
        </w:tc>
        <w:tc>
          <w:tcPr>
            <w:tcW w:w="1521" w:type="pct"/>
            <w:vAlign w:val="center"/>
          </w:tcPr>
          <w:p w14:paraId="382FDB00" w14:textId="77777777" w:rsidR="008F694B" w:rsidRPr="00636B72" w:rsidRDefault="008F694B">
            <w:pPr>
              <w:spacing w:before="40" w:after="60"/>
              <w:jc w:val="center"/>
              <w:rPr>
                <w:rFonts w:ascii="Arial" w:hAnsi="Arial" w:cs="Arial"/>
                <w:b/>
                <w:bCs/>
                <w:sz w:val="16"/>
                <w:szCs w:val="16"/>
              </w:rPr>
            </w:pPr>
            <w:r>
              <w:rPr>
                <w:rFonts w:ascii="Arial" w:hAnsi="Arial" w:cs="Arial"/>
                <w:b/>
                <w:bCs/>
                <w:sz w:val="16"/>
                <w:szCs w:val="16"/>
              </w:rPr>
              <w:t>ENCAMINHAMENTO</w:t>
            </w:r>
          </w:p>
        </w:tc>
      </w:tr>
      <w:tr w:rsidR="00BC3062" w:rsidRPr="00636B72" w14:paraId="3C4DF538" w14:textId="77777777">
        <w:trPr>
          <w:trHeight w:val="300"/>
        </w:trPr>
        <w:tc>
          <w:tcPr>
            <w:tcW w:w="473" w:type="pct"/>
          </w:tcPr>
          <w:p>
            <w:pPr>
              <w:spacing w:after="60"/>
              <w:jc w:val="both"/>
              <w:rPr>
                <w:rFonts w:ascii="Arial" w:hAnsi="Arial" w:cs="Arial"/>
                <w:b/>
                <w:bCs/>
                <w:sz w:val="18"/>
                <w:szCs w:val="18"/>
              </w:rPr>
            </w:pPr>
            <w:r>
              <w:rPr>
                <w:rFonts w:ascii="Arial" w:hAnsi="Arial" w:cs="Arial"/>
                <w:b/>
                <w:bCs/>
                <w:sz w:val="18"/>
                <w:szCs w:val="18"/>
              </w:rPr>
              <w:t>ACHADO 02</w:t>
            </w:r>
          </w:p>
          <w:p>
            <w:pPr>
              <w:spacing w:after="60"/>
              <w:jc w:val="both"/>
              <w:rPr>
                <w:rFonts w:ascii="Arial" w:hAnsi="Arial" w:cs="Arial"/>
                <w:b/>
                <w:bCs/>
                <w:sz w:val="18"/>
                <w:szCs w:val="18"/>
              </w:rPr>
            </w:pPr>
          </w:p>
          <w:p>
            <w:pPr>
              <w:spacing w:after="60"/>
              <w:jc w:val="both"/>
              <w:rPr>
                <w:rFonts w:ascii="Arial" w:hAnsi="Arial" w:cs="Arial"/>
                <w:b/>
                <w:bCs/>
                <w:sz w:val="18"/>
                <w:szCs w:val="18"/>
              </w:rPr>
            </w:pPr>
            <w:r>
              <w:rPr>
                <w:rFonts w:ascii="Arial" w:hAnsi="Arial" w:cs="Arial"/>
                <w:sz w:val="18"/>
                <w:szCs w:val="18"/>
              </w:rPr>
              <w:t>Governança de TIC insuficiente para avaliar, dirigir e monitorar a tecnologia da informação</w:t>
            </w:r>
          </w:p>
        </w:tc>
        <w:tc>
          <w:tcPr>
            <w:tcW w:w="752" w:type="pct"/>
          </w:tcPr>
          <w:p>
            <w:pPr>
              <w:jc w:val="both"/>
              <w:rPr>
                <w:rFonts w:ascii="Arial" w:hAnsi="Arial" w:cs="Arial"/>
                <w:sz w:val="18"/>
                <w:szCs w:val="18"/>
                <w:vertAlign w:val="superscript"/>
              </w:rPr>
            </w:pPr>
            <w:r>
              <w:rPr>
                <w:rFonts w:ascii="Arial" w:hAnsi="Arial" w:cs="Arial"/>
                <w:b/>
                <w:sz w:val="18"/>
                <w:szCs w:val="18"/>
              </w:rPr>
              <w:t>COBIT 2019, EDM01.02 - Dirigir o sistema de governança:</w:t>
            </w:r>
            <w:r>
              <w:rPr>
                <w:rFonts w:ascii="Arial" w:hAnsi="Arial" w:cs="Arial"/>
                <w:sz w:val="18"/>
                <w:szCs w:val="18"/>
              </w:rPr>
              <w:t xml:space="preserve"> orientar estruturas, princípios, processos e práticas de governança para assegurar que a TI apoie os objetivos organizacionais.</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COBIT 2019, MEA01.04 - Avaliar o desempenho:</w:t>
            </w:r>
            <w:r>
              <w:rPr>
                <w:rFonts w:ascii="Arial" w:hAnsi="Arial" w:cs="Arial"/>
                <w:sz w:val="18"/>
                <w:szCs w:val="18"/>
              </w:rPr>
              <w:t xml:space="preserve"> monitorar e avaliar periodicamente o desempenho e a conformidade da TI em relação a objetivos, indicadores, metas e expectativas das partes interessadas.</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Acórdão TCE-RJ 44.490/2024-PLEN, item II.1:</w:t>
            </w:r>
            <w:r>
              <w:rPr>
                <w:rFonts w:ascii="Arial" w:hAnsi="Arial" w:cs="Arial"/>
                <w:sz w:val="18"/>
                <w:szCs w:val="18"/>
              </w:rPr>
              <w:t xml:space="preserve"> necessidade de estrutura de governança de TI, especialmente Comitê de Tecnologia da Informação ou instância equivalente, com participação de áreas relevantes, responsabilidade de alinhar as ações de TI aos objetivos institucionais, priorizar investimentos e monitorar o desempenho da TI com base em indicadores e metas.</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Decreto nº 12.198/2024, art. 5º - Instituição do CGD, colegiado responsável por definir diretrizes e estratégias sobre uso de recursos digitais nos órgãos e entidades da administração pública federal direta, autárquica e fundacional.</w:t>
            </w:r>
            <w:r>
              <w:rPr>
                <w:rFonts w:ascii="Arial" w:hAnsi="Arial" w:cs="Arial"/>
                <w:sz w:val="18"/>
                <w:szCs w:val="18"/>
              </w:rPr>
              <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COBIT 2019, APO01.05 - Estabelecer papéis e responsabilidades:</w:t>
            </w:r>
            <w:r>
              <w:rPr>
                <w:rFonts w:ascii="Arial" w:hAnsi="Arial" w:cs="Arial"/>
                <w:sz w:val="18"/>
                <w:szCs w:val="18"/>
              </w:rPr>
              <w:t xml:space="preserve"> definir, comunicar e manter papéis e responsabilidades relacionados à governança e gestão de TI.</w:t>
            </w:r>
          </w:p>
        </w:tc>
        <w:tc>
          <w:tcPr>
            <w:tcW w:w="752" w:type="pct"/>
          </w:tcPr>
          <w:p>
            <w:pPr>
              <w:spacing w:after="60"/>
              <w:jc w:val="both"/>
              <w:rPr>
                <w:rFonts w:ascii="Arial" w:hAnsi="Arial" w:cs="Arial"/>
                <w:sz w:val="18"/>
                <w:szCs w:val="18"/>
              </w:rPr>
            </w:pPr>
            <w:r>
              <w:rPr>
                <w:rFonts w:ascii="Arial" w:hAnsi="Arial" w:cs="Arial"/>
                <w:b/>
                <w:bCs/>
                <w:sz w:val="18"/>
                <w:szCs w:val="18"/>
              </w:rPr>
              <w:t>Respostas ao Questionário iGovTI 2026</w:t>
            </w:r>
            <w:r>
              <w:rPr>
                <w:rFonts w:ascii="Arial" w:hAnsi="Arial" w:cs="Arial"/>
                <w:sz w:val="18"/>
                <w:szCs w:val="18"/>
              </w:rPr>
              <w:t xml:space="preserve"> - Situações caracterizadas pelas respostas declaradas às questões indicadas:</w:t>
            </w:r>
          </w:p>
          <w:p>
            <w:pPr>
              <w:spacing w:after="60"/>
              <w:jc w:val="both"/>
              <w:rPr>
                <w:rFonts w:ascii="Arial" w:hAnsi="Arial" w:cs="Arial"/>
                <w:sz w:val="18"/>
                <w:szCs w:val="18"/>
              </w:rPr>
            </w:pPr>
            <w:r>
              <w:rPr>
                <w:rFonts w:ascii="Arial" w:hAnsi="Arial" w:cs="Arial"/>
                <w:b/>
                <w:sz w:val="18"/>
                <w:szCs w:val="18"/>
              </w:rPr>
              <w:t xml:space="preserve">a) S2.1 - Modelo básico de governança e gestão de TIC inexistente ou insuficiente quanto a papéis, responsabilidades, objetivos, indicadores, metas ou acompanhamento.: </w:t>
            </w:r>
            <w:r>
              <w:rPr>
                <w:rFonts w:ascii="Arial" w:hAnsi="Arial" w:cs="Arial"/>
                <w:sz w:val="18"/>
                <w:szCs w:val="18"/>
              </w:rPr>
              <w:t>resposta "Não" ou "N/A" em q1001ext[C], q1001ext[H], q1002ext[A] e q1002ext[C]; resposta "Não conforme" em q1001ext[C], q1001ext[H], q1002ext[A] e q1002ext[C], observada a composição lógica definida na Matriz de Procedimentos de Auditoria.</w:t>
            </w:r>
          </w:p>
          <w:p>
            <w:pPr>
              <w:spacing w:after="60"/>
              <w:jc w:val="both"/>
              <w:rPr>
                <w:rFonts w:ascii="Arial" w:hAnsi="Arial" w:cs="Arial"/>
                <w:sz w:val="18"/>
                <w:szCs w:val="18"/>
              </w:rPr>
            </w:pPr>
            <w:r>
              <w:rPr>
                <w:rFonts w:ascii="Arial" w:hAnsi="Arial" w:cs="Arial"/>
                <w:b/>
                <w:sz w:val="18"/>
                <w:szCs w:val="18"/>
              </w:rPr>
              <w:t xml:space="preserve">b) S2.2 - Comitê de TIC ou instância equivalente não instituído formalmente.: </w:t>
            </w:r>
            <w:r>
              <w:rPr>
                <w:rFonts w:ascii="Arial" w:hAnsi="Arial" w:cs="Arial"/>
                <w:sz w:val="18"/>
                <w:szCs w:val="18"/>
              </w:rPr>
              <w:t>resposta "Não" ou "N/A" em q1001ext[E]; resposta "Não conforme" em q1001ext[E], observada a composição lógica definida na Matriz de Procedimentos de Auditoria.</w:t>
            </w:r>
          </w:p>
          <w:p>
            <w:pPr>
              <w:spacing w:after="60"/>
              <w:jc w:val="both"/>
              <w:rPr>
                <w:rFonts w:ascii="Arial" w:hAnsi="Arial" w:cs="Arial"/>
                <w:sz w:val="18"/>
                <w:szCs w:val="18"/>
              </w:rPr>
            </w:pPr>
            <w:r>
              <w:rPr>
                <w:rFonts w:ascii="Arial" w:hAnsi="Arial" w:cs="Arial"/>
                <w:b/>
                <w:sz w:val="18"/>
                <w:szCs w:val="18"/>
              </w:rPr>
              <w:t xml:space="preserve">c) S2.3 - Comitê de TIC ou instância equivalente sem evidências suficientes de atuação efetiva.: </w:t>
            </w:r>
            <w:r>
              <w:rPr>
                <w:rFonts w:ascii="Arial" w:hAnsi="Arial" w:cs="Arial"/>
                <w:sz w:val="18"/>
                <w:szCs w:val="18"/>
              </w:rPr>
              <w:t>resposta "Sim" em q1001ext[E]; resposta "Não conforme" em q1001ext[E] e q1001ext[F]; resposta "Não" ou "N/A" em q1001ext[F], observada a composição lógica definida na Matriz de Procedimentos de Auditoria.</w:t>
            </w:r>
          </w:p>
        </w:tc>
        <w:tc>
          <w:tcPr>
            <w:tcW w:w="790" w:type="pct"/>
          </w:tcPr>
          <w:p>
            <w:pPr>
              <w:jc w:val="both"/>
              <w:rPr>
                <w:rFonts w:ascii="Arial" w:hAnsi="Arial" w:cs="Arial"/>
                <w:sz w:val="18"/>
                <w:szCs w:val="18"/>
              </w:rPr>
            </w:pPr>
            <w:r>
              <w:rPr>
                <w:rFonts w:ascii="Arial" w:hAnsi="Arial" w:cs="Arial"/>
                <w:b/>
                <w:bCs/>
                <w:sz w:val="18"/>
                <w:szCs w:val="18"/>
              </w:rPr>
              <w:t>Não investigada.</w:t>
            </w:r>
          </w:p>
        </w:tc>
        <w:tc>
          <w:tcPr>
            <w:tcW w:w="711" w:type="pct"/>
          </w:tcPr>
          <w:p>
            <w:pPr>
              <w:spacing w:after="60"/>
              <w:jc w:val="both"/>
              <w:rPr>
                <w:rFonts w:ascii="Arial" w:hAnsi="Arial" w:cs="Arial"/>
                <w:sz w:val="18"/>
                <w:szCs w:val="18"/>
              </w:rPr>
            </w:pPr>
            <w:r>
              <w:rPr>
                <w:rFonts w:ascii="Arial" w:hAnsi="Arial" w:cs="Arial"/>
                <w:b/>
                <w:bCs/>
                <w:sz w:val="18"/>
                <w:szCs w:val="18"/>
              </w:rPr>
              <w:t>Direcionamento insuficiente da TIC:</w:t>
            </w:r>
            <w:r>
              <w:rPr>
                <w:rFonts w:ascii="Arial" w:hAnsi="Arial" w:cs="Arial"/>
                <w:sz w:val="18"/>
                <w:szCs w:val="18"/>
              </w:rPr>
              <w:t xml:space="preserve"> Baixa clareza sobre papéis, responsabilidades, objetivos, indicadores, metas e acompanhamento do desempenho da TIC.</w:t>
            </w:r>
          </w:p>
          <w:p>
            <w:pPr>
              <w:spacing w:after="60"/>
              <w:jc w:val="both"/>
              <w:rPr>
                <w:rFonts w:ascii="Arial" w:hAnsi="Arial" w:cs="Arial"/>
                <w:sz w:val="18"/>
                <w:szCs w:val="18"/>
              </w:rPr>
            </w:pPr>
          </w:p>
          <w:p>
            <w:pPr>
              <w:spacing w:after="60"/>
              <w:jc w:val="both"/>
              <w:rPr>
                <w:rFonts w:ascii="Arial" w:hAnsi="Arial" w:cs="Arial"/>
                <w:sz w:val="18"/>
                <w:szCs w:val="18"/>
              </w:rPr>
            </w:pPr>
            <w:r>
              <w:rPr>
                <w:rFonts w:ascii="Arial" w:hAnsi="Arial" w:cs="Arial"/>
                <w:b/>
                <w:bCs/>
                <w:sz w:val="18"/>
                <w:szCs w:val="18"/>
              </w:rPr>
              <w:t>Priorização deficiente:</w:t>
            </w:r>
            <w:r>
              <w:rPr>
                <w:rFonts w:ascii="Arial" w:hAnsi="Arial" w:cs="Arial"/>
                <w:sz w:val="18"/>
                <w:szCs w:val="18"/>
              </w:rPr>
              <w:t xml:space="preserve"> Ausência de instância colegiada para deliberar sobre prioridades, projetos, riscos, serviços, orçamento e contratações de TIC.</w:t>
            </w:r>
          </w:p>
          <w:p>
            <w:pPr>
              <w:spacing w:after="60"/>
              <w:jc w:val="both"/>
              <w:rPr>
                <w:rFonts w:ascii="Arial" w:hAnsi="Arial" w:cs="Arial"/>
                <w:sz w:val="18"/>
                <w:szCs w:val="18"/>
              </w:rPr>
            </w:pPr>
          </w:p>
          <w:p>
            <w:pPr>
              <w:spacing w:after="60"/>
              <w:jc w:val="both"/>
              <w:rPr>
                <w:rFonts w:ascii="Arial" w:hAnsi="Arial" w:cs="Arial"/>
                <w:sz w:val="18"/>
                <w:szCs w:val="18"/>
              </w:rPr>
            </w:pPr>
            <w:r>
              <w:rPr>
                <w:rFonts w:ascii="Arial" w:hAnsi="Arial" w:cs="Arial"/>
                <w:b/>
                <w:bCs/>
                <w:sz w:val="18"/>
                <w:szCs w:val="18"/>
              </w:rPr>
              <w:t>Governança meramente formal:</w:t>
            </w:r>
            <w:r>
              <w:rPr>
                <w:rFonts w:ascii="Arial" w:hAnsi="Arial" w:cs="Arial"/>
                <w:sz w:val="18"/>
                <w:szCs w:val="18"/>
              </w:rPr>
              <w:t xml:space="preserve"> Inexistência de reuniões, deliberações e acompanhamento efetivo das decisões relacionadas à TIC.</w:t>
            </w:r>
          </w:p>
        </w:tc>
        <w:tc>
          <w:tcPr>
            <w:tcW w:w="1521" w:type="pct"/>
          </w:tcPr>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estabeleça modelo básico de governança e gestão de TIC, atentando-se, minimamente, em definir papéis e responsabilidades, objetivos, indicadores, metas e forma de acompanhamento periódico do desempenho da TIC pela alta administração [S2.1].</w:t>
            </w:r>
          </w:p>
          <w:p>
            <w:pPr>
              <w:jc w:val="both"/>
              <w:rPr>
                <w:rFonts w:ascii="Arial" w:hAnsi="Arial" w:cs="Arial"/>
                <w:sz w:val="18"/>
                <w:szCs w:val="18"/>
              </w:rPr>
            </w:pPr>
          </w:p>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institua formalmente Comitê de TIC ou instância equivalente, compatível com o porte e a estrutura decisória da organização, atentando-se, minimamente, em definir sua composição, competências, periodicidade de reuniões, forma de registro das deliberações e acompanhamento dos encaminhamentos [S2.2].</w:t>
            </w:r>
          </w:p>
          <w:p>
            <w:pPr>
              <w:jc w:val="both"/>
              <w:rPr>
                <w:rFonts w:ascii="Arial" w:hAnsi="Arial" w:cs="Arial"/>
                <w:sz w:val="18"/>
                <w:szCs w:val="18"/>
              </w:rPr>
            </w:pPr>
          </w:p>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assegure o funcionamento efetivo do Comitê de TIC ou instância equivalente, compatível com o porte e a estrutura decisória da organização, atentando-se, minimamente, em realizar reuniões periódicas, registrar deliberações e acompanhar decisões sobre prioridades, projetos, riscos, serviços, orçamento e contratações de TIC [S2.3].</w:t>
            </w:r>
          </w:p>
        </w:tc>
      </w:tr>
    </w:tbl>
    <w:p w14:paraId="15C527BC" w14:textId="77777777" w:rsidR="00467394" w:rsidRDefault="00467394" w:rsidP="001E6730">
      <w:pPr>
        <w:jc w:val="center"/>
        <w:rPr>
          <w:rFonts w:ascii="Arial" w:hAnsi="Arial" w:cs="Arial"/>
          <w:b/>
        </w:rPr>
      </w:pPr>
    </w:p>
    <w:tbl>
      <w:tblPr>
        <w:tblStyle w:val="Tabelacomgrad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3364"/>
        <w:gridCol w:w="3364"/>
        <w:gridCol w:w="3534"/>
        <w:gridCol w:w="3179"/>
        <w:gridCol w:w="6801"/>
      </w:tblGrid>
      <w:tr w:rsidR="00467394" w:rsidRPr="00636B72" w14:paraId="6B293243" w14:textId="77777777" w:rsidTr="003A6734">
        <w:trPr>
          <w:trHeight w:val="300"/>
          <w:tblHeader/>
        </w:trPr>
        <w:tc>
          <w:tcPr>
            <w:tcW w:w="473" w:type="pct"/>
          </w:tcPr>
          <w:p w14:paraId="48526400" w14:textId="77777777" w:rsidR="00467394" w:rsidRPr="00636B72" w:rsidRDefault="00467394" w:rsidP="003A6734">
            <w:pPr>
              <w:autoSpaceDE w:val="0"/>
              <w:autoSpaceDN w:val="0"/>
              <w:adjustRightInd w:val="0"/>
              <w:spacing w:before="40" w:after="60"/>
              <w:jc w:val="center"/>
              <w:rPr>
                <w:rFonts w:ascii="Arial" w:hAnsi="Arial" w:cs="Arial"/>
                <w:b/>
                <w:bCs/>
                <w:sz w:val="16"/>
                <w:szCs w:val="16"/>
              </w:rPr>
              <w:pageBreakBefore/>
            </w:pPr>
            <w:r>
              <w:rPr>
                <w:rFonts w:ascii="Arial" w:hAnsi="Arial" w:cs="Arial"/>
                <w:b/>
                <w:bCs/>
                <w:sz w:val="16"/>
                <w:szCs w:val="16"/>
              </w:rPr>
              <w:lastRenderedPageBreak/>
              <w:t>ACHADO</w:t>
            </w:r>
          </w:p>
        </w:tc>
        <w:tc>
          <w:tcPr>
            <w:tcW w:w="752" w:type="pct"/>
            <w:vAlign w:val="center"/>
          </w:tcPr>
          <w:p w14:paraId="1BD3200E" w14:textId="77777777" w:rsidR="00467394" w:rsidRPr="00636B72" w:rsidRDefault="00467394" w:rsidP="003A6734">
            <w:pPr>
              <w:autoSpaceDE w:val="0"/>
              <w:autoSpaceDN w:val="0"/>
              <w:adjustRightInd w:val="0"/>
              <w:spacing w:before="40" w:after="60"/>
              <w:jc w:val="center"/>
              <w:rPr>
                <w:rFonts w:ascii="Arial" w:hAnsi="Arial" w:cs="Arial"/>
                <w:b/>
                <w:bCs/>
                <w:sz w:val="16"/>
                <w:szCs w:val="16"/>
              </w:rPr>
            </w:pPr>
            <w:r>
              <w:rPr>
                <w:rFonts w:ascii="Arial" w:hAnsi="Arial" w:cs="Arial"/>
                <w:b/>
                <w:bCs/>
                <w:sz w:val="16"/>
                <w:szCs w:val="16"/>
              </w:rPr>
              <w:t>CRITÉRIO</w:t>
            </w:r>
          </w:p>
        </w:tc>
        <w:tc>
          <w:tcPr>
            <w:tcW w:w="752" w:type="pct"/>
            <w:vAlign w:val="center"/>
          </w:tcPr>
          <w:p w14:paraId="0D817A94" w14:textId="77777777" w:rsidR="00467394" w:rsidRPr="00636B72" w:rsidRDefault="00467394" w:rsidP="003A6734">
            <w:pPr>
              <w:spacing w:before="40" w:after="60"/>
              <w:jc w:val="center"/>
              <w:rPr>
                <w:rFonts w:ascii="Arial" w:hAnsi="Arial" w:cs="Arial"/>
                <w:b/>
                <w:bCs/>
                <w:sz w:val="16"/>
                <w:szCs w:val="16"/>
              </w:rPr>
            </w:pPr>
            <w:r>
              <w:rPr>
                <w:rFonts w:ascii="Arial" w:hAnsi="Arial" w:cs="Arial"/>
                <w:b/>
                <w:bCs/>
                <w:sz w:val="16"/>
                <w:szCs w:val="16"/>
              </w:rPr>
              <w:t>EVIDÊNCIA</w:t>
            </w:r>
          </w:p>
        </w:tc>
        <w:tc>
          <w:tcPr>
            <w:tcW w:w="790" w:type="pct"/>
            <w:vAlign w:val="center"/>
          </w:tcPr>
          <w:p w14:paraId="3B4829CD" w14:textId="77777777" w:rsidR="00467394" w:rsidRPr="00636B72" w:rsidRDefault="00467394" w:rsidP="003A6734">
            <w:pPr>
              <w:spacing w:before="40" w:after="60"/>
              <w:jc w:val="center"/>
              <w:rPr>
                <w:rFonts w:ascii="Arial" w:hAnsi="Arial" w:cs="Arial"/>
                <w:b/>
                <w:bCs/>
                <w:strike/>
                <w:sz w:val="16"/>
                <w:szCs w:val="16"/>
              </w:rPr>
            </w:pPr>
            <w:r>
              <w:rPr>
                <w:rFonts w:ascii="Arial" w:hAnsi="Arial" w:cs="Arial"/>
                <w:b/>
                <w:bCs/>
                <w:sz w:val="16"/>
                <w:szCs w:val="16"/>
              </w:rPr>
              <w:t>CAUSA</w:t>
            </w:r>
          </w:p>
        </w:tc>
        <w:tc>
          <w:tcPr>
            <w:tcW w:w="711" w:type="pct"/>
            <w:vAlign w:val="center"/>
          </w:tcPr>
          <w:p w14:paraId="5A78737D" w14:textId="77777777" w:rsidR="00467394" w:rsidRPr="00636B72" w:rsidRDefault="00467394" w:rsidP="003A6734">
            <w:pPr>
              <w:spacing w:before="40" w:after="60"/>
              <w:jc w:val="center"/>
              <w:rPr>
                <w:rFonts w:ascii="Arial" w:hAnsi="Arial" w:cs="Arial"/>
                <w:b/>
                <w:bCs/>
                <w:sz w:val="16"/>
                <w:szCs w:val="16"/>
              </w:rPr>
            </w:pPr>
            <w:r>
              <w:rPr>
                <w:rFonts w:ascii="Arial" w:hAnsi="Arial" w:cs="Arial"/>
                <w:b/>
                <w:bCs/>
                <w:sz w:val="16"/>
                <w:szCs w:val="16"/>
              </w:rPr>
              <w:t>EFEITO</w:t>
            </w:r>
          </w:p>
        </w:tc>
        <w:tc>
          <w:tcPr>
            <w:tcW w:w="1521" w:type="pct"/>
            <w:vAlign w:val="center"/>
          </w:tcPr>
          <w:p w14:paraId="59F37054" w14:textId="77777777" w:rsidR="00467394" w:rsidRPr="00636B72" w:rsidRDefault="00467394" w:rsidP="003A6734">
            <w:pPr>
              <w:spacing w:before="40" w:after="60"/>
              <w:jc w:val="center"/>
              <w:rPr>
                <w:rFonts w:ascii="Arial" w:hAnsi="Arial" w:cs="Arial"/>
                <w:b/>
                <w:bCs/>
                <w:sz w:val="16"/>
                <w:szCs w:val="16"/>
              </w:rPr>
            </w:pPr>
            <w:r>
              <w:rPr>
                <w:rFonts w:ascii="Arial" w:hAnsi="Arial" w:cs="Arial"/>
                <w:b/>
                <w:bCs/>
                <w:sz w:val="16"/>
                <w:szCs w:val="16"/>
              </w:rPr>
              <w:t>ENCAMINHAMENTO</w:t>
            </w:r>
          </w:p>
        </w:tc>
      </w:tr>
      <w:tr w:rsidR="00467394" w:rsidRPr="00636B72" w14:paraId="3E84FBD8" w14:textId="77777777" w:rsidTr="003A6734">
        <w:trPr>
          <w:trHeight w:val="300"/>
        </w:trPr>
        <w:tc>
          <w:tcPr>
            <w:tcW w:w="473" w:type="pct"/>
          </w:tcPr>
          <w:p>
            <w:pPr>
              <w:spacing w:after="60"/>
              <w:jc w:val="both"/>
              <w:rPr>
                <w:rFonts w:ascii="Arial" w:hAnsi="Arial" w:cs="Arial"/>
                <w:b/>
                <w:bCs/>
                <w:sz w:val="18"/>
                <w:szCs w:val="18"/>
              </w:rPr>
            </w:pPr>
            <w:r>
              <w:rPr>
                <w:rFonts w:ascii="Arial" w:hAnsi="Arial" w:cs="Arial"/>
                <w:b/>
                <w:bCs/>
                <w:sz w:val="18"/>
                <w:szCs w:val="18"/>
              </w:rPr>
              <w:t>ACHADO 03</w:t>
            </w:r>
          </w:p>
          <w:p>
            <w:pPr>
              <w:spacing w:after="60"/>
              <w:jc w:val="both"/>
              <w:rPr>
                <w:rFonts w:ascii="Arial" w:hAnsi="Arial" w:cs="Arial"/>
                <w:b/>
                <w:bCs/>
                <w:sz w:val="18"/>
                <w:szCs w:val="18"/>
              </w:rPr>
            </w:pPr>
          </w:p>
          <w:p>
            <w:pPr>
              <w:spacing w:after="60"/>
              <w:jc w:val="both"/>
              <w:rPr>
                <w:rFonts w:ascii="Arial" w:hAnsi="Arial" w:cs="Arial"/>
                <w:b/>
                <w:bCs/>
                <w:sz w:val="18"/>
                <w:szCs w:val="18"/>
              </w:rPr>
            </w:pPr>
            <w:r>
              <w:rPr>
                <w:rFonts w:ascii="Arial" w:hAnsi="Arial" w:cs="Arial"/>
                <w:sz w:val="18"/>
                <w:szCs w:val="18"/>
              </w:rPr>
              <w:t>Planejamento de TIC insuficiente para orientar a gestão, o orçamento e as contratações de TIC</w:t>
            </w:r>
          </w:p>
        </w:tc>
        <w:tc>
          <w:tcPr>
            <w:tcW w:w="752" w:type="pct"/>
          </w:tcPr>
          <w:p>
            <w:pPr>
              <w:jc w:val="both"/>
              <w:rPr>
                <w:rFonts w:ascii="Arial" w:hAnsi="Arial" w:cs="Arial"/>
                <w:sz w:val="18"/>
                <w:szCs w:val="18"/>
                <w:vertAlign w:val="superscript"/>
              </w:rPr>
            </w:pPr>
            <w:r>
              <w:rPr>
                <w:rFonts w:ascii="Arial" w:hAnsi="Arial" w:cs="Arial"/>
                <w:b/>
                <w:sz w:val="18"/>
                <w:szCs w:val="18"/>
              </w:rPr>
              <w:t>COBIT 2019, APO02.05 - Definir o plano e o roteiro estratégico:</w:t>
            </w:r>
            <w:r>
              <w:rPr>
                <w:rFonts w:ascii="Arial" w:hAnsi="Arial" w:cs="Arial"/>
                <w:sz w:val="18"/>
                <w:szCs w:val="18"/>
              </w:rPr>
              <w:t xml:space="preserve"> estabelecer plano e roteiro de TIC que traduzam a estratégia em iniciativas, prioridades, recursos, dependências, prazos e benefícios esperados.</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Acórdão 1.411/2014-TCU-Plenário, item 9.1.6 e subitens 9.1.6.1 a 9.1.6.4:</w:t>
            </w:r>
            <w:r>
              <w:rPr>
                <w:rFonts w:ascii="Arial" w:hAnsi="Arial" w:cs="Arial"/>
                <w:sz w:val="18"/>
                <w:szCs w:val="18"/>
              </w:rPr>
              <w:t xml:space="preserve"> necessidade de instituir formalmente plano diretor de TI, contemplando desdobramento de diretrizes estratégicas, vinculação das ações de TI a indicadores e metas de negócio, vinculação das ações de TI a indicadores e metas de serviços ao cidadão e vinculação das ações priorizadas ao orçamento de TI.</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Acórdão TCE-RJ 44.490/2024-PLEN, item II.3 e subitens II.3.1 a II.3.5:</w:t>
            </w:r>
            <w:r>
              <w:rPr>
                <w:rFonts w:ascii="Arial" w:hAnsi="Arial" w:cs="Arial"/>
                <w:sz w:val="18"/>
                <w:szCs w:val="18"/>
              </w:rPr>
              <w:t xml:space="preserve"> necessidade de estabelecer processo estruturado, com participação de representantes das principais secretarias, para elaborar, manter e revisar periodicamente o PDTI, contemplando objetivos, indicadores e metas de TI alinhados aos objetivos de negócio, riscos que possam impactar objetivos e metas, projetos, aquisições e ações necessárias, alocação de recursos e ações de divulgação e monitoramento do PDTI após aprovação pela autoridade máxima.</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COBIT 2019, APO06.03 - Criar e manter orçamentos:</w:t>
            </w:r>
            <w:r>
              <w:rPr>
                <w:rFonts w:ascii="Arial" w:hAnsi="Arial" w:cs="Arial"/>
                <w:sz w:val="18"/>
                <w:szCs w:val="18"/>
              </w:rPr>
              <w:t xml:space="preserve"> elaborar e manter orçamento de TIC alinhado ao portfólio, ao planejamento e às prioridades aprovadas.</w:t>
            </w:r>
          </w:p>
        </w:tc>
        <w:tc>
          <w:tcPr>
            <w:tcW w:w="752" w:type="pct"/>
          </w:tcPr>
          <w:p>
            <w:pPr>
              <w:spacing w:after="60"/>
              <w:jc w:val="both"/>
              <w:rPr>
                <w:rFonts w:ascii="Arial" w:hAnsi="Arial" w:cs="Arial"/>
                <w:sz w:val="18"/>
                <w:szCs w:val="18"/>
              </w:rPr>
            </w:pPr>
            <w:r>
              <w:rPr>
                <w:rFonts w:ascii="Arial" w:hAnsi="Arial" w:cs="Arial"/>
                <w:b/>
                <w:bCs/>
                <w:sz w:val="18"/>
                <w:szCs w:val="18"/>
              </w:rPr>
              <w:t>Respostas ao Questionário iGovTI 2026</w:t>
            </w:r>
            <w:r>
              <w:rPr>
                <w:rFonts w:ascii="Arial" w:hAnsi="Arial" w:cs="Arial"/>
                <w:sz w:val="18"/>
                <w:szCs w:val="18"/>
              </w:rPr>
              <w:t xml:space="preserve"> - Situações caracterizadas pelas respostas declaradas às questões indicadas:</w:t>
            </w:r>
          </w:p>
          <w:p>
            <w:pPr>
              <w:spacing w:after="60"/>
              <w:jc w:val="both"/>
              <w:rPr>
                <w:rFonts w:ascii="Arial" w:hAnsi="Arial" w:cs="Arial"/>
                <w:sz w:val="18"/>
                <w:szCs w:val="18"/>
              </w:rPr>
            </w:pPr>
            <w:r>
              <w:rPr>
                <w:rFonts w:ascii="Arial" w:hAnsi="Arial" w:cs="Arial"/>
                <w:b/>
                <w:sz w:val="18"/>
                <w:szCs w:val="18"/>
              </w:rPr>
              <w:t xml:space="preserve">a) S3.1 - Inexistência ou fragilidade do processo formal de planejamento de TIC.: </w:t>
            </w:r>
            <w:r>
              <w:rPr>
                <w:rFonts w:ascii="Arial" w:hAnsi="Arial" w:cs="Arial"/>
                <w:sz w:val="18"/>
                <w:szCs w:val="18"/>
              </w:rPr>
              <w:t>resposta "Não" ou "N/A" em q2101ext[A], q2101ext[B], q2101ext[C] e q2101ext[D]; resposta "Não conforme" em q2101ext[A], q2101ext[B], q2101ext[C] e q2101ext[D], observada a composição lógica definida na Matriz de Procedimentos de Auditoria.</w:t>
            </w:r>
          </w:p>
          <w:p>
            <w:pPr>
              <w:spacing w:after="60"/>
              <w:jc w:val="both"/>
              <w:rPr>
                <w:rFonts w:ascii="Arial" w:hAnsi="Arial" w:cs="Arial"/>
                <w:sz w:val="18"/>
                <w:szCs w:val="18"/>
              </w:rPr>
            </w:pPr>
            <w:r>
              <w:rPr>
                <w:rFonts w:ascii="Arial" w:hAnsi="Arial" w:cs="Arial"/>
                <w:b/>
                <w:sz w:val="18"/>
                <w:szCs w:val="18"/>
              </w:rPr>
              <w:t xml:space="preserve">b) S3.2 - Ausência de aprovação formal do plano de TIC.: </w:t>
            </w:r>
            <w:r>
              <w:rPr>
                <w:rFonts w:ascii="Arial" w:hAnsi="Arial" w:cs="Arial"/>
                <w:sz w:val="18"/>
                <w:szCs w:val="18"/>
              </w:rPr>
              <w:t>resposta "Não" ou "N/A" em q2102ext[A]; resposta "Não conforme" em q2102ext[A], observada a composição lógica definida na Matriz de Procedimentos de Auditoria.</w:t>
            </w:r>
          </w:p>
          <w:p>
            <w:pPr>
              <w:spacing w:after="60"/>
              <w:jc w:val="both"/>
              <w:rPr>
                <w:rFonts w:ascii="Arial" w:hAnsi="Arial" w:cs="Arial"/>
                <w:sz w:val="18"/>
                <w:szCs w:val="18"/>
              </w:rPr>
            </w:pPr>
            <w:r>
              <w:rPr>
                <w:rFonts w:ascii="Arial" w:hAnsi="Arial" w:cs="Arial"/>
                <w:b/>
                <w:sz w:val="18"/>
                <w:szCs w:val="18"/>
              </w:rPr>
              <w:t xml:space="preserve">c) S3.4 - Plano de TIC sem alinhamento adequado ao planejamento institucional.: </w:t>
            </w:r>
            <w:r>
              <w:rPr>
                <w:rFonts w:ascii="Arial" w:hAnsi="Arial" w:cs="Arial"/>
                <w:sz w:val="18"/>
                <w:szCs w:val="18"/>
              </w:rPr>
              <w:t>resposta "Não" ou "N/A" em q2102ext[D]; resposta "Não conforme" em q2102ext[D], observada a composição lógica definida na Matriz de Procedimentos de Auditoria.</w:t>
            </w:r>
          </w:p>
          <w:p>
            <w:pPr>
              <w:spacing w:after="60"/>
              <w:jc w:val="both"/>
              <w:rPr>
                <w:rFonts w:ascii="Arial" w:hAnsi="Arial" w:cs="Arial"/>
                <w:sz w:val="18"/>
                <w:szCs w:val="18"/>
              </w:rPr>
            </w:pPr>
            <w:r>
              <w:rPr>
                <w:rFonts w:ascii="Arial" w:hAnsi="Arial" w:cs="Arial"/>
                <w:b/>
                <w:sz w:val="18"/>
                <w:szCs w:val="18"/>
              </w:rPr>
              <w:t xml:space="preserve">d) S3.5 - Plano de TIC sem vínculo demonstrado com orçamento e contratações de TIC: </w:t>
            </w:r>
            <w:r>
              <w:rPr>
                <w:rFonts w:ascii="Arial" w:hAnsi="Arial" w:cs="Arial"/>
                <w:sz w:val="18"/>
                <w:szCs w:val="18"/>
              </w:rPr>
              <w:t>resposta "Não" ou "N/A" em q2102ext[C], q2802ext[C] e q2802ext[D]; resposta "Não conforme" em q2102ext[C], q2802ext[C] e q2802ext[D]; resposta "Não" em q2804[B], observada a composição lógica definida na Matriz de Procedimentos de Auditoria.</w:t>
            </w:r>
          </w:p>
          <w:p>
            <w:pPr>
              <w:spacing w:after="60"/>
              <w:jc w:val="both"/>
              <w:rPr>
                <w:rFonts w:ascii="Arial" w:hAnsi="Arial" w:cs="Arial"/>
                <w:sz w:val="18"/>
                <w:szCs w:val="18"/>
              </w:rPr>
            </w:pPr>
            <w:r>
              <w:rPr>
                <w:rFonts w:ascii="Arial" w:hAnsi="Arial" w:cs="Arial"/>
                <w:b/>
                <w:sz w:val="18"/>
                <w:szCs w:val="18"/>
              </w:rPr>
              <w:t xml:space="preserve">e) S3.6 - Ausência de acompanhamento, revisão ou atualização periódica do plano de TIC.: </w:t>
            </w:r>
            <w:r>
              <w:rPr>
                <w:rFonts w:ascii="Arial" w:hAnsi="Arial" w:cs="Arial"/>
                <w:sz w:val="18"/>
                <w:szCs w:val="18"/>
              </w:rPr>
              <w:t>resposta "Não" ou "N/A" em q2102ext[E]; resposta "Não conforme" em q2102ext[E], observada a composição lógica definida na Matriz de Procedimentos de Auditoria.</w:t>
            </w:r>
          </w:p>
        </w:tc>
        <w:tc>
          <w:tcPr>
            <w:tcW w:w="790" w:type="pct"/>
          </w:tcPr>
          <w:p>
            <w:pPr>
              <w:jc w:val="both"/>
              <w:rPr>
                <w:rFonts w:ascii="Arial" w:hAnsi="Arial" w:cs="Arial"/>
                <w:sz w:val="18"/>
                <w:szCs w:val="18"/>
              </w:rPr>
            </w:pPr>
            <w:r>
              <w:rPr>
                <w:rFonts w:ascii="Arial" w:hAnsi="Arial" w:cs="Arial"/>
                <w:b/>
                <w:bCs/>
                <w:sz w:val="18"/>
                <w:szCs w:val="18"/>
              </w:rPr>
              <w:t>Não investigada.</w:t>
            </w:r>
          </w:p>
        </w:tc>
        <w:tc>
          <w:tcPr>
            <w:tcW w:w="711" w:type="pct"/>
          </w:tcPr>
          <w:p>
            <w:pPr>
              <w:spacing w:after="60"/>
              <w:jc w:val="both"/>
              <w:rPr>
                <w:rFonts w:ascii="Arial" w:hAnsi="Arial" w:cs="Arial"/>
                <w:sz w:val="18"/>
                <w:szCs w:val="18"/>
              </w:rPr>
            </w:pPr>
            <w:r>
              <w:rPr>
                <w:rFonts w:ascii="Arial" w:hAnsi="Arial" w:cs="Arial"/>
                <w:b/>
                <w:bCs/>
                <w:sz w:val="18"/>
                <w:szCs w:val="18"/>
              </w:rPr>
              <w:t>Atuação reativa:</w:t>
            </w:r>
            <w:r>
              <w:rPr>
                <w:rFonts w:ascii="Arial" w:hAnsi="Arial" w:cs="Arial"/>
                <w:sz w:val="18"/>
                <w:szCs w:val="18"/>
              </w:rPr>
              <w:t xml:space="preserve"> Seleção e priorização de iniciativas de TIC sem processo formal e sem critérios objetivos.</w:t>
            </w:r>
          </w:p>
          <w:p>
            <w:pPr>
              <w:spacing w:after="60"/>
              <w:jc w:val="both"/>
              <w:rPr>
                <w:rFonts w:ascii="Arial" w:hAnsi="Arial" w:cs="Arial"/>
                <w:sz w:val="18"/>
                <w:szCs w:val="18"/>
              </w:rPr>
            </w:pPr>
          </w:p>
          <w:p>
            <w:pPr>
              <w:spacing w:after="60"/>
              <w:jc w:val="both"/>
              <w:rPr>
                <w:rFonts w:ascii="Arial" w:hAnsi="Arial" w:cs="Arial"/>
                <w:sz w:val="18"/>
                <w:szCs w:val="18"/>
              </w:rPr>
            </w:pPr>
            <w:r>
              <w:rPr>
                <w:rFonts w:ascii="Arial" w:hAnsi="Arial" w:cs="Arial"/>
                <w:b/>
                <w:bCs/>
                <w:sz w:val="18"/>
                <w:szCs w:val="18"/>
              </w:rPr>
              <w:t>Baixa legitimidade institucional:</w:t>
            </w:r>
            <w:r>
              <w:rPr>
                <w:rFonts w:ascii="Arial" w:hAnsi="Arial" w:cs="Arial"/>
                <w:sz w:val="18"/>
                <w:szCs w:val="18"/>
              </w:rPr>
              <w:t xml:space="preserve"> Plano de TIC sem aprovação formal suficiente para orientar projetos, orçamento e contratações.</w:t>
            </w:r>
          </w:p>
          <w:p>
            <w:pPr>
              <w:spacing w:after="60"/>
              <w:jc w:val="both"/>
              <w:rPr>
                <w:rFonts w:ascii="Arial" w:hAnsi="Arial" w:cs="Arial"/>
                <w:sz w:val="18"/>
                <w:szCs w:val="18"/>
              </w:rPr>
            </w:pPr>
          </w:p>
          <w:p>
            <w:pPr>
              <w:spacing w:after="60"/>
              <w:jc w:val="both"/>
              <w:rPr>
                <w:rFonts w:ascii="Arial" w:hAnsi="Arial" w:cs="Arial"/>
                <w:sz w:val="18"/>
                <w:szCs w:val="18"/>
              </w:rPr>
            </w:pPr>
            <w:r>
              <w:rPr>
                <w:rFonts w:ascii="Arial" w:hAnsi="Arial" w:cs="Arial"/>
                <w:b/>
                <w:bCs/>
                <w:sz w:val="18"/>
                <w:szCs w:val="18"/>
              </w:rPr>
              <w:t>Desalinhamento institucional:</w:t>
            </w:r>
            <w:r>
              <w:rPr>
                <w:rFonts w:ascii="Arial" w:hAnsi="Arial" w:cs="Arial"/>
                <w:sz w:val="18"/>
                <w:szCs w:val="18"/>
              </w:rPr>
              <w:t xml:space="preserve"> Execução de ações de TIC com baixo valor para os objetivos e resultados da organização.</w:t>
            </w:r>
          </w:p>
          <w:p>
            <w:pPr>
              <w:spacing w:after="60"/>
              <w:jc w:val="both"/>
              <w:rPr>
                <w:rFonts w:ascii="Arial" w:hAnsi="Arial" w:cs="Arial"/>
                <w:sz w:val="18"/>
                <w:szCs w:val="18"/>
              </w:rPr>
            </w:pPr>
          </w:p>
          <w:p>
            <w:pPr>
              <w:spacing w:after="60"/>
              <w:jc w:val="both"/>
              <w:rPr>
                <w:rFonts w:ascii="Arial" w:hAnsi="Arial" w:cs="Arial"/>
                <w:sz w:val="18"/>
                <w:szCs w:val="18"/>
              </w:rPr>
            </w:pPr>
            <w:r>
              <w:rPr>
                <w:rFonts w:ascii="Arial" w:hAnsi="Arial" w:cs="Arial"/>
                <w:b/>
                <w:bCs/>
                <w:sz w:val="18"/>
                <w:szCs w:val="18"/>
              </w:rPr>
              <w:t>Ineficiência na alocação de recursos:</w:t>
            </w:r>
            <w:r>
              <w:rPr>
                <w:rFonts w:ascii="Arial" w:hAnsi="Arial" w:cs="Arial"/>
                <w:sz w:val="18"/>
                <w:szCs w:val="18"/>
              </w:rPr>
              <w:t xml:space="preserve"> Aquisições reativas, não priorizadas ou desconectadas do orçamento e do plano de contratações.</w:t>
            </w:r>
          </w:p>
          <w:p>
            <w:pPr>
              <w:spacing w:after="60"/>
              <w:jc w:val="both"/>
              <w:rPr>
                <w:rFonts w:ascii="Arial" w:hAnsi="Arial" w:cs="Arial"/>
                <w:sz w:val="18"/>
                <w:szCs w:val="18"/>
              </w:rPr>
            </w:pPr>
          </w:p>
          <w:p>
            <w:pPr>
              <w:spacing w:after="60"/>
              <w:jc w:val="both"/>
              <w:rPr>
                <w:rFonts w:ascii="Arial" w:hAnsi="Arial" w:cs="Arial"/>
                <w:sz w:val="18"/>
                <w:szCs w:val="18"/>
              </w:rPr>
            </w:pPr>
            <w:r>
              <w:rPr>
                <w:rFonts w:ascii="Arial" w:hAnsi="Arial" w:cs="Arial"/>
                <w:b/>
                <w:bCs/>
                <w:sz w:val="18"/>
                <w:szCs w:val="18"/>
              </w:rPr>
              <w:t>Desatualização das prioridades:</w:t>
            </w:r>
            <w:r>
              <w:rPr>
                <w:rFonts w:ascii="Arial" w:hAnsi="Arial" w:cs="Arial"/>
                <w:sz w:val="18"/>
                <w:szCs w:val="18"/>
              </w:rPr>
              <w:t xml:space="preserve"> Manutenção de metas e iniciativas incompatíveis com mudanças institucionais, orçamentárias ou tecnológicas.</w:t>
            </w:r>
          </w:p>
        </w:tc>
        <w:tc>
          <w:tcPr>
            <w:tcW w:w="1521" w:type="pct"/>
          </w:tcPr>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institua processo formal de planejamento de TIC, compatível com o porte e a maturidade da organização, atentando-se, minimamente, em definir etapas, responsáveis, participação das áreas demandantes e critérios de priorização das necessidades e iniciativas de TIC [S3.1].</w:t>
            </w:r>
          </w:p>
          <w:p>
            <w:pPr>
              <w:jc w:val="both"/>
              <w:rPr>
                <w:rFonts w:ascii="Arial" w:hAnsi="Arial" w:cs="Arial"/>
                <w:sz w:val="18"/>
                <w:szCs w:val="18"/>
              </w:rPr>
            </w:pPr>
          </w:p>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submeta o plano de TIC à aprovação formal do dirigente máximo ou de dirigente ou colegiado integrante da alta administração, mantendo registro do respectivo ato de aprovação [S3.2].</w:t>
            </w:r>
          </w:p>
          <w:p>
            <w:pPr>
              <w:jc w:val="both"/>
              <w:rPr>
                <w:rFonts w:ascii="Arial" w:hAnsi="Arial" w:cs="Arial"/>
                <w:sz w:val="18"/>
                <w:szCs w:val="18"/>
              </w:rPr>
            </w:pPr>
          </w:p>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revise o plano de TIC para explicitar seu alinhamento ao planejamento institucional, às diretrizes superiores e às necessidades das áreas finalísticas e administrativas, relacionando objetivos, iniciativas, indicadores e metas de TIC aos resultados institucionais pretendidos [S3.4].</w:t>
            </w:r>
          </w:p>
          <w:p>
            <w:pPr>
              <w:jc w:val="both"/>
              <w:rPr>
                <w:rFonts w:ascii="Arial" w:hAnsi="Arial" w:cs="Arial"/>
                <w:sz w:val="18"/>
                <w:szCs w:val="18"/>
              </w:rPr>
            </w:pPr>
          </w:p>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integre o plano de TIC à proposta orçamentária, ao plano de contratações e às contratações de TIC, atentando-se, minimamente, em priorizar as demandas conforme sua relevância, seus riscos e a capacidade de execução da organização [S3.5].</w:t>
            </w:r>
          </w:p>
          <w:p>
            <w:pPr>
              <w:jc w:val="both"/>
              <w:rPr>
                <w:rFonts w:ascii="Arial" w:hAnsi="Arial" w:cs="Arial"/>
                <w:sz w:val="18"/>
                <w:szCs w:val="18"/>
              </w:rPr>
            </w:pPr>
          </w:p>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estabeleça e execute rotina periódica de acompanhamento, revisão e atualização do plano de TIC, atentando-se, minimamente, em registrar a execução das iniciativas, as pendências, as reprogramações e as deliberações adotadas [S3.6].</w:t>
            </w:r>
          </w:p>
        </w:tc>
      </w:tr>
    </w:tbl>
    <w:p w14:paraId="0EBE6271" w14:textId="77777777" w:rsidR="00A75136" w:rsidRDefault="00A75136" w:rsidP="001E6730">
      <w:pPr>
        <w:jc w:val="center"/>
        <w:rPr>
          <w:rFonts w:ascii="Arial" w:hAnsi="Arial" w:cs="Arial"/>
          <w:b/>
        </w:rPr>
      </w:pPr>
    </w:p>
    <w:tbl>
      <w:tblPr>
        <w:tblStyle w:val="Tabelacomgrad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3364"/>
        <w:gridCol w:w="3364"/>
        <w:gridCol w:w="3534"/>
        <w:gridCol w:w="3179"/>
        <w:gridCol w:w="6801"/>
      </w:tblGrid>
      <w:tr w:rsidR="00A75136" w:rsidRPr="00636B72" w14:paraId="26D50C40" w14:textId="77777777" w:rsidTr="003A6734">
        <w:trPr>
          <w:trHeight w:val="300"/>
          <w:tblHeader/>
        </w:trPr>
        <w:tc>
          <w:tcPr>
            <w:tcW w:w="473" w:type="pct"/>
          </w:tcPr>
          <w:p w14:paraId="1AA91A03" w14:textId="77777777" w:rsidR="00A75136" w:rsidRPr="00636B72" w:rsidRDefault="00A75136" w:rsidP="003A6734">
            <w:pPr>
              <w:autoSpaceDE w:val="0"/>
              <w:autoSpaceDN w:val="0"/>
              <w:adjustRightInd w:val="0"/>
              <w:spacing w:before="40" w:after="60"/>
              <w:jc w:val="center"/>
              <w:rPr>
                <w:rFonts w:ascii="Arial" w:hAnsi="Arial" w:cs="Arial"/>
                <w:b/>
                <w:bCs/>
                <w:sz w:val="16"/>
                <w:szCs w:val="16"/>
              </w:rPr>
              <w:pageBreakBefore/>
            </w:pPr>
            <w:r>
              <w:rPr>
                <w:rFonts w:ascii="Arial" w:hAnsi="Arial" w:cs="Arial"/>
                <w:b/>
                <w:bCs/>
                <w:sz w:val="16"/>
                <w:szCs w:val="16"/>
              </w:rPr>
              <w:lastRenderedPageBreak/>
              <w:t>ACHADO</w:t>
            </w:r>
          </w:p>
        </w:tc>
        <w:tc>
          <w:tcPr>
            <w:tcW w:w="752" w:type="pct"/>
            <w:vAlign w:val="center"/>
          </w:tcPr>
          <w:p w14:paraId="64579AF6" w14:textId="77777777" w:rsidR="00A75136" w:rsidRPr="00636B72" w:rsidRDefault="00A75136" w:rsidP="003A6734">
            <w:pPr>
              <w:autoSpaceDE w:val="0"/>
              <w:autoSpaceDN w:val="0"/>
              <w:adjustRightInd w:val="0"/>
              <w:spacing w:before="40" w:after="60"/>
              <w:jc w:val="center"/>
              <w:rPr>
                <w:rFonts w:ascii="Arial" w:hAnsi="Arial" w:cs="Arial"/>
                <w:b/>
                <w:bCs/>
                <w:sz w:val="16"/>
                <w:szCs w:val="16"/>
              </w:rPr>
            </w:pPr>
            <w:r>
              <w:rPr>
                <w:rFonts w:ascii="Arial" w:hAnsi="Arial" w:cs="Arial"/>
                <w:b/>
                <w:bCs/>
                <w:sz w:val="16"/>
                <w:szCs w:val="16"/>
              </w:rPr>
              <w:t>CRITÉRIO</w:t>
            </w:r>
          </w:p>
        </w:tc>
        <w:tc>
          <w:tcPr>
            <w:tcW w:w="752" w:type="pct"/>
            <w:vAlign w:val="center"/>
          </w:tcPr>
          <w:p w14:paraId="0FE0C036" w14:textId="77777777" w:rsidR="00A75136" w:rsidRPr="00636B72" w:rsidRDefault="00A75136" w:rsidP="003A6734">
            <w:pPr>
              <w:spacing w:before="40" w:after="60"/>
              <w:jc w:val="center"/>
              <w:rPr>
                <w:rFonts w:ascii="Arial" w:hAnsi="Arial" w:cs="Arial"/>
                <w:b/>
                <w:bCs/>
                <w:sz w:val="16"/>
                <w:szCs w:val="16"/>
              </w:rPr>
            </w:pPr>
            <w:r>
              <w:rPr>
                <w:rFonts w:ascii="Arial" w:hAnsi="Arial" w:cs="Arial"/>
                <w:b/>
                <w:bCs/>
                <w:sz w:val="16"/>
                <w:szCs w:val="16"/>
              </w:rPr>
              <w:t>EVIDÊNCIA</w:t>
            </w:r>
          </w:p>
        </w:tc>
        <w:tc>
          <w:tcPr>
            <w:tcW w:w="790" w:type="pct"/>
            <w:vAlign w:val="center"/>
          </w:tcPr>
          <w:p w14:paraId="3C3AA039" w14:textId="77777777" w:rsidR="00A75136" w:rsidRPr="00636B72" w:rsidRDefault="00A75136" w:rsidP="003A6734">
            <w:pPr>
              <w:spacing w:before="40" w:after="60"/>
              <w:jc w:val="center"/>
              <w:rPr>
                <w:rFonts w:ascii="Arial" w:hAnsi="Arial" w:cs="Arial"/>
                <w:b/>
                <w:bCs/>
                <w:strike/>
                <w:sz w:val="16"/>
                <w:szCs w:val="16"/>
              </w:rPr>
            </w:pPr>
            <w:r>
              <w:rPr>
                <w:rFonts w:ascii="Arial" w:hAnsi="Arial" w:cs="Arial"/>
                <w:b/>
                <w:bCs/>
                <w:sz w:val="16"/>
                <w:szCs w:val="16"/>
              </w:rPr>
              <w:t>CAUSA</w:t>
            </w:r>
          </w:p>
        </w:tc>
        <w:tc>
          <w:tcPr>
            <w:tcW w:w="711" w:type="pct"/>
            <w:vAlign w:val="center"/>
          </w:tcPr>
          <w:p w14:paraId="302184EC" w14:textId="77777777" w:rsidR="00A75136" w:rsidRPr="00636B72" w:rsidRDefault="00A75136" w:rsidP="003A6734">
            <w:pPr>
              <w:spacing w:before="40" w:after="60"/>
              <w:jc w:val="center"/>
              <w:rPr>
                <w:rFonts w:ascii="Arial" w:hAnsi="Arial" w:cs="Arial"/>
                <w:b/>
                <w:bCs/>
                <w:sz w:val="16"/>
                <w:szCs w:val="16"/>
              </w:rPr>
            </w:pPr>
            <w:r>
              <w:rPr>
                <w:rFonts w:ascii="Arial" w:hAnsi="Arial" w:cs="Arial"/>
                <w:b/>
                <w:bCs/>
                <w:sz w:val="16"/>
                <w:szCs w:val="16"/>
              </w:rPr>
              <w:t>EFEITO</w:t>
            </w:r>
          </w:p>
        </w:tc>
        <w:tc>
          <w:tcPr>
            <w:tcW w:w="1521" w:type="pct"/>
            <w:vAlign w:val="center"/>
          </w:tcPr>
          <w:p w14:paraId="10F51FE3" w14:textId="77777777" w:rsidR="00A75136" w:rsidRPr="00636B72" w:rsidRDefault="00A75136" w:rsidP="003A6734">
            <w:pPr>
              <w:spacing w:before="40" w:after="60"/>
              <w:jc w:val="center"/>
              <w:rPr>
                <w:rFonts w:ascii="Arial" w:hAnsi="Arial" w:cs="Arial"/>
                <w:b/>
                <w:bCs/>
                <w:sz w:val="16"/>
                <w:szCs w:val="16"/>
              </w:rPr>
            </w:pPr>
            <w:r>
              <w:rPr>
                <w:rFonts w:ascii="Arial" w:hAnsi="Arial" w:cs="Arial"/>
                <w:b/>
                <w:bCs/>
                <w:sz w:val="16"/>
                <w:szCs w:val="16"/>
              </w:rPr>
              <w:t>ENCAMINHAMENTO</w:t>
            </w:r>
          </w:p>
        </w:tc>
      </w:tr>
      <w:tr w:rsidR="00BF5DA1" w:rsidRPr="00636B72" w14:paraId="29650F8E" w14:textId="77777777" w:rsidTr="003A6734">
        <w:trPr>
          <w:trHeight w:val="300"/>
        </w:trPr>
        <w:tc>
          <w:tcPr>
            <w:tcW w:w="473" w:type="pct"/>
          </w:tcPr>
          <w:p>
            <w:pPr>
              <w:spacing w:after="60"/>
              <w:jc w:val="both"/>
              <w:rPr>
                <w:rFonts w:ascii="Arial" w:hAnsi="Arial" w:cs="Arial"/>
                <w:b/>
                <w:bCs/>
                <w:sz w:val="18"/>
                <w:szCs w:val="18"/>
              </w:rPr>
            </w:pPr>
            <w:r>
              <w:rPr>
                <w:rFonts w:ascii="Arial" w:hAnsi="Arial" w:cs="Arial"/>
                <w:b/>
                <w:bCs/>
                <w:sz w:val="18"/>
                <w:szCs w:val="18"/>
              </w:rPr>
              <w:t>ACHADO 04</w:t>
            </w:r>
          </w:p>
          <w:p>
            <w:pPr>
              <w:spacing w:after="60"/>
              <w:jc w:val="both"/>
              <w:rPr>
                <w:rFonts w:ascii="Arial" w:hAnsi="Arial" w:cs="Arial"/>
                <w:b/>
                <w:bCs/>
                <w:sz w:val="18"/>
                <w:szCs w:val="18"/>
              </w:rPr>
            </w:pPr>
          </w:p>
          <w:p>
            <w:pPr>
              <w:spacing w:after="60"/>
              <w:jc w:val="both"/>
              <w:rPr>
                <w:rFonts w:ascii="Arial" w:hAnsi="Arial" w:cs="Arial"/>
                <w:b/>
                <w:bCs/>
                <w:sz w:val="18"/>
                <w:szCs w:val="18"/>
              </w:rPr>
            </w:pPr>
            <w:r>
              <w:rPr>
                <w:rFonts w:ascii="Arial" w:hAnsi="Arial" w:cs="Arial"/>
                <w:sz w:val="18"/>
                <w:szCs w:val="18"/>
              </w:rPr>
              <w:t>Capacidade institucional insuficiente para sustentar a gestão de TIC e segurança da informação</w:t>
            </w:r>
          </w:p>
        </w:tc>
        <w:tc>
          <w:tcPr>
            <w:tcW w:w="752" w:type="pct"/>
          </w:tcPr>
          <w:p>
            <w:pPr>
              <w:jc w:val="both"/>
              <w:rPr>
                <w:rFonts w:ascii="Arial" w:hAnsi="Arial" w:cs="Arial"/>
                <w:sz w:val="18"/>
                <w:szCs w:val="18"/>
                <w:vertAlign w:val="superscript"/>
              </w:rPr>
            </w:pPr>
            <w:r>
              <w:rPr>
                <w:rFonts w:ascii="Arial" w:hAnsi="Arial" w:cs="Arial"/>
                <w:b/>
                <w:sz w:val="18"/>
                <w:szCs w:val="18"/>
              </w:rPr>
              <w:t>COBIT 2019, APO07.01 - Adquirir e manter pessoal adequado e apropriado:</w:t>
            </w:r>
            <w:r>
              <w:rPr>
                <w:rFonts w:ascii="Arial" w:hAnsi="Arial" w:cs="Arial"/>
                <w:sz w:val="18"/>
                <w:szCs w:val="18"/>
              </w:rPr>
              <w:t xml:space="preserve"> assegurar quantidade e perfil de profissionais compatíveis com as necessidades de TIC.</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COBIT 2019, APO07.05 - Planejar e monitorar o uso de recursos humanos de TI e de negócio:</w:t>
            </w:r>
            <w:r>
              <w:rPr>
                <w:rFonts w:ascii="Arial" w:hAnsi="Arial" w:cs="Arial"/>
                <w:sz w:val="18"/>
                <w:szCs w:val="18"/>
              </w:rPr>
              <w:t xml:space="preserve"> planejar, alocar e acompanhar capacidade de pessoal para iniciativas, operações e serviços de TIC.</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ABNT NBR ISO/IEC 27001:</w:t>
            </w:r>
            <w:r>
              <w:rPr>
                <w:rFonts w:ascii="Arial" w:hAnsi="Arial" w:cs="Arial"/>
                <w:sz w:val="18"/>
                <w:szCs w:val="18"/>
              </w:rPr>
              <w:t>2022, cláusulas 5.3 e 7.2: definir responsabilidades e autoridades para segurança da informação e assegurar competências necessárias às funções atribuídas.</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COBIT 2019, APO01.05 - Estabelecer papéis e responsabilidades:</w:t>
            </w:r>
            <w:r>
              <w:rPr>
                <w:rFonts w:ascii="Arial" w:hAnsi="Arial" w:cs="Arial"/>
                <w:sz w:val="18"/>
                <w:szCs w:val="18"/>
              </w:rPr>
              <w:t xml:space="preserve"> definir, comunicar e manter papéis e responsabilidades relacionados à governança e gestão de TIC.</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COBIT 2019, APO07.02 - Identificar pessoal-chave de TI:</w:t>
            </w:r>
            <w:r>
              <w:rPr>
                <w:rFonts w:ascii="Arial" w:hAnsi="Arial" w:cs="Arial"/>
                <w:sz w:val="18"/>
                <w:szCs w:val="18"/>
              </w:rPr>
              <w:t xml:space="preserve"> identificar funções e pessoas críticas para reduzir dependência individual, perda de conhecimento e descontinuidade.</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COBIT 2019, APO07.03 - Manter habilidades e competências do pessoal:</w:t>
            </w:r>
            <w:r>
              <w:rPr>
                <w:rFonts w:ascii="Arial" w:hAnsi="Arial" w:cs="Arial"/>
                <w:sz w:val="18"/>
                <w:szCs w:val="18"/>
              </w:rPr>
              <w:t xml:space="preserve"> identificar, desenvolver e manter competências necessárias à execução das responsabilidades de TIC.</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ABNT NBR ISO/IEC 27002:</w:t>
            </w:r>
            <w:r>
              <w:rPr>
                <w:rFonts w:ascii="Arial" w:hAnsi="Arial" w:cs="Arial"/>
                <w:sz w:val="18"/>
                <w:szCs w:val="18"/>
              </w:rPr>
              <w:t>2022, controles 5.2 e 6.3: definir papéis e responsabilidades de segurança da informação e promover conscientização, educação e treinamento em segurança.</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COBIT 2019, APO07.06 - Gerenciar pessoal contratado:</w:t>
            </w:r>
            <w:r>
              <w:rPr>
                <w:rFonts w:ascii="Arial" w:hAnsi="Arial" w:cs="Arial"/>
                <w:sz w:val="18"/>
                <w:szCs w:val="18"/>
              </w:rPr>
              <w:t xml:space="preserve"> controlar o uso de pessoal terceirizado ou externo, preservando responsabilização, supervisão e retenção de conhecimento.</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COBIT 2019, APO10.04 - Gerenciar risco de fornecedores:</w:t>
            </w:r>
            <w:r>
              <w:rPr>
                <w:rFonts w:ascii="Arial" w:hAnsi="Arial" w:cs="Arial"/>
                <w:sz w:val="18"/>
                <w:szCs w:val="18"/>
              </w:rPr>
              <w:t xml:space="preserve"> identificar e tratar riscos decorrentes de fornecedores, contratos e dependências externas relevantes para TIC.</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COBIT 2019, DSS01.02 - Gerenciar serviços de TI terceirizados:</w:t>
            </w:r>
            <w:r>
              <w:rPr>
                <w:rFonts w:ascii="Arial" w:hAnsi="Arial" w:cs="Arial"/>
                <w:sz w:val="18"/>
                <w:szCs w:val="18"/>
              </w:rPr>
              <w:t xml:space="preserve"> assegurar que serviços terceirizados sejam supervisionados, medidos e integrados aos controles da organização.</w:t>
            </w:r>
          </w:p>
        </w:tc>
        <w:tc>
          <w:tcPr>
            <w:tcW w:w="752" w:type="pct"/>
          </w:tcPr>
          <w:p>
            <w:pPr>
              <w:spacing w:after="60"/>
              <w:jc w:val="both"/>
              <w:rPr>
                <w:rFonts w:ascii="Arial" w:hAnsi="Arial" w:cs="Arial"/>
                <w:sz w:val="18"/>
                <w:szCs w:val="18"/>
              </w:rPr>
            </w:pPr>
            <w:r>
              <w:rPr>
                <w:rFonts w:ascii="Arial" w:hAnsi="Arial" w:cs="Arial"/>
                <w:b/>
                <w:bCs/>
                <w:sz w:val="18"/>
                <w:szCs w:val="18"/>
              </w:rPr>
              <w:t>Respostas ao Questionário iGovTI 2026</w:t>
            </w:r>
            <w:r>
              <w:rPr>
                <w:rFonts w:ascii="Arial" w:hAnsi="Arial" w:cs="Arial"/>
                <w:sz w:val="18"/>
                <w:szCs w:val="18"/>
              </w:rPr>
              <w:t xml:space="preserve"> - Situações caracterizadas pelas respostas declaradas às questões indicadas:</w:t>
            </w:r>
          </w:p>
          <w:p>
            <w:pPr>
              <w:spacing w:after="60"/>
              <w:jc w:val="both"/>
              <w:rPr>
                <w:rFonts w:ascii="Arial" w:hAnsi="Arial" w:cs="Arial"/>
                <w:sz w:val="18"/>
                <w:szCs w:val="18"/>
              </w:rPr>
            </w:pPr>
            <w:r>
              <w:rPr>
                <w:rFonts w:ascii="Arial" w:hAnsi="Arial" w:cs="Arial"/>
                <w:b/>
                <w:sz w:val="18"/>
                <w:szCs w:val="18"/>
              </w:rPr>
              <w:t xml:space="preserve">a) S4.1 - Ausência de força de trabalho dedicada à TIC ou à segurança da informação.: </w:t>
            </w:r>
            <w:r>
              <w:rPr>
                <w:rFonts w:ascii="Arial" w:hAnsi="Arial" w:cs="Arial"/>
                <w:sz w:val="18"/>
                <w:szCs w:val="18"/>
              </w:rPr>
              <w:t>valor igual a zero em total_TI e total_SI, observada a composição lógica definida na Matriz de Procedimentos de Auditoria.</w:t>
            </w:r>
          </w:p>
          <w:p>
            <w:pPr>
              <w:spacing w:after="60"/>
              <w:jc w:val="both"/>
              <w:rPr>
                <w:rFonts w:ascii="Arial" w:hAnsi="Arial" w:cs="Arial"/>
                <w:sz w:val="18"/>
                <w:szCs w:val="18"/>
              </w:rPr>
            </w:pPr>
            <w:r>
              <w:rPr>
                <w:rFonts w:ascii="Arial" w:hAnsi="Arial" w:cs="Arial"/>
                <w:b/>
                <w:sz w:val="18"/>
                <w:szCs w:val="18"/>
              </w:rPr>
              <w:t xml:space="preserve">b) S4.2 - A organização não definiu o quantitativo necessário de pessoal de TIC e segurança da informação.: </w:t>
            </w:r>
            <w:r>
              <w:rPr>
                <w:rFonts w:ascii="Arial" w:hAnsi="Arial" w:cs="Arial"/>
                <w:sz w:val="18"/>
                <w:szCs w:val="18"/>
              </w:rPr>
              <w:t>resposta "Não" ou "N/A" em q2703ext[C]; resposta "Não conforme" em q2703ext[C], observada a composição lógica definida na Matriz de Procedimentos de Auditoria.</w:t>
            </w:r>
          </w:p>
          <w:p>
            <w:pPr>
              <w:spacing w:after="60"/>
              <w:jc w:val="both"/>
              <w:rPr>
                <w:rFonts w:ascii="Arial" w:hAnsi="Arial" w:cs="Arial"/>
                <w:sz w:val="18"/>
                <w:szCs w:val="18"/>
              </w:rPr>
            </w:pPr>
            <w:r>
              <w:rPr>
                <w:rFonts w:ascii="Arial" w:hAnsi="Arial" w:cs="Arial"/>
                <w:b/>
                <w:sz w:val="18"/>
                <w:szCs w:val="18"/>
              </w:rPr>
              <w:t xml:space="preserve">c) S4.3 - Ausência de cargos, funções, perfis ou ocupações específicas de TIC e segurança da informação.: </w:t>
            </w:r>
            <w:r>
              <w:rPr>
                <w:rFonts w:ascii="Arial" w:hAnsi="Arial" w:cs="Arial"/>
                <w:sz w:val="18"/>
                <w:szCs w:val="18"/>
              </w:rPr>
              <w:t>resposta "Não" em q2708[B] e q2708[D]; resposta "Não conforme" em q2708[B] e q2708[D], observada a composição lógica definida na Matriz de Procedimentos de Auditoria.</w:t>
            </w:r>
          </w:p>
          <w:p>
            <w:pPr>
              <w:spacing w:after="60"/>
              <w:jc w:val="both"/>
              <w:rPr>
                <w:rFonts w:ascii="Arial" w:hAnsi="Arial" w:cs="Arial"/>
                <w:sz w:val="18"/>
                <w:szCs w:val="18"/>
              </w:rPr>
            </w:pPr>
            <w:r>
              <w:rPr>
                <w:rFonts w:ascii="Arial" w:hAnsi="Arial" w:cs="Arial"/>
                <w:b/>
                <w:sz w:val="18"/>
                <w:szCs w:val="18"/>
              </w:rPr>
              <w:t xml:space="preserve">d) S4.4 - Perfis profissionais de TIC e segurança da informação inexistentes, insuficientes ou não utilizados na escolha de gestores.: </w:t>
            </w:r>
            <w:r>
              <w:rPr>
                <w:rFonts w:ascii="Arial" w:hAnsi="Arial" w:cs="Arial"/>
                <w:sz w:val="18"/>
                <w:szCs w:val="18"/>
              </w:rPr>
              <w:t>resposta "Não" ou "N/A" em q2701ext[A], q2702ext[A] e q2704ext[B]; resposta "Não conforme" em q2701ext[A], q2702ext[A] e q2704ext[B], observada a composição lógica definida na Matriz de Procedimentos de Auditoria.</w:t>
            </w:r>
          </w:p>
          <w:p>
            <w:pPr>
              <w:spacing w:after="60"/>
              <w:jc w:val="both"/>
              <w:rPr>
                <w:rFonts w:ascii="Arial" w:hAnsi="Arial" w:cs="Arial"/>
                <w:sz w:val="18"/>
                <w:szCs w:val="18"/>
              </w:rPr>
            </w:pPr>
            <w:r>
              <w:rPr>
                <w:rFonts w:ascii="Arial" w:hAnsi="Arial" w:cs="Arial"/>
                <w:b/>
                <w:sz w:val="18"/>
                <w:szCs w:val="18"/>
              </w:rPr>
              <w:t xml:space="preserve">e) S4.5 - Lacunas de competências dos colaboradores e gestores de TIC e segurança da informação não são identificadas ou tratadas.: </w:t>
            </w:r>
            <w:r>
              <w:rPr>
                <w:rFonts w:ascii="Arial" w:hAnsi="Arial" w:cs="Arial"/>
                <w:sz w:val="18"/>
                <w:szCs w:val="18"/>
              </w:rPr>
              <w:t>resposta "Não" ou "N/A" em q2705ext[B], q2705ext[C], q2705ext[D] e q2706ext[A]; resposta "Não conforme" em q2706ext[A], observada a composição lógica definida na Matriz de Procedimentos de Auditoria.</w:t>
            </w:r>
          </w:p>
          <w:p>
            <w:pPr>
              <w:spacing w:after="60"/>
              <w:jc w:val="both"/>
              <w:rPr>
                <w:rFonts w:ascii="Arial" w:hAnsi="Arial" w:cs="Arial"/>
                <w:sz w:val="18"/>
                <w:szCs w:val="18"/>
              </w:rPr>
            </w:pPr>
            <w:r>
              <w:rPr>
                <w:rFonts w:ascii="Arial" w:hAnsi="Arial" w:cs="Arial"/>
                <w:b/>
                <w:sz w:val="18"/>
                <w:szCs w:val="18"/>
              </w:rPr>
              <w:t xml:space="preserve">f) S4.6 - Dependência externa relevante sem capacidade interna suficiente para coordenar e fiscalizar a TIC.: </w:t>
            </w:r>
            <w:r>
              <w:rPr>
                <w:rFonts w:ascii="Arial" w:hAnsi="Arial" w:cs="Arial"/>
                <w:sz w:val="18"/>
                <w:szCs w:val="18"/>
              </w:rPr>
              <w:t>uma das alternativas b), c) em q0101; valor igual a zero em total_TI_interno; resultado verdadeiro em predominio_terceiros, observada a composição lógica definida na Matriz de Procedimentos de Auditoria.</w:t>
            </w:r>
          </w:p>
        </w:tc>
        <w:tc>
          <w:tcPr>
            <w:tcW w:w="790" w:type="pct"/>
          </w:tcPr>
          <w:p>
            <w:pPr>
              <w:jc w:val="both"/>
              <w:rPr>
                <w:rFonts w:ascii="Arial" w:hAnsi="Arial" w:cs="Arial"/>
                <w:sz w:val="18"/>
                <w:szCs w:val="18"/>
              </w:rPr>
            </w:pPr>
            <w:r>
              <w:rPr>
                <w:rFonts w:ascii="Arial" w:hAnsi="Arial" w:cs="Arial"/>
                <w:b/>
                <w:bCs/>
                <w:sz w:val="18"/>
                <w:szCs w:val="18"/>
              </w:rPr>
              <w:t>Não investigada.</w:t>
            </w:r>
          </w:p>
        </w:tc>
        <w:tc>
          <w:tcPr>
            <w:tcW w:w="711" w:type="pct"/>
          </w:tcPr>
          <w:p>
            <w:pPr>
              <w:spacing w:after="60"/>
              <w:jc w:val="both"/>
              <w:rPr>
                <w:rFonts w:ascii="Arial" w:hAnsi="Arial" w:cs="Arial"/>
                <w:sz w:val="18"/>
                <w:szCs w:val="18"/>
              </w:rPr>
            </w:pPr>
            <w:r>
              <w:rPr>
                <w:rFonts w:ascii="Arial" w:hAnsi="Arial" w:cs="Arial"/>
                <w:b/>
                <w:bCs/>
                <w:sz w:val="18"/>
                <w:szCs w:val="18"/>
              </w:rPr>
              <w:t>Subdimensionamento da força de trabalho:</w:t>
            </w:r>
            <w:r>
              <w:rPr>
                <w:rFonts w:ascii="Arial" w:hAnsi="Arial" w:cs="Arial"/>
                <w:sz w:val="18"/>
                <w:szCs w:val="18"/>
              </w:rPr>
              <w:t xml:space="preserve"> Ausência de base estruturada para estimar, alocar e acompanhar a capacidade necessária de pessoal de TIC e segurança da informação.</w:t>
            </w:r>
          </w:p>
          <w:p>
            <w:pPr>
              <w:spacing w:after="60"/>
              <w:jc w:val="both"/>
              <w:rPr>
                <w:rFonts w:ascii="Arial" w:hAnsi="Arial" w:cs="Arial"/>
                <w:sz w:val="18"/>
                <w:szCs w:val="18"/>
              </w:rPr>
            </w:pPr>
          </w:p>
          <w:p>
            <w:pPr>
              <w:spacing w:after="60"/>
              <w:jc w:val="both"/>
              <w:rPr>
                <w:rFonts w:ascii="Arial" w:hAnsi="Arial" w:cs="Arial"/>
                <w:sz w:val="18"/>
                <w:szCs w:val="18"/>
              </w:rPr>
            </w:pPr>
            <w:r>
              <w:rPr>
                <w:rFonts w:ascii="Arial" w:hAnsi="Arial" w:cs="Arial"/>
                <w:b/>
                <w:bCs/>
                <w:sz w:val="18"/>
                <w:szCs w:val="18"/>
              </w:rPr>
              <w:t>Perda de capacidade institucional:</w:t>
            </w:r>
            <w:r>
              <w:rPr>
                <w:rFonts w:ascii="Arial" w:hAnsi="Arial" w:cs="Arial"/>
                <w:sz w:val="18"/>
                <w:szCs w:val="18"/>
              </w:rPr>
              <w:t xml:space="preserve"> Dificuldade para atrair, designar, desenvolver e reter profissionais com competências compatíveis com as responsabilidades exercidas.</w:t>
            </w:r>
          </w:p>
          <w:p>
            <w:pPr>
              <w:spacing w:after="60"/>
              <w:jc w:val="both"/>
              <w:rPr>
                <w:rFonts w:ascii="Arial" w:hAnsi="Arial" w:cs="Arial"/>
                <w:sz w:val="18"/>
                <w:szCs w:val="18"/>
              </w:rPr>
            </w:pPr>
          </w:p>
          <w:p>
            <w:pPr>
              <w:spacing w:after="60"/>
              <w:jc w:val="both"/>
              <w:rPr>
                <w:rFonts w:ascii="Arial" w:hAnsi="Arial" w:cs="Arial"/>
                <w:sz w:val="18"/>
                <w:szCs w:val="18"/>
              </w:rPr>
            </w:pPr>
            <w:r>
              <w:rPr>
                <w:rFonts w:ascii="Arial" w:hAnsi="Arial" w:cs="Arial"/>
                <w:b/>
                <w:bCs/>
                <w:sz w:val="18"/>
                <w:szCs w:val="18"/>
              </w:rPr>
              <w:t>Execução insuficiente de funções críticas:</w:t>
            </w:r>
            <w:r>
              <w:rPr>
                <w:rFonts w:ascii="Arial" w:hAnsi="Arial" w:cs="Arial"/>
                <w:sz w:val="18"/>
                <w:szCs w:val="18"/>
              </w:rPr>
              <w:t xml:space="preserve"> Risco de incapacidade para planejar, gerir, proteger, contratar, fiscalizar e sustentar serviços e ativos de TIC.</w:t>
            </w:r>
          </w:p>
          <w:p>
            <w:pPr>
              <w:spacing w:after="60"/>
              <w:jc w:val="both"/>
              <w:rPr>
                <w:rFonts w:ascii="Arial" w:hAnsi="Arial" w:cs="Arial"/>
                <w:sz w:val="18"/>
                <w:szCs w:val="18"/>
              </w:rPr>
            </w:pPr>
          </w:p>
          <w:p>
            <w:pPr>
              <w:spacing w:after="60"/>
              <w:jc w:val="both"/>
              <w:rPr>
                <w:rFonts w:ascii="Arial" w:hAnsi="Arial" w:cs="Arial"/>
                <w:sz w:val="18"/>
                <w:szCs w:val="18"/>
              </w:rPr>
            </w:pPr>
            <w:r>
              <w:rPr>
                <w:rFonts w:ascii="Arial" w:hAnsi="Arial" w:cs="Arial"/>
                <w:b/>
                <w:bCs/>
                <w:sz w:val="18"/>
                <w:szCs w:val="18"/>
              </w:rPr>
              <w:t>Dependência excessiva de terceiros:</w:t>
            </w:r>
            <w:r>
              <w:rPr>
                <w:rFonts w:ascii="Arial" w:hAnsi="Arial" w:cs="Arial"/>
                <w:sz w:val="18"/>
                <w:szCs w:val="18"/>
              </w:rPr>
              <w:t xml:space="preserve"> Perda de conhecimento, redução da governabilidade e risco de descontinuidade dos serviços quando não houver capacidade interna mínima de coordenação e fiscalização.</w:t>
            </w:r>
          </w:p>
        </w:tc>
        <w:tc>
          <w:tcPr>
            <w:tcW w:w="1521" w:type="pct"/>
          </w:tcPr>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avalie a força de trabalho dedicada à TIC e à segurança da informação e adote medidas proporcionais para assegurar capacidade mínima de planejamento, gestão, proteção, contratação, fiscalização e sustentação dos serviços e ativos de TIC [S4.1].</w:t>
            </w:r>
          </w:p>
          <w:p>
            <w:pPr>
              <w:jc w:val="both"/>
              <w:rPr>
                <w:rFonts w:ascii="Arial" w:hAnsi="Arial" w:cs="Arial"/>
                <w:sz w:val="18"/>
                <w:szCs w:val="18"/>
              </w:rPr>
            </w:pPr>
          </w:p>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estime e mantenha atualizado o quantitativo necessário de pessoal de TIC e segurança da informação, considerando o porte e a complexidade da organização, os serviços críticos, os sistemas mantidos, as contratações vigentes e os riscos relevantes [S4.2].</w:t>
            </w:r>
          </w:p>
          <w:p>
            <w:pPr>
              <w:jc w:val="both"/>
              <w:rPr>
                <w:rFonts w:ascii="Arial" w:hAnsi="Arial" w:cs="Arial"/>
                <w:sz w:val="18"/>
                <w:szCs w:val="18"/>
              </w:rPr>
            </w:pPr>
          </w:p>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avalie a necessidade de instituir cargos, funções, gratificações, perfis ou ocupações específicas de TIC e segurança da informação e adote a solução compatível com as necessidades institucionais e a capacidade administrativa da organização [S4.3].</w:t>
            </w:r>
          </w:p>
          <w:p>
            <w:pPr>
              <w:jc w:val="both"/>
              <w:rPr>
                <w:rFonts w:ascii="Arial" w:hAnsi="Arial" w:cs="Arial"/>
                <w:sz w:val="18"/>
                <w:szCs w:val="18"/>
              </w:rPr>
            </w:pPr>
          </w:p>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defina perfis profissionais mínimos para gestores e colaboradores de TIC e segurança da informação, atentando-se, minimamente, em estabelecer conhecimentos, habilidades, experiência e responsabilidades requeridos e utilizar esses perfis na seleção e designação dos responsáveis [S4.4].</w:t>
            </w:r>
          </w:p>
          <w:p>
            <w:pPr>
              <w:jc w:val="both"/>
              <w:rPr>
                <w:rFonts w:ascii="Arial" w:hAnsi="Arial" w:cs="Arial"/>
                <w:sz w:val="18"/>
                <w:szCs w:val="18"/>
              </w:rPr>
            </w:pPr>
          </w:p>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realize diagnóstico periódico das lacunas de competências dos gestores e colaboradores de TIC e segurança da informação e estabeleça plano de tratamento, contemplando, conforme a necessidade, capacitação, realocação, provimento, apoio especializado, compartilhamento de estrutura ou contratação com transferência de conhecimento [S4.5].</w:t>
            </w:r>
          </w:p>
          <w:p>
            <w:pPr>
              <w:jc w:val="both"/>
              <w:rPr>
                <w:rFonts w:ascii="Arial" w:hAnsi="Arial" w:cs="Arial"/>
                <w:sz w:val="18"/>
                <w:szCs w:val="18"/>
              </w:rPr>
            </w:pPr>
          </w:p>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avalie o modelo de operação de TIC e adote medidas proporcionais para assegurar capacidade interna suficiente de coordenação, planejamento, aprovação técnica, fiscalização contratual e retenção de conhecimento, especialmente quando a execução das atividades de TIC depender predominantemente de terceiros ou de estrutura externa [S4.6].</w:t>
            </w:r>
          </w:p>
        </w:tc>
      </w:tr>
    </w:tbl>
    <w:p w14:paraId="251278B4" w14:textId="77777777" w:rsidR="00F44088" w:rsidRDefault="00F44088" w:rsidP="001E6730">
      <w:pPr>
        <w:jc w:val="center"/>
        <w:rPr>
          <w:rFonts w:ascii="Arial" w:hAnsi="Arial" w:cs="Arial"/>
          <w:b/>
        </w:rPr>
      </w:pPr>
    </w:p>
    <w:tbl>
      <w:tblPr>
        <w:tblStyle w:val="Tabelacomgrad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3364"/>
        <w:gridCol w:w="3364"/>
        <w:gridCol w:w="3534"/>
        <w:gridCol w:w="3179"/>
        <w:gridCol w:w="6801"/>
      </w:tblGrid>
      <w:tr w:rsidR="00F44088" w:rsidRPr="00636B72" w14:paraId="0296F3EF" w14:textId="77777777" w:rsidTr="003A6734">
        <w:trPr>
          <w:trHeight w:val="300"/>
          <w:tblHeader/>
        </w:trPr>
        <w:tc>
          <w:tcPr>
            <w:tcW w:w="473" w:type="pct"/>
          </w:tcPr>
          <w:p w14:paraId="258D83EA" w14:textId="77777777" w:rsidR="00F44088" w:rsidRPr="00636B72" w:rsidRDefault="00F44088" w:rsidP="003A6734">
            <w:pPr>
              <w:autoSpaceDE w:val="0"/>
              <w:autoSpaceDN w:val="0"/>
              <w:adjustRightInd w:val="0"/>
              <w:spacing w:before="40" w:after="60"/>
              <w:jc w:val="center"/>
              <w:rPr>
                <w:rFonts w:ascii="Arial" w:hAnsi="Arial" w:cs="Arial"/>
                <w:b/>
                <w:bCs/>
                <w:sz w:val="16"/>
                <w:szCs w:val="16"/>
              </w:rPr>
              <w:pageBreakBefore/>
            </w:pPr>
            <w:r>
              <w:rPr>
                <w:rFonts w:ascii="Arial" w:hAnsi="Arial" w:cs="Arial"/>
                <w:b/>
                <w:bCs/>
                <w:sz w:val="16"/>
                <w:szCs w:val="16"/>
              </w:rPr>
              <w:lastRenderedPageBreak/>
              <w:t>ACHADO</w:t>
            </w:r>
          </w:p>
        </w:tc>
        <w:tc>
          <w:tcPr>
            <w:tcW w:w="752" w:type="pct"/>
            <w:vAlign w:val="center"/>
          </w:tcPr>
          <w:p w14:paraId="410A5EB5" w14:textId="77777777" w:rsidR="00F44088" w:rsidRPr="00636B72" w:rsidRDefault="00F44088" w:rsidP="003A6734">
            <w:pPr>
              <w:autoSpaceDE w:val="0"/>
              <w:autoSpaceDN w:val="0"/>
              <w:adjustRightInd w:val="0"/>
              <w:spacing w:before="40" w:after="60"/>
              <w:jc w:val="center"/>
              <w:rPr>
                <w:rFonts w:ascii="Arial" w:hAnsi="Arial" w:cs="Arial"/>
                <w:b/>
                <w:bCs/>
                <w:sz w:val="16"/>
                <w:szCs w:val="16"/>
              </w:rPr>
            </w:pPr>
            <w:r>
              <w:rPr>
                <w:rFonts w:ascii="Arial" w:hAnsi="Arial" w:cs="Arial"/>
                <w:b/>
                <w:bCs/>
                <w:sz w:val="16"/>
                <w:szCs w:val="16"/>
              </w:rPr>
              <w:t>CRITÉRIO</w:t>
            </w:r>
          </w:p>
        </w:tc>
        <w:tc>
          <w:tcPr>
            <w:tcW w:w="752" w:type="pct"/>
            <w:vAlign w:val="center"/>
          </w:tcPr>
          <w:p w14:paraId="45E01028" w14:textId="77777777" w:rsidR="00F44088" w:rsidRPr="00636B72" w:rsidRDefault="00F44088" w:rsidP="003A6734">
            <w:pPr>
              <w:spacing w:before="40" w:after="60"/>
              <w:jc w:val="center"/>
              <w:rPr>
                <w:rFonts w:ascii="Arial" w:hAnsi="Arial" w:cs="Arial"/>
                <w:b/>
                <w:bCs/>
                <w:sz w:val="16"/>
                <w:szCs w:val="16"/>
              </w:rPr>
            </w:pPr>
            <w:r>
              <w:rPr>
                <w:rFonts w:ascii="Arial" w:hAnsi="Arial" w:cs="Arial"/>
                <w:b/>
                <w:bCs/>
                <w:sz w:val="16"/>
                <w:szCs w:val="16"/>
              </w:rPr>
              <w:t>EVIDÊNCIA</w:t>
            </w:r>
          </w:p>
        </w:tc>
        <w:tc>
          <w:tcPr>
            <w:tcW w:w="790" w:type="pct"/>
            <w:vAlign w:val="center"/>
          </w:tcPr>
          <w:p w14:paraId="3FD8B688" w14:textId="77777777" w:rsidR="00F44088" w:rsidRPr="00636B72" w:rsidRDefault="00F44088" w:rsidP="003A6734">
            <w:pPr>
              <w:spacing w:before="40" w:after="60"/>
              <w:jc w:val="center"/>
              <w:rPr>
                <w:rFonts w:ascii="Arial" w:hAnsi="Arial" w:cs="Arial"/>
                <w:b/>
                <w:bCs/>
                <w:strike/>
                <w:sz w:val="16"/>
                <w:szCs w:val="16"/>
              </w:rPr>
            </w:pPr>
            <w:r>
              <w:rPr>
                <w:rFonts w:ascii="Arial" w:hAnsi="Arial" w:cs="Arial"/>
                <w:b/>
                <w:bCs/>
                <w:sz w:val="16"/>
                <w:szCs w:val="16"/>
              </w:rPr>
              <w:t>CAUSA</w:t>
            </w:r>
          </w:p>
        </w:tc>
        <w:tc>
          <w:tcPr>
            <w:tcW w:w="711" w:type="pct"/>
            <w:vAlign w:val="center"/>
          </w:tcPr>
          <w:p w14:paraId="77DF5DBD" w14:textId="77777777" w:rsidR="00F44088" w:rsidRPr="00636B72" w:rsidRDefault="00F44088" w:rsidP="003A6734">
            <w:pPr>
              <w:spacing w:before="40" w:after="60"/>
              <w:jc w:val="center"/>
              <w:rPr>
                <w:rFonts w:ascii="Arial" w:hAnsi="Arial" w:cs="Arial"/>
                <w:b/>
                <w:bCs/>
                <w:sz w:val="16"/>
                <w:szCs w:val="16"/>
              </w:rPr>
            </w:pPr>
            <w:r>
              <w:rPr>
                <w:rFonts w:ascii="Arial" w:hAnsi="Arial" w:cs="Arial"/>
                <w:b/>
                <w:bCs/>
                <w:sz w:val="16"/>
                <w:szCs w:val="16"/>
              </w:rPr>
              <w:t>EFEITO</w:t>
            </w:r>
          </w:p>
        </w:tc>
        <w:tc>
          <w:tcPr>
            <w:tcW w:w="1521" w:type="pct"/>
            <w:vAlign w:val="center"/>
          </w:tcPr>
          <w:p w14:paraId="4F1C0FCC" w14:textId="77777777" w:rsidR="00F44088" w:rsidRPr="00636B72" w:rsidRDefault="00F44088" w:rsidP="003A6734">
            <w:pPr>
              <w:spacing w:before="40" w:after="60"/>
              <w:jc w:val="center"/>
              <w:rPr>
                <w:rFonts w:ascii="Arial" w:hAnsi="Arial" w:cs="Arial"/>
                <w:b/>
                <w:bCs/>
                <w:sz w:val="16"/>
                <w:szCs w:val="16"/>
              </w:rPr>
            </w:pPr>
            <w:r>
              <w:rPr>
                <w:rFonts w:ascii="Arial" w:hAnsi="Arial" w:cs="Arial"/>
                <w:b/>
                <w:bCs/>
                <w:sz w:val="16"/>
                <w:szCs w:val="16"/>
              </w:rPr>
              <w:t>ENCAMINHAMENTO</w:t>
            </w:r>
          </w:p>
        </w:tc>
      </w:tr>
      <w:tr w:rsidR="00293A47" w:rsidRPr="00636B72" w14:paraId="6F79C4B0" w14:textId="77777777" w:rsidTr="003A6734">
        <w:trPr>
          <w:trHeight w:val="300"/>
        </w:trPr>
        <w:tc>
          <w:tcPr>
            <w:tcW w:w="473" w:type="pct"/>
          </w:tcPr>
          <w:p>
            <w:pPr>
              <w:spacing w:after="60"/>
              <w:jc w:val="both"/>
              <w:rPr>
                <w:rFonts w:ascii="Arial" w:hAnsi="Arial" w:cs="Arial"/>
                <w:b/>
                <w:bCs/>
                <w:sz w:val="18"/>
                <w:szCs w:val="18"/>
              </w:rPr>
            </w:pPr>
            <w:r>
              <w:rPr>
                <w:rFonts w:ascii="Arial" w:hAnsi="Arial" w:cs="Arial"/>
                <w:b/>
                <w:bCs/>
                <w:sz w:val="18"/>
                <w:szCs w:val="18"/>
              </w:rPr>
              <w:t>ACHADO 05</w:t>
            </w:r>
          </w:p>
          <w:p>
            <w:pPr>
              <w:spacing w:after="60"/>
              <w:jc w:val="both"/>
              <w:rPr>
                <w:rFonts w:ascii="Arial" w:hAnsi="Arial" w:cs="Arial"/>
                <w:b/>
                <w:bCs/>
                <w:sz w:val="18"/>
                <w:szCs w:val="18"/>
              </w:rPr>
            </w:pPr>
          </w:p>
          <w:p>
            <w:pPr>
              <w:spacing w:after="60"/>
              <w:jc w:val="both"/>
              <w:rPr>
                <w:rFonts w:ascii="Arial" w:hAnsi="Arial" w:cs="Arial"/>
                <w:b/>
                <w:bCs/>
                <w:sz w:val="18"/>
                <w:szCs w:val="18"/>
              </w:rPr>
            </w:pPr>
            <w:r>
              <w:rPr>
                <w:rFonts w:ascii="Arial" w:hAnsi="Arial" w:cs="Arial"/>
                <w:sz w:val="18"/>
                <w:szCs w:val="18"/>
              </w:rPr>
              <w:t>Gestão de serviços de TIC insuficiente para assegurar controle sobre serviços, ativos e incidentes</w:t>
            </w:r>
          </w:p>
        </w:tc>
        <w:tc>
          <w:tcPr>
            <w:tcW w:w="752" w:type="pct"/>
          </w:tcPr>
          <w:p>
            <w:pPr>
              <w:jc w:val="both"/>
              <w:rPr>
                <w:rFonts w:ascii="Arial" w:hAnsi="Arial" w:cs="Arial"/>
                <w:sz w:val="18"/>
                <w:szCs w:val="18"/>
                <w:vertAlign w:val="superscript"/>
              </w:rPr>
            </w:pPr>
            <w:r>
              <w:rPr>
                <w:rFonts w:ascii="Arial" w:hAnsi="Arial" w:cs="Arial"/>
                <w:b/>
                <w:sz w:val="18"/>
                <w:szCs w:val="18"/>
              </w:rPr>
              <w:t>ITIL 4, prática de gerenciamento do catálogo de serviços:</w:t>
            </w:r>
            <w:r>
              <w:rPr>
                <w:rFonts w:ascii="Arial" w:hAnsi="Arial" w:cs="Arial"/>
                <w:sz w:val="18"/>
                <w:szCs w:val="18"/>
              </w:rPr>
              <w:t xml:space="preserve"> manter fonte única de informações consistentes sobre serviços e ofertas de serviço, disponível para usuários e equipes de suporte.</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COBIT 2019, APO09.02 - Catalogar serviços facilitados por TI:</w:t>
            </w:r>
            <w:r>
              <w:rPr>
                <w:rFonts w:ascii="Arial" w:hAnsi="Arial" w:cs="Arial"/>
                <w:sz w:val="18"/>
                <w:szCs w:val="18"/>
              </w:rPr>
              <w:t xml:space="preserve"> definir, manter e comunicar catálogo de serviços, incluindo serviços prestados, características, requisitos e níveis de serviço esperados.</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ITIL 4, prática de gerenciamento de nível de serviço:</w:t>
            </w:r>
            <w:r>
              <w:rPr>
                <w:rFonts w:ascii="Arial" w:hAnsi="Arial" w:cs="Arial"/>
                <w:sz w:val="18"/>
                <w:szCs w:val="18"/>
              </w:rPr>
              <w:t xml:space="preserve"> definir, acordar, monitorar, avaliar e reportar metas e níveis de serviço alinhados às necessidades das áreas usuárias.</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ITIL 4, prática de gerenciamento de ativos de TI:</w:t>
            </w:r>
            <w:r>
              <w:rPr>
                <w:rFonts w:ascii="Arial" w:hAnsi="Arial" w:cs="Arial"/>
                <w:sz w:val="18"/>
                <w:szCs w:val="18"/>
              </w:rPr>
              <w:t xml:space="preserve"> planejar e gerenciar o ciclo de vida dos ativos de TI, mantendo informações suficientes para apoiar controle, custo, risco, valor e tomada de decisão.</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ITIL 4, prática de gerenciamento de configuração de serviço:</w:t>
            </w:r>
            <w:r>
              <w:rPr>
                <w:rFonts w:ascii="Arial" w:hAnsi="Arial" w:cs="Arial"/>
                <w:sz w:val="18"/>
                <w:szCs w:val="18"/>
              </w:rPr>
              <w:t xml:space="preserve"> assegurar informações precisas e confiáveis sobre itens de configuração e seus relacionamentos com serviços, sistemas e infraestrutura.</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COBIT 2019, BAI10.01 - Estabelecer e manter um modelo de configuração:</w:t>
            </w:r>
            <w:r>
              <w:rPr>
                <w:rFonts w:ascii="Arial" w:hAnsi="Arial" w:cs="Arial"/>
                <w:sz w:val="18"/>
                <w:szCs w:val="18"/>
              </w:rPr>
              <w:t xml:space="preserve"> definir escopo, granularidade, atributos, relacionamentos e responsáveis pela base de configuração.</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ITIL 4, prática de gerenciamento de incidentes:</w:t>
            </w:r>
            <w:r>
              <w:rPr>
                <w:rFonts w:ascii="Arial" w:hAnsi="Arial" w:cs="Arial"/>
                <w:sz w:val="18"/>
                <w:szCs w:val="18"/>
              </w:rPr>
              <w:t xml:space="preserve"> minimizar o impacto negativo dos incidentes por meio da restauração tempestiva da operação normal dos serviços e do registro rastreável do tratamento realizado.</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COBIT 2019, DSS02.02, DSS02.04 e DSS02.07 - Requisições de serviço e incidentes gerenciados:</w:t>
            </w:r>
            <w:r>
              <w:rPr>
                <w:rFonts w:ascii="Arial" w:hAnsi="Arial" w:cs="Arial"/>
                <w:sz w:val="18"/>
                <w:szCs w:val="18"/>
              </w:rPr>
              <w:t xml:space="preserve"> registrar, classificar, priorizar, investigar, diagnosticar, resolver, acompanhar e reportar incidentes e requisições de serviço.</w:t>
            </w:r>
          </w:p>
        </w:tc>
        <w:tc>
          <w:tcPr>
            <w:tcW w:w="752" w:type="pct"/>
          </w:tcPr>
          <w:p>
            <w:pPr>
              <w:spacing w:after="60"/>
              <w:jc w:val="both"/>
              <w:rPr>
                <w:rFonts w:ascii="Arial" w:hAnsi="Arial" w:cs="Arial"/>
                <w:sz w:val="18"/>
                <w:szCs w:val="18"/>
              </w:rPr>
            </w:pPr>
            <w:r>
              <w:rPr>
                <w:rFonts w:ascii="Arial" w:hAnsi="Arial" w:cs="Arial"/>
                <w:b/>
                <w:bCs/>
                <w:sz w:val="18"/>
                <w:szCs w:val="18"/>
              </w:rPr>
              <w:t>Respostas ao Questionário iGovTI 2026</w:t>
            </w:r>
            <w:r>
              <w:rPr>
                <w:rFonts w:ascii="Arial" w:hAnsi="Arial" w:cs="Arial"/>
                <w:sz w:val="18"/>
                <w:szCs w:val="18"/>
              </w:rPr>
              <w:t xml:space="preserve"> - Situações caracterizadas pelas respostas declaradas às questões indicadas:</w:t>
            </w:r>
          </w:p>
          <w:p>
            <w:pPr>
              <w:spacing w:after="60"/>
              <w:jc w:val="both"/>
              <w:rPr>
                <w:rFonts w:ascii="Arial" w:hAnsi="Arial" w:cs="Arial"/>
                <w:sz w:val="18"/>
                <w:szCs w:val="18"/>
              </w:rPr>
            </w:pPr>
            <w:r>
              <w:rPr>
                <w:rFonts w:ascii="Arial" w:hAnsi="Arial" w:cs="Arial"/>
                <w:b/>
                <w:sz w:val="18"/>
                <w:szCs w:val="18"/>
              </w:rPr>
              <w:t xml:space="preserve">a) S5.1 - Inexistência ou insuficiência do catálogo de serviços de TIC.: </w:t>
            </w:r>
            <w:r>
              <w:rPr>
                <w:rFonts w:ascii="Arial" w:hAnsi="Arial" w:cs="Arial"/>
                <w:sz w:val="18"/>
                <w:szCs w:val="18"/>
              </w:rPr>
              <w:t>resposta "Não" ou "N/A" em q2201ext[A], q2201ext[B] e q2201ext[C]; resposta "Não conforme" em q2201ext[A], q2201ext[B] e q2201ext[C], observada a composição lógica definida na Matriz de Procedimentos de Auditoria.</w:t>
            </w:r>
          </w:p>
          <w:p>
            <w:pPr>
              <w:spacing w:after="60"/>
              <w:jc w:val="both"/>
              <w:rPr>
                <w:rFonts w:ascii="Arial" w:hAnsi="Arial" w:cs="Arial"/>
                <w:sz w:val="18"/>
                <w:szCs w:val="18"/>
              </w:rPr>
            </w:pPr>
            <w:r>
              <w:rPr>
                <w:rFonts w:ascii="Arial" w:hAnsi="Arial" w:cs="Arial"/>
                <w:b/>
                <w:sz w:val="18"/>
                <w:szCs w:val="18"/>
              </w:rPr>
              <w:t xml:space="preserve">b) S5.2 - Ausência ou fragilidade na definição e no monitoramento de níveis mínimos de serviço de TIC.: </w:t>
            </w:r>
            <w:r>
              <w:rPr>
                <w:rFonts w:ascii="Arial" w:hAnsi="Arial" w:cs="Arial"/>
                <w:sz w:val="18"/>
                <w:szCs w:val="18"/>
              </w:rPr>
              <w:t>resposta "Não" ou "N/A" em q2201ext[D] e q2201ext[E]; resposta "Não conforme" em q2201ext[D] e q2201ext[E], observada a composição lógica definida na Matriz de Procedimentos de Auditoria.</w:t>
            </w:r>
          </w:p>
          <w:p>
            <w:pPr>
              <w:spacing w:after="60"/>
              <w:jc w:val="both"/>
              <w:rPr>
                <w:rFonts w:ascii="Arial" w:hAnsi="Arial" w:cs="Arial"/>
                <w:sz w:val="18"/>
                <w:szCs w:val="18"/>
              </w:rPr>
            </w:pPr>
            <w:r>
              <w:rPr>
                <w:rFonts w:ascii="Arial" w:hAnsi="Arial" w:cs="Arial"/>
                <w:b/>
                <w:sz w:val="18"/>
                <w:szCs w:val="18"/>
              </w:rPr>
              <w:t xml:space="preserve">c) S5.3 - Inexistência ou fragilidade do inventário de ativos de TIC.: </w:t>
            </w:r>
            <w:r>
              <w:rPr>
                <w:rFonts w:ascii="Arial" w:hAnsi="Arial" w:cs="Arial"/>
                <w:sz w:val="18"/>
                <w:szCs w:val="18"/>
              </w:rPr>
              <w:t>resposta "Não" ou "N/A" em q2203ext[A], q2504ext[A] e q2504ext[B]; resposta "Não conforme" em q2203ext[A], q2504ext[A] e q2504ext[B], observada a composição lógica definida na Matriz de Procedimentos de Auditoria.</w:t>
            </w:r>
          </w:p>
          <w:p>
            <w:pPr>
              <w:spacing w:after="60"/>
              <w:jc w:val="both"/>
              <w:rPr>
                <w:rFonts w:ascii="Arial" w:hAnsi="Arial" w:cs="Arial"/>
                <w:sz w:val="18"/>
                <w:szCs w:val="18"/>
              </w:rPr>
            </w:pPr>
            <w:r>
              <w:rPr>
                <w:rFonts w:ascii="Arial" w:hAnsi="Arial" w:cs="Arial"/>
                <w:b/>
                <w:sz w:val="18"/>
                <w:szCs w:val="18"/>
              </w:rPr>
              <w:t xml:space="preserve">d) S5.4 - Ausência ou fragilidade do processo de gestão de configuração.: </w:t>
            </w:r>
            <w:r>
              <w:rPr>
                <w:rFonts w:ascii="Arial" w:hAnsi="Arial" w:cs="Arial"/>
                <w:sz w:val="18"/>
                <w:szCs w:val="18"/>
              </w:rPr>
              <w:t>resposta "Não" ou "N/A" em q2203ext[A] e q2203ext[C]; resposta "Não conforme" em q2203ext[A] e q2203ext[C], observada a composição lógica definida na Matriz de Procedimentos de Auditoria.</w:t>
            </w:r>
          </w:p>
          <w:p>
            <w:pPr>
              <w:spacing w:after="60"/>
              <w:jc w:val="both"/>
              <w:rPr>
                <w:rFonts w:ascii="Arial" w:hAnsi="Arial" w:cs="Arial"/>
                <w:sz w:val="18"/>
                <w:szCs w:val="18"/>
              </w:rPr>
            </w:pPr>
            <w:r>
              <w:rPr>
                <w:rFonts w:ascii="Arial" w:hAnsi="Arial" w:cs="Arial"/>
                <w:b/>
                <w:sz w:val="18"/>
                <w:szCs w:val="18"/>
              </w:rPr>
              <w:t xml:space="preserve">e) S5.5 - Inexistência ou fragilidade do processo de gestão de incidentes de TIC.: </w:t>
            </w:r>
            <w:r>
              <w:rPr>
                <w:rFonts w:ascii="Arial" w:hAnsi="Arial" w:cs="Arial"/>
                <w:sz w:val="18"/>
                <w:szCs w:val="18"/>
              </w:rPr>
              <w:t>resposta "Não" ou "N/A" em q2204ext[A], q2204ext[D] e q2204ext[E]; resposta "Não conforme" em q2204ext[A], q2204ext[D] e q2204ext[E], observada a composição lógica definida na Matriz de Procedimentos de Auditoria.</w:t>
            </w:r>
          </w:p>
        </w:tc>
        <w:tc>
          <w:tcPr>
            <w:tcW w:w="790" w:type="pct"/>
          </w:tcPr>
          <w:p>
            <w:pPr>
              <w:jc w:val="both"/>
              <w:rPr>
                <w:rFonts w:ascii="Arial" w:hAnsi="Arial" w:cs="Arial"/>
                <w:sz w:val="18"/>
                <w:szCs w:val="18"/>
              </w:rPr>
            </w:pPr>
            <w:r>
              <w:rPr>
                <w:rFonts w:ascii="Arial" w:hAnsi="Arial" w:cs="Arial"/>
                <w:b/>
                <w:bCs/>
                <w:sz w:val="18"/>
                <w:szCs w:val="18"/>
              </w:rPr>
              <w:t>Não investigada.</w:t>
            </w:r>
          </w:p>
        </w:tc>
        <w:tc>
          <w:tcPr>
            <w:tcW w:w="711" w:type="pct"/>
          </w:tcPr>
          <w:p>
            <w:pPr>
              <w:spacing w:after="60"/>
              <w:jc w:val="both"/>
              <w:rPr>
                <w:rFonts w:ascii="Arial" w:hAnsi="Arial" w:cs="Arial"/>
                <w:sz w:val="18"/>
                <w:szCs w:val="18"/>
              </w:rPr>
            </w:pPr>
            <w:r>
              <w:rPr>
                <w:rFonts w:ascii="Arial" w:hAnsi="Arial" w:cs="Arial"/>
                <w:b/>
                <w:bCs/>
                <w:sz w:val="18"/>
                <w:szCs w:val="18"/>
              </w:rPr>
              <w:t>Prestação reativa de serviços:</w:t>
            </w:r>
            <w:r>
              <w:rPr>
                <w:rFonts w:ascii="Arial" w:hAnsi="Arial" w:cs="Arial"/>
                <w:sz w:val="18"/>
                <w:szCs w:val="18"/>
              </w:rPr>
              <w:t xml:space="preserve"> Falta de definição clara, padronizada e transparente dos serviços de TIC oferecidos aos usuários e às áreas demandantes.</w:t>
            </w:r>
          </w:p>
          <w:p>
            <w:pPr>
              <w:spacing w:after="60"/>
              <w:jc w:val="both"/>
              <w:rPr>
                <w:rFonts w:ascii="Arial" w:hAnsi="Arial" w:cs="Arial"/>
                <w:sz w:val="18"/>
                <w:szCs w:val="18"/>
              </w:rPr>
            </w:pPr>
          </w:p>
          <w:p>
            <w:pPr>
              <w:spacing w:after="60"/>
              <w:jc w:val="both"/>
              <w:rPr>
                <w:rFonts w:ascii="Arial" w:hAnsi="Arial" w:cs="Arial"/>
                <w:sz w:val="18"/>
                <w:szCs w:val="18"/>
              </w:rPr>
            </w:pPr>
            <w:r>
              <w:rPr>
                <w:rFonts w:ascii="Arial" w:hAnsi="Arial" w:cs="Arial"/>
                <w:b/>
                <w:bCs/>
                <w:sz w:val="18"/>
                <w:szCs w:val="18"/>
              </w:rPr>
              <w:t>Ausência de parâmetros de desempenho:</w:t>
            </w:r>
            <w:r>
              <w:rPr>
                <w:rFonts w:ascii="Arial" w:hAnsi="Arial" w:cs="Arial"/>
                <w:sz w:val="18"/>
                <w:szCs w:val="18"/>
              </w:rPr>
              <w:t xml:space="preserve"> Impossibilidade de avaliar objetivamente a qualidade, a disponibilidade e o atendimento dos principais serviços de TIC.</w:t>
            </w:r>
          </w:p>
          <w:p>
            <w:pPr>
              <w:spacing w:after="60"/>
              <w:jc w:val="both"/>
              <w:rPr>
                <w:rFonts w:ascii="Arial" w:hAnsi="Arial" w:cs="Arial"/>
                <w:sz w:val="18"/>
                <w:szCs w:val="18"/>
              </w:rPr>
            </w:pPr>
          </w:p>
          <w:p>
            <w:pPr>
              <w:spacing w:after="60"/>
              <w:jc w:val="both"/>
              <w:rPr>
                <w:rFonts w:ascii="Arial" w:hAnsi="Arial" w:cs="Arial"/>
                <w:sz w:val="18"/>
                <w:szCs w:val="18"/>
              </w:rPr>
            </w:pPr>
            <w:r>
              <w:rPr>
                <w:rFonts w:ascii="Arial" w:hAnsi="Arial" w:cs="Arial"/>
                <w:b/>
                <w:bCs/>
                <w:sz w:val="18"/>
                <w:szCs w:val="18"/>
              </w:rPr>
              <w:t>Controle inadequado dos ativos:</w:t>
            </w:r>
            <w:r>
              <w:rPr>
                <w:rFonts w:ascii="Arial" w:hAnsi="Arial" w:cs="Arial"/>
                <w:sz w:val="18"/>
                <w:szCs w:val="18"/>
              </w:rPr>
              <w:t xml:space="preserve"> Informações insuficientes sobre ativos, itens de configuração e seus relacionamentos com sistemas, infraestrutura e serviços.</w:t>
            </w:r>
          </w:p>
          <w:p>
            <w:pPr>
              <w:spacing w:after="60"/>
              <w:jc w:val="both"/>
              <w:rPr>
                <w:rFonts w:ascii="Arial" w:hAnsi="Arial" w:cs="Arial"/>
                <w:sz w:val="18"/>
                <w:szCs w:val="18"/>
              </w:rPr>
            </w:pPr>
          </w:p>
          <w:p>
            <w:pPr>
              <w:spacing w:after="60"/>
              <w:jc w:val="both"/>
              <w:rPr>
                <w:rFonts w:ascii="Arial" w:hAnsi="Arial" w:cs="Arial"/>
                <w:sz w:val="18"/>
                <w:szCs w:val="18"/>
              </w:rPr>
            </w:pPr>
            <w:r>
              <w:rPr>
                <w:rFonts w:ascii="Arial" w:hAnsi="Arial" w:cs="Arial"/>
                <w:b/>
                <w:bCs/>
                <w:sz w:val="18"/>
                <w:szCs w:val="18"/>
              </w:rPr>
              <w:t>Tratamento deficiente de incidentes:</w:t>
            </w:r>
            <w:r>
              <w:rPr>
                <w:rFonts w:ascii="Arial" w:hAnsi="Arial" w:cs="Arial"/>
                <w:sz w:val="18"/>
                <w:szCs w:val="18"/>
              </w:rPr>
              <w:t xml:space="preserve"> Resposta não padronizada, intempestiva ou sem rastreabilidade, com maior impacto sobre a continuidade e a qualidade dos serviços.</w:t>
            </w:r>
          </w:p>
        </w:tc>
        <w:tc>
          <w:tcPr>
            <w:tcW w:w="1521" w:type="pct"/>
          </w:tcPr>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institua e mantenha atualizado catálogo de serviços de TIC, atentando-se, minimamente, em identificar os serviços efetivamente prestados, seus responsáveis, usuários, condições de acesso e informações necessárias ao atendimento das áreas demandantes [S5.1].</w:t>
            </w:r>
          </w:p>
          <w:p>
            <w:pPr>
              <w:jc w:val="both"/>
              <w:rPr>
                <w:rFonts w:ascii="Arial" w:hAnsi="Arial" w:cs="Arial"/>
                <w:sz w:val="18"/>
                <w:szCs w:val="18"/>
              </w:rPr>
            </w:pPr>
          </w:p>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defina, pactue e monitore níveis mínimos de serviço ou metas de atendimento para os serviços de TIC mais relevantes, estabelecendo indicadores, responsáveis, periodicidade de medição e forma de comunicação dos resultados [S5.2].</w:t>
            </w:r>
          </w:p>
          <w:p>
            <w:pPr>
              <w:jc w:val="both"/>
              <w:rPr>
                <w:rFonts w:ascii="Arial" w:hAnsi="Arial" w:cs="Arial"/>
                <w:sz w:val="18"/>
                <w:szCs w:val="18"/>
              </w:rPr>
            </w:pPr>
          </w:p>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estabeleça e mantenha atualizado inventário de ativos de TIC, atentando-se, minimamente, em registrar equipamentos, servidores, sistemas, softwares, licenças, serviços em nuvem, componentes de infraestrutura, responsáveis e informações necessárias ao controle do ciclo de vida dos ativos [S5.3].</w:t>
            </w:r>
          </w:p>
          <w:p>
            <w:pPr>
              <w:jc w:val="both"/>
              <w:rPr>
                <w:rFonts w:ascii="Arial" w:hAnsi="Arial" w:cs="Arial"/>
                <w:sz w:val="18"/>
                <w:szCs w:val="18"/>
              </w:rPr>
            </w:pPr>
          </w:p>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formalize e execute processo de gestão de configuração, atentando-se, minimamente, em manter base, ferramenta ou registro equivalente com os itens de configuração relevantes, seus responsáveis e os relacionamentos entre ativos, sistemas, infraestrutura e serviços, com atualização periódica e uso das informações no planejamento e acompanhamento de mudanças [S5.4].</w:t>
            </w:r>
          </w:p>
          <w:p>
            <w:pPr>
              <w:jc w:val="both"/>
              <w:rPr>
                <w:rFonts w:ascii="Arial" w:hAnsi="Arial" w:cs="Arial"/>
                <w:sz w:val="18"/>
                <w:szCs w:val="18"/>
              </w:rPr>
            </w:pPr>
          </w:p>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formalize e execute processo de gestão de incidentes de TIC, atentando-se, minimamente, em definir papéis, responsabilidades, critérios de priorização e escalamento, tratamento de incidentes de serviços e de segurança da informação, registro sistemático e rastreável das ocorrências e análise posterior dos incidentes relevantes ou recorrentes [S5.5].</w:t>
            </w:r>
          </w:p>
        </w:tc>
      </w:tr>
    </w:tbl>
    <w:p w14:paraId="2D7B7BB7" w14:textId="77777777" w:rsidR="00EF220B" w:rsidRDefault="00EF220B" w:rsidP="001E6730">
      <w:pPr>
        <w:jc w:val="center"/>
        <w:rPr>
          <w:rFonts w:ascii="Arial" w:hAnsi="Arial" w:cs="Arial"/>
          <w:b/>
        </w:rPr>
      </w:pPr>
    </w:p>
    <w:tbl>
      <w:tblPr>
        <w:tblStyle w:val="Tabelacomgrad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3364"/>
        <w:gridCol w:w="3364"/>
        <w:gridCol w:w="3534"/>
        <w:gridCol w:w="3179"/>
        <w:gridCol w:w="6801"/>
      </w:tblGrid>
      <w:tr w:rsidR="00655036" w:rsidRPr="00636B72" w14:paraId="6F0859E5" w14:textId="77777777" w:rsidTr="003A6734">
        <w:trPr>
          <w:trHeight w:val="300"/>
          <w:tblHeader/>
        </w:trPr>
        <w:tc>
          <w:tcPr>
            <w:tcW w:w="473" w:type="pct"/>
          </w:tcPr>
          <w:p w14:paraId="156E78A8" w14:textId="77777777" w:rsidR="00655036" w:rsidRPr="00636B72" w:rsidRDefault="00655036" w:rsidP="003A6734">
            <w:pPr>
              <w:autoSpaceDE w:val="0"/>
              <w:autoSpaceDN w:val="0"/>
              <w:adjustRightInd w:val="0"/>
              <w:spacing w:before="40" w:after="60"/>
              <w:jc w:val="center"/>
              <w:rPr>
                <w:rFonts w:ascii="Arial" w:hAnsi="Arial" w:cs="Arial"/>
                <w:b/>
                <w:bCs/>
                <w:sz w:val="16"/>
                <w:szCs w:val="16"/>
              </w:rPr>
              <w:pageBreakBefore/>
            </w:pPr>
            <w:r>
              <w:rPr>
                <w:rFonts w:ascii="Arial" w:hAnsi="Arial" w:cs="Arial"/>
                <w:b/>
                <w:bCs/>
                <w:sz w:val="16"/>
                <w:szCs w:val="16"/>
              </w:rPr>
              <w:lastRenderedPageBreak/>
              <w:t>ACHADO</w:t>
            </w:r>
          </w:p>
        </w:tc>
        <w:tc>
          <w:tcPr>
            <w:tcW w:w="752" w:type="pct"/>
            <w:vAlign w:val="center"/>
          </w:tcPr>
          <w:p w14:paraId="4A178817" w14:textId="77777777" w:rsidR="00655036" w:rsidRPr="00636B72" w:rsidRDefault="00655036" w:rsidP="003A6734">
            <w:pPr>
              <w:autoSpaceDE w:val="0"/>
              <w:autoSpaceDN w:val="0"/>
              <w:adjustRightInd w:val="0"/>
              <w:spacing w:before="40" w:after="60"/>
              <w:jc w:val="center"/>
              <w:rPr>
                <w:rFonts w:ascii="Arial" w:hAnsi="Arial" w:cs="Arial"/>
                <w:b/>
                <w:bCs/>
                <w:sz w:val="16"/>
                <w:szCs w:val="16"/>
              </w:rPr>
            </w:pPr>
            <w:r>
              <w:rPr>
                <w:rFonts w:ascii="Arial" w:hAnsi="Arial" w:cs="Arial"/>
                <w:b/>
                <w:bCs/>
                <w:sz w:val="16"/>
                <w:szCs w:val="16"/>
              </w:rPr>
              <w:t>CRITÉRIO</w:t>
            </w:r>
          </w:p>
        </w:tc>
        <w:tc>
          <w:tcPr>
            <w:tcW w:w="752" w:type="pct"/>
            <w:vAlign w:val="center"/>
          </w:tcPr>
          <w:p w14:paraId="03CCCA01" w14:textId="77777777" w:rsidR="00655036" w:rsidRPr="00636B72" w:rsidRDefault="00655036" w:rsidP="003A6734">
            <w:pPr>
              <w:spacing w:before="40" w:after="60"/>
              <w:jc w:val="center"/>
              <w:rPr>
                <w:rFonts w:ascii="Arial" w:hAnsi="Arial" w:cs="Arial"/>
                <w:b/>
                <w:bCs/>
                <w:sz w:val="16"/>
                <w:szCs w:val="16"/>
              </w:rPr>
            </w:pPr>
            <w:r>
              <w:rPr>
                <w:rFonts w:ascii="Arial" w:hAnsi="Arial" w:cs="Arial"/>
                <w:b/>
                <w:bCs/>
                <w:sz w:val="16"/>
                <w:szCs w:val="16"/>
              </w:rPr>
              <w:t>EVIDÊNCIA</w:t>
            </w:r>
          </w:p>
        </w:tc>
        <w:tc>
          <w:tcPr>
            <w:tcW w:w="790" w:type="pct"/>
            <w:vAlign w:val="center"/>
          </w:tcPr>
          <w:p w14:paraId="626E2E33" w14:textId="77777777" w:rsidR="00655036" w:rsidRPr="00636B72" w:rsidRDefault="00655036" w:rsidP="003A6734">
            <w:pPr>
              <w:spacing w:before="40" w:after="60"/>
              <w:jc w:val="center"/>
              <w:rPr>
                <w:rFonts w:ascii="Arial" w:hAnsi="Arial" w:cs="Arial"/>
                <w:b/>
                <w:bCs/>
                <w:strike/>
                <w:sz w:val="16"/>
                <w:szCs w:val="16"/>
              </w:rPr>
            </w:pPr>
            <w:r>
              <w:rPr>
                <w:rFonts w:ascii="Arial" w:hAnsi="Arial" w:cs="Arial"/>
                <w:b/>
                <w:bCs/>
                <w:sz w:val="16"/>
                <w:szCs w:val="16"/>
              </w:rPr>
              <w:t>CAUSA</w:t>
            </w:r>
          </w:p>
        </w:tc>
        <w:tc>
          <w:tcPr>
            <w:tcW w:w="711" w:type="pct"/>
            <w:vAlign w:val="center"/>
          </w:tcPr>
          <w:p w14:paraId="37EF5051" w14:textId="77777777" w:rsidR="00655036" w:rsidRPr="00636B72" w:rsidRDefault="00655036" w:rsidP="003A6734">
            <w:pPr>
              <w:spacing w:before="40" w:after="60"/>
              <w:jc w:val="center"/>
              <w:rPr>
                <w:rFonts w:ascii="Arial" w:hAnsi="Arial" w:cs="Arial"/>
                <w:b/>
                <w:bCs/>
                <w:sz w:val="16"/>
                <w:szCs w:val="16"/>
              </w:rPr>
            </w:pPr>
            <w:r>
              <w:rPr>
                <w:rFonts w:ascii="Arial" w:hAnsi="Arial" w:cs="Arial"/>
                <w:b/>
                <w:bCs/>
                <w:sz w:val="16"/>
                <w:szCs w:val="16"/>
              </w:rPr>
              <w:t>EFEITO</w:t>
            </w:r>
          </w:p>
        </w:tc>
        <w:tc>
          <w:tcPr>
            <w:tcW w:w="1521" w:type="pct"/>
            <w:vAlign w:val="center"/>
          </w:tcPr>
          <w:p w14:paraId="72E8FB94" w14:textId="77777777" w:rsidR="00655036" w:rsidRPr="00636B72" w:rsidRDefault="00655036" w:rsidP="003A6734">
            <w:pPr>
              <w:spacing w:before="40" w:after="60"/>
              <w:jc w:val="center"/>
              <w:rPr>
                <w:rFonts w:ascii="Arial" w:hAnsi="Arial" w:cs="Arial"/>
                <w:b/>
                <w:bCs/>
                <w:sz w:val="16"/>
                <w:szCs w:val="16"/>
              </w:rPr>
            </w:pPr>
            <w:r>
              <w:rPr>
                <w:rFonts w:ascii="Arial" w:hAnsi="Arial" w:cs="Arial"/>
                <w:b/>
                <w:bCs/>
                <w:sz w:val="16"/>
                <w:szCs w:val="16"/>
              </w:rPr>
              <w:t>ENCAMINHAMENTO</w:t>
            </w:r>
          </w:p>
        </w:tc>
      </w:tr>
      <w:tr w:rsidR="003B5A03" w:rsidRPr="00636B72" w14:paraId="09514458" w14:textId="77777777" w:rsidTr="003A6734">
        <w:trPr>
          <w:trHeight w:val="300"/>
        </w:trPr>
        <w:tc>
          <w:tcPr>
            <w:tcW w:w="473" w:type="pct"/>
          </w:tcPr>
          <w:p>
            <w:pPr>
              <w:spacing w:after="60"/>
              <w:jc w:val="both"/>
              <w:rPr>
                <w:rFonts w:ascii="Arial" w:hAnsi="Arial" w:cs="Arial"/>
                <w:b/>
                <w:bCs/>
                <w:sz w:val="18"/>
                <w:szCs w:val="18"/>
              </w:rPr>
            </w:pPr>
            <w:r>
              <w:rPr>
                <w:rFonts w:ascii="Arial" w:hAnsi="Arial" w:cs="Arial"/>
                <w:b/>
                <w:bCs/>
                <w:sz w:val="18"/>
                <w:szCs w:val="18"/>
              </w:rPr>
              <w:t>ACHADO 06</w:t>
            </w:r>
          </w:p>
          <w:p>
            <w:pPr>
              <w:spacing w:after="60"/>
              <w:jc w:val="both"/>
              <w:rPr>
                <w:rFonts w:ascii="Arial" w:hAnsi="Arial" w:cs="Arial"/>
                <w:b/>
                <w:bCs/>
                <w:sz w:val="18"/>
                <w:szCs w:val="18"/>
              </w:rPr>
            </w:pPr>
          </w:p>
          <w:p>
            <w:pPr>
              <w:spacing w:after="60"/>
              <w:jc w:val="both"/>
              <w:rPr>
                <w:rFonts w:ascii="Arial" w:hAnsi="Arial" w:cs="Arial"/>
                <w:b/>
                <w:bCs/>
                <w:sz w:val="18"/>
                <w:szCs w:val="18"/>
              </w:rPr>
            </w:pPr>
            <w:r>
              <w:rPr>
                <w:rFonts w:ascii="Arial" w:hAnsi="Arial" w:cs="Arial"/>
                <w:sz w:val="18"/>
                <w:szCs w:val="18"/>
              </w:rPr>
              <w:t>Fragilidades na governança técnica da fase preparatória das contratações de TIC</w:t>
            </w:r>
          </w:p>
        </w:tc>
        <w:tc>
          <w:tcPr>
            <w:tcW w:w="752" w:type="pct"/>
          </w:tcPr>
          <w:p>
            <w:pPr>
              <w:jc w:val="both"/>
              <w:rPr>
                <w:rFonts w:ascii="Arial" w:hAnsi="Arial" w:cs="Arial"/>
                <w:sz w:val="18"/>
                <w:szCs w:val="18"/>
                <w:vertAlign w:val="superscript"/>
              </w:rPr>
            </w:pPr>
            <w:r>
              <w:rPr>
                <w:rFonts w:ascii="Arial" w:hAnsi="Arial" w:cs="Arial"/>
                <w:b/>
                <w:sz w:val="18"/>
                <w:szCs w:val="18"/>
              </w:rPr>
              <w:t>Art. 11, parágrafo único, da Lei 14.133/2021:</w:t>
            </w:r>
            <w:r>
              <w:rPr>
                <w:rFonts w:ascii="Arial" w:hAnsi="Arial" w:cs="Arial"/>
                <w:sz w:val="18"/>
                <w:szCs w:val="18"/>
              </w:rPr>
              <w:t xml:space="preserve"> responsabilidade da alta administração pela governança das contratações, com processos, estruturas, gestão de riscos e controles internos.</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Art. 19, inciso IV, da Lei 14.133/2021:</w:t>
            </w:r>
            <w:r>
              <w:rPr>
                <w:rFonts w:ascii="Arial" w:hAnsi="Arial" w:cs="Arial"/>
                <w:sz w:val="18"/>
                <w:szCs w:val="18"/>
              </w:rPr>
              <w:t xml:space="preserve"> instituição de modelos de minutas de editais, termos de referência, contratos padronizados e demais documentos.</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COBIT 2019, APO01.09 - Definir e comunicar políticas e procedimentos:</w:t>
            </w:r>
            <w:r>
              <w:rPr>
                <w:rFonts w:ascii="Arial" w:hAnsi="Arial" w:cs="Arial"/>
                <w:sz w:val="18"/>
                <w:szCs w:val="18"/>
              </w:rPr>
              <w:t xml:space="preserve"> manter políticas, procedimentos e orientações para direcionar processos de gestão de TIC.</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COBIT 2019, BAI02.04 - Obter aprovação dos requisitos da solução:</w:t>
            </w:r>
            <w:r>
              <w:rPr>
                <w:rFonts w:ascii="Arial" w:hAnsi="Arial" w:cs="Arial"/>
                <w:sz w:val="18"/>
                <w:szCs w:val="18"/>
              </w:rPr>
              <w:t xml:space="preserve"> obter aprovação formal dos requisitos funcionais, técnicos, de segurança e de conformidade antes de prosseguir com a solução.</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COBIT 2019, APO01.05 - Estabelecer papéis e responsabilidades:</w:t>
            </w:r>
            <w:r>
              <w:rPr>
                <w:rFonts w:ascii="Arial" w:hAnsi="Arial" w:cs="Arial"/>
                <w:sz w:val="18"/>
                <w:szCs w:val="18"/>
              </w:rPr>
              <w:t xml:space="preserve"> definir e comunicar papéis e responsabilidades relacionados à informação e à tecnologia.</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Instrução Normativa SGD/ME nº 94, de 23 de dezembro de 2022, art. 1º, § 1º:</w:t>
            </w:r>
            <w:r>
              <w:rPr>
                <w:rFonts w:ascii="Arial" w:hAnsi="Arial" w:cs="Arial"/>
                <w:sz w:val="18"/>
                <w:szCs w:val="18"/>
              </w:rPr>
              <w:t xml:space="preserve"> como referência de boa prática, a aplicação de ritos formais de contratação de TIC pode ser facultada para contratações diretas por dispensa em razão do valor (inciso II do art. 75 da Lei nº 14.133/2021), indicando a possibilidade de fluxos simplificados para aquisições de baixa complexidade ou valor.</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Art. 18, caput e §1º, incisos I, IV, V, VIII, IX, X e XIII, da Lei 14.133/2021:</w:t>
            </w:r>
            <w:r>
              <w:rPr>
                <w:rFonts w:ascii="Arial" w:hAnsi="Arial" w:cs="Arial"/>
                <w:sz w:val="18"/>
                <w:szCs w:val="18"/>
              </w:rPr>
              <w:t xml:space="preserve"> fase preparatória caracterizada pelo planejamento, compatibilização com o plano de contratações anual e elementos mínimos do estudo técnico preliminar.</w:t>
            </w:r>
          </w:p>
          <w:p>
            <w:pPr>
              <w:jc w:val="both"/>
              <w:rPr>
                <w:rFonts w:ascii="Arial" w:hAnsi="Arial" w:cs="Arial"/>
                <w:sz w:val="18"/>
                <w:szCs w:val="18"/>
                <w:vertAlign w:val="superscript"/>
              </w:rPr>
            </w:pPr>
          </w:p>
          <w:p>
            <w:pPr>
              <w:jc w:val="both"/>
              <w:rPr>
                <w:rFonts w:ascii="Arial" w:hAnsi="Arial" w:cs="Arial"/>
                <w:sz w:val="18"/>
                <w:szCs w:val="18"/>
                <w:vertAlign w:val="superscript"/>
              </w:rPr>
            </w:pPr>
            <w:r>
              <w:rPr>
                <w:rFonts w:ascii="Arial" w:hAnsi="Arial" w:cs="Arial"/>
                <w:b/>
                <w:sz w:val="18"/>
                <w:szCs w:val="18"/>
              </w:rPr>
              <w:t>Art. 7º, caput, incisos I a III e §1º, da Lei 14.133/2021:</w:t>
            </w:r>
            <w:r>
              <w:rPr>
                <w:rFonts w:ascii="Arial" w:hAnsi="Arial" w:cs="Arial"/>
                <w:sz w:val="18"/>
                <w:szCs w:val="18"/>
              </w:rPr>
              <w:t xml:space="preserve"> designação de agentes públicos para funções essenciais, observados atribuições, formação, segregação de funções e inexistência de vínculos que comprometam a atuação.</w:t>
            </w:r>
          </w:p>
        </w:tc>
        <w:tc>
          <w:tcPr>
            <w:tcW w:w="752" w:type="pct"/>
          </w:tcPr>
          <w:p>
            <w:pPr>
              <w:spacing w:after="60"/>
              <w:jc w:val="both"/>
              <w:rPr>
                <w:rFonts w:ascii="Arial" w:hAnsi="Arial" w:cs="Arial"/>
                <w:sz w:val="18"/>
                <w:szCs w:val="18"/>
              </w:rPr>
            </w:pPr>
            <w:r>
              <w:rPr>
                <w:rFonts w:ascii="Arial" w:hAnsi="Arial" w:cs="Arial"/>
                <w:b/>
                <w:bCs/>
                <w:sz w:val="18"/>
                <w:szCs w:val="18"/>
              </w:rPr>
              <w:t>Respostas ao Questionário iGovTI 2026</w:t>
            </w:r>
            <w:r>
              <w:rPr>
                <w:rFonts w:ascii="Arial" w:hAnsi="Arial" w:cs="Arial"/>
                <w:sz w:val="18"/>
                <w:szCs w:val="18"/>
              </w:rPr>
              <w:t xml:space="preserve"> - Situações caracterizadas pelas respostas declaradas às questões indicadas:</w:t>
            </w:r>
          </w:p>
          <w:p>
            <w:pPr>
              <w:spacing w:after="60"/>
              <w:jc w:val="both"/>
              <w:rPr>
                <w:rFonts w:ascii="Arial" w:hAnsi="Arial" w:cs="Arial"/>
                <w:sz w:val="18"/>
                <w:szCs w:val="18"/>
              </w:rPr>
            </w:pPr>
            <w:r>
              <w:rPr>
                <w:rFonts w:ascii="Arial" w:hAnsi="Arial" w:cs="Arial"/>
                <w:b/>
                <w:sz w:val="18"/>
                <w:szCs w:val="18"/>
              </w:rPr>
              <w:t xml:space="preserve">a) S6.1 - Inexistência ou fragilidade de processo formal e padronizado para contratações de TIC.: </w:t>
            </w:r>
            <w:r>
              <w:rPr>
                <w:rFonts w:ascii="Arial" w:hAnsi="Arial" w:cs="Arial"/>
                <w:sz w:val="18"/>
                <w:szCs w:val="18"/>
              </w:rPr>
              <w:t>resposta "Não" ou "N/A" em q2801ext[A], q2801ext[C], q2801ext[D], q2801ext[E] e q2801ext[G]; resposta "Não conforme" em q2801ext[A], q2801ext[C], q2801ext[D], q2801ext[E] e q2801ext[G], observada a composição lógica definida na Matriz de Procedimentos de Auditoria.</w:t>
            </w:r>
          </w:p>
          <w:p>
            <w:pPr>
              <w:spacing w:after="60"/>
              <w:jc w:val="both"/>
              <w:rPr>
                <w:rFonts w:ascii="Arial" w:hAnsi="Arial" w:cs="Arial"/>
                <w:sz w:val="18"/>
                <w:szCs w:val="18"/>
              </w:rPr>
            </w:pPr>
            <w:r>
              <w:rPr>
                <w:rFonts w:ascii="Arial" w:hAnsi="Arial" w:cs="Arial"/>
                <w:b/>
                <w:sz w:val="18"/>
                <w:szCs w:val="18"/>
              </w:rPr>
              <w:t xml:space="preserve">b) S6.2 - Contratações de TIC sem análise prévia e aprovação técnica obrigatória da área de TIC.: </w:t>
            </w:r>
            <w:r>
              <w:rPr>
                <w:rFonts w:ascii="Arial" w:hAnsi="Arial" w:cs="Arial"/>
                <w:sz w:val="18"/>
                <w:szCs w:val="18"/>
              </w:rPr>
              <w:t>resposta "Não" em q2804[A]; resposta "Não conforme" em q2804[A], observada a composição lógica definida na Matriz de Procedimentos de Auditoria.</w:t>
            </w:r>
          </w:p>
          <w:p>
            <w:pPr>
              <w:spacing w:after="60"/>
              <w:jc w:val="both"/>
              <w:rPr>
                <w:rFonts w:ascii="Arial" w:hAnsi="Arial" w:cs="Arial"/>
                <w:sz w:val="18"/>
                <w:szCs w:val="18"/>
              </w:rPr>
            </w:pPr>
            <w:r>
              <w:rPr>
                <w:rFonts w:ascii="Arial" w:hAnsi="Arial" w:cs="Arial"/>
                <w:b/>
                <w:sz w:val="18"/>
                <w:szCs w:val="18"/>
              </w:rPr>
              <w:t xml:space="preserve">c) S6.3 - Contratações de TIC sem alinhamento demonstrado ao planejamento de TIC, ao plano de contratações ou à proposta orçamentária.: </w:t>
            </w:r>
            <w:r>
              <w:rPr>
                <w:rFonts w:ascii="Arial" w:hAnsi="Arial" w:cs="Arial"/>
                <w:sz w:val="18"/>
                <w:szCs w:val="18"/>
              </w:rPr>
              <w:t>resposta "Não" ou "N/A" em q2102ext[C], q2802ext[C] e q2802ext[D]; resposta "Não conforme" em q2102ext[C], q2802ext[C] e q2802ext[D]; resposta "Não" em q2804[B], observada a composição lógica definida na Matriz de Procedimentos de Auditoria.</w:t>
            </w:r>
          </w:p>
          <w:p>
            <w:pPr>
              <w:spacing w:after="60"/>
              <w:jc w:val="both"/>
              <w:rPr>
                <w:rFonts w:ascii="Arial" w:hAnsi="Arial" w:cs="Arial"/>
                <w:sz w:val="18"/>
                <w:szCs w:val="18"/>
              </w:rPr>
            </w:pPr>
            <w:r>
              <w:rPr>
                <w:rFonts w:ascii="Arial" w:hAnsi="Arial" w:cs="Arial"/>
                <w:b/>
                <w:sz w:val="18"/>
                <w:szCs w:val="18"/>
              </w:rPr>
              <w:t xml:space="preserve">d) S6.4 - Contratações de TIC sem equipe de planejamento formalmente designada e com participação técnica de TIC.: </w:t>
            </w:r>
            <w:r>
              <w:rPr>
                <w:rFonts w:ascii="Arial" w:hAnsi="Arial" w:cs="Arial"/>
                <w:sz w:val="18"/>
                <w:szCs w:val="18"/>
              </w:rPr>
              <w:t>resposta "Não" em q2804[C], observada a composição lógica definida na Matriz de Procedimentos de Auditoria.</w:t>
            </w:r>
          </w:p>
        </w:tc>
        <w:tc>
          <w:tcPr>
            <w:tcW w:w="790" w:type="pct"/>
          </w:tcPr>
          <w:p>
            <w:pPr>
              <w:jc w:val="both"/>
              <w:rPr>
                <w:rFonts w:ascii="Arial" w:hAnsi="Arial" w:cs="Arial"/>
                <w:sz w:val="18"/>
                <w:szCs w:val="18"/>
              </w:rPr>
            </w:pPr>
            <w:r>
              <w:rPr>
                <w:rFonts w:ascii="Arial" w:hAnsi="Arial" w:cs="Arial"/>
                <w:b/>
                <w:bCs/>
                <w:sz w:val="18"/>
                <w:szCs w:val="18"/>
              </w:rPr>
              <w:t>Não investigada.</w:t>
            </w:r>
          </w:p>
        </w:tc>
        <w:tc>
          <w:tcPr>
            <w:tcW w:w="711" w:type="pct"/>
          </w:tcPr>
          <w:p>
            <w:pPr>
              <w:spacing w:after="60"/>
              <w:jc w:val="both"/>
              <w:rPr>
                <w:rFonts w:ascii="Arial" w:hAnsi="Arial" w:cs="Arial"/>
                <w:sz w:val="18"/>
                <w:szCs w:val="18"/>
              </w:rPr>
            </w:pPr>
            <w:r>
              <w:rPr>
                <w:rFonts w:ascii="Arial" w:hAnsi="Arial" w:cs="Arial"/>
                <w:b/>
                <w:bCs/>
                <w:sz w:val="18"/>
                <w:szCs w:val="18"/>
              </w:rPr>
              <w:t>Instrução processual frágil:</w:t>
            </w:r>
            <w:r>
              <w:rPr>
                <w:rFonts w:ascii="Arial" w:hAnsi="Arial" w:cs="Arial"/>
                <w:sz w:val="18"/>
                <w:szCs w:val="18"/>
              </w:rPr>
              <w:t xml:space="preserve"> Falta de clareza sobre etapas, responsabilidades, instâncias decisórias, modelos e critérios de aprovação das contratações de TIC.</w:t>
            </w:r>
          </w:p>
          <w:p>
            <w:pPr>
              <w:spacing w:after="60"/>
              <w:jc w:val="both"/>
              <w:rPr>
                <w:rFonts w:ascii="Arial" w:hAnsi="Arial" w:cs="Arial"/>
                <w:sz w:val="18"/>
                <w:szCs w:val="18"/>
              </w:rPr>
            </w:pPr>
          </w:p>
          <w:p>
            <w:pPr>
              <w:spacing w:after="60"/>
              <w:jc w:val="both"/>
              <w:rPr>
                <w:rFonts w:ascii="Arial" w:hAnsi="Arial" w:cs="Arial"/>
                <w:sz w:val="18"/>
                <w:szCs w:val="18"/>
              </w:rPr>
            </w:pPr>
            <w:r>
              <w:rPr>
                <w:rFonts w:ascii="Arial" w:hAnsi="Arial" w:cs="Arial"/>
                <w:b/>
                <w:bCs/>
                <w:sz w:val="18"/>
                <w:szCs w:val="18"/>
              </w:rPr>
              <w:t>Soluções incompatíveis:</w:t>
            </w:r>
            <w:r>
              <w:rPr>
                <w:rFonts w:ascii="Arial" w:hAnsi="Arial" w:cs="Arial"/>
                <w:sz w:val="18"/>
                <w:szCs w:val="18"/>
              </w:rPr>
              <w:t xml:space="preserve"> Contratação de soluções desalinhadas aos padrões tecnológicos, aos requisitos institucionais ou às prioridades aprovadas.</w:t>
            </w:r>
          </w:p>
          <w:p>
            <w:pPr>
              <w:spacing w:after="60"/>
              <w:jc w:val="both"/>
              <w:rPr>
                <w:rFonts w:ascii="Arial" w:hAnsi="Arial" w:cs="Arial"/>
                <w:sz w:val="18"/>
                <w:szCs w:val="18"/>
              </w:rPr>
            </w:pPr>
          </w:p>
          <w:p>
            <w:pPr>
              <w:spacing w:after="60"/>
              <w:jc w:val="both"/>
              <w:rPr>
                <w:rFonts w:ascii="Arial" w:hAnsi="Arial" w:cs="Arial"/>
                <w:sz w:val="18"/>
                <w:szCs w:val="18"/>
              </w:rPr>
            </w:pPr>
            <w:r>
              <w:rPr>
                <w:rFonts w:ascii="Arial" w:hAnsi="Arial" w:cs="Arial"/>
                <w:b/>
                <w:bCs/>
                <w:sz w:val="18"/>
                <w:szCs w:val="18"/>
              </w:rPr>
              <w:t>Participação técnica insuficiente:</w:t>
            </w:r>
            <w:r>
              <w:rPr>
                <w:rFonts w:ascii="Arial" w:hAnsi="Arial" w:cs="Arial"/>
                <w:sz w:val="18"/>
                <w:szCs w:val="18"/>
              </w:rPr>
              <w:t xml:space="preserve"> Planejamento da contratação sem equipe formalmente designada ou sem participação técnica da área de TIC.</w:t>
            </w:r>
          </w:p>
        </w:tc>
        <w:tc>
          <w:tcPr>
            <w:tcW w:w="1521" w:type="pct"/>
          </w:tcPr>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formalize e padronize o processo de contratação de TIC, compatível com o porte, a complexidade e os riscos das contratações da organização, atentando-se, minimamente, em definir fluxo, etapas, papéis, responsabilidades, instâncias de aprovação e modelos de artefatos, manuais, listas de verificação ou orientações internas aplicáveis [S6.1].</w:t>
            </w:r>
          </w:p>
          <w:p>
            <w:pPr>
              <w:jc w:val="both"/>
              <w:rPr>
                <w:rFonts w:ascii="Arial" w:hAnsi="Arial" w:cs="Arial"/>
                <w:sz w:val="18"/>
                <w:szCs w:val="18"/>
              </w:rPr>
            </w:pPr>
          </w:p>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estabeleça a submissão das contratações de TIC à análise prévia da área de TIC, inclusive quando demandadas por outras áreas, de modo a verificar a compatibilidade da solução com os padrões tecnológicos, os requisitos institucionais e a arquitetura existente, admitindo fluxos simplificados para contratações de baixa complexidade ou baixo valor, desde que preservada análise técnica mínima compatível com o risco da contratação [S6.2].</w:t>
            </w:r>
          </w:p>
          <w:p>
            <w:pPr>
              <w:jc w:val="both"/>
              <w:rPr>
                <w:rFonts w:ascii="Arial" w:hAnsi="Arial" w:cs="Arial"/>
                <w:sz w:val="18"/>
                <w:szCs w:val="18"/>
              </w:rPr>
            </w:pPr>
          </w:p>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integre as contratações de TIC ao planejamento de TIC, ao plano de contratações e à proposta orçamentária, atentando-se, minimamente, em registrar a necessidade atendida, a prioridade, a disponibilidade de recursos e a justificativa das situações excepcionais [S6.3].</w:t>
            </w:r>
          </w:p>
          <w:p>
            <w:pPr>
              <w:jc w:val="both"/>
              <w:rPr>
                <w:rFonts w:ascii="Arial" w:hAnsi="Arial" w:cs="Arial"/>
                <w:sz w:val="18"/>
                <w:szCs w:val="18"/>
              </w:rPr>
            </w:pPr>
          </w:p>
          <w:p>
            <w:pPr>
              <w:jc w:val="both"/>
              <w:rPr>
                <w:rFonts w:ascii="Arial" w:hAnsi="Arial" w:cs="Arial"/>
                <w:sz w:val="18"/>
                <w:szCs w:val="18"/>
              </w:rPr>
            </w:pPr>
            <w:r>
              <w:rPr>
                <w:rFonts w:ascii="Arial" w:hAnsi="Arial" w:cs="Arial"/>
                <w:b/>
                <w:bCs/>
                <w:sz w:val="18"/>
                <w:szCs w:val="18"/>
                <w:u w:val="single"/>
              </w:rPr>
              <w:t>Comunicação com Recomendação</w:t>
            </w:r>
            <w:r>
              <w:rPr>
                <w:rFonts w:ascii="Arial" w:hAnsi="Arial" w:cs="Arial"/>
                <w:sz w:val="18"/>
                <w:szCs w:val="18"/>
              </w:rPr>
              <w:t xml:space="preserve"> para que designe formalmente equipe responsável pelo planejamento das contratações de TIC, atentando-se, minimamente, em assegurar a participação da área requisitante, da área técnica de TIC e das demais áreas necessárias, com definição das responsabilidades de seus integrantes [S6.4].</w:t>
            </w:r>
          </w:p>
        </w:tc>
      </w:tr>
    </w:tbl>
    <w:p/>
    <w:sectPr w:rsidR="00557E4D" w:rsidSect="00E0568D">
      <w:headerReference w:type="default" r:id="rId11"/>
      <w:pgSz w:w="23808" w:h="16840" w:orient="landscape" w:code="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97161" w14:textId="77777777" w:rsidR="00581C72" w:rsidRDefault="00581C72" w:rsidP="00E1739A">
      <w:r>
        <w:separator/>
      </w:r>
    </w:p>
  </w:endnote>
  <w:endnote w:type="continuationSeparator" w:id="0">
    <w:p w14:paraId="4E7B25AA" w14:textId="77777777" w:rsidR="00581C72" w:rsidRDefault="00581C72" w:rsidP="00E1739A">
      <w:r>
        <w:continuationSeparator/>
      </w:r>
    </w:p>
  </w:endnote>
  <w:endnote w:type="continuationNotice" w:id="1">
    <w:p w14:paraId="4F3D1268" w14:textId="77777777" w:rsidR="00581C72" w:rsidRDefault="00581C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Arial MT">
    <w:altName w:val="Arial"/>
    <w:charset w:val="01"/>
    <w:family w:val="swiss"/>
    <w:pitch w:val="variable"/>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476ED" w14:textId="77777777" w:rsidR="00581C72" w:rsidRDefault="00581C72" w:rsidP="00E1739A">
      <w:r>
        <w:separator/>
      </w:r>
    </w:p>
  </w:footnote>
  <w:footnote w:type="continuationSeparator" w:id="0">
    <w:p w14:paraId="089C0B73" w14:textId="77777777" w:rsidR="00581C72" w:rsidRDefault="00581C72" w:rsidP="00E1739A">
      <w:r>
        <w:continuationSeparator/>
      </w:r>
    </w:p>
  </w:footnote>
  <w:footnote w:type="continuationNotice" w:id="1">
    <w:p w14:paraId="135316EF" w14:textId="77777777" w:rsidR="00581C72" w:rsidRDefault="00581C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22397" w:type="dxa"/>
      <w:tblLook w:val="04A0" w:firstRow="1" w:lastRow="0" w:firstColumn="1" w:lastColumn="0" w:noHBand="0" w:noVBand="1"/>
    </w:tblPr>
    <w:tblGrid>
      <w:gridCol w:w="1838"/>
      <w:gridCol w:w="7093"/>
      <w:gridCol w:w="13466"/>
    </w:tblGrid>
    <w:tr w:rsidR="009036F0" w14:paraId="271DB252" w14:textId="77777777" w:rsidTr="00164EE8">
      <w:tc>
        <w:tcPr>
          <w:tcW w:w="1838" w:type="dxa"/>
        </w:tcPr>
        <w:p w14:paraId="29BBC290" w14:textId="77777777" w:rsidR="009036F0" w:rsidRDefault="009036F0" w:rsidP="009036F0">
          <w:pPr>
            <w:pStyle w:val="Ttulo"/>
            <w:spacing w:before="0"/>
            <w:ind w:left="0"/>
          </w:pPr>
          <w:r>
            <w:rPr>
              <w:noProof/>
            </w:rPr>
            <w:drawing>
              <wp:anchor distT="0" distB="0" distL="114300" distR="114300" simplePos="0" relativeHeight="251658240" behindDoc="0" locked="0" layoutInCell="1" allowOverlap="1" wp14:anchorId="25D10DD4" wp14:editId="600C4C9D">
                <wp:simplePos x="0" y="0"/>
                <wp:positionH relativeFrom="column">
                  <wp:posOffset>181637</wp:posOffset>
                </wp:positionH>
                <wp:positionV relativeFrom="paragraph">
                  <wp:posOffset>4815</wp:posOffset>
                </wp:positionV>
                <wp:extent cx="903478" cy="381468"/>
                <wp:effectExtent l="0" t="0" r="0" b="0"/>
                <wp:wrapNone/>
                <wp:docPr id="954985232" name="Picture 95498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horizontal-colorida-para_fundo_branco.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30644" cy="392938"/>
                        </a:xfrm>
                        <a:prstGeom prst="rect">
                          <a:avLst/>
                        </a:prstGeom>
                      </pic:spPr>
                    </pic:pic>
                  </a:graphicData>
                </a:graphic>
                <wp14:sizeRelH relativeFrom="page">
                  <wp14:pctWidth>0</wp14:pctWidth>
                </wp14:sizeRelH>
                <wp14:sizeRelV relativeFrom="page">
                  <wp14:pctHeight>0</wp14:pctHeight>
                </wp14:sizeRelV>
              </wp:anchor>
            </w:drawing>
          </w:r>
        </w:p>
      </w:tc>
      <w:tc>
        <w:tcPr>
          <w:tcW w:w="7093" w:type="dxa"/>
        </w:tcPr>
        <w:p w14:paraId="2323D007" w14:textId="77777777" w:rsidR="009036F0" w:rsidRPr="003C6BC3" w:rsidRDefault="009036F0" w:rsidP="003C6BC3">
          <w:pPr>
            <w:pStyle w:val="Cabealho"/>
            <w:rPr>
              <w:rFonts w:ascii="Arial" w:hAnsi="Arial" w:cs="Arial"/>
              <w:sz w:val="16"/>
              <w:szCs w:val="16"/>
            </w:rPr>
          </w:pPr>
          <w:r w:rsidRPr="003C6BC3">
            <w:rPr>
              <w:rFonts w:ascii="Arial" w:hAnsi="Arial" w:cs="Arial"/>
              <w:sz w:val="16"/>
              <w:szCs w:val="16"/>
            </w:rPr>
            <w:t>SECRETARIA-GERAL</w:t>
          </w:r>
          <w:r w:rsidRPr="003C6BC3">
            <w:rPr>
              <w:rFonts w:ascii="Arial" w:hAnsi="Arial" w:cs="Arial"/>
              <w:spacing w:val="-2"/>
              <w:sz w:val="16"/>
              <w:szCs w:val="16"/>
            </w:rPr>
            <w:t xml:space="preserve"> </w:t>
          </w:r>
          <w:r w:rsidRPr="003C6BC3">
            <w:rPr>
              <w:rFonts w:ascii="Arial" w:hAnsi="Arial" w:cs="Arial"/>
              <w:sz w:val="16"/>
              <w:szCs w:val="16"/>
            </w:rPr>
            <w:t>DE</w:t>
          </w:r>
          <w:r w:rsidRPr="003C6BC3">
            <w:rPr>
              <w:rFonts w:ascii="Arial" w:hAnsi="Arial" w:cs="Arial"/>
              <w:spacing w:val="-1"/>
              <w:sz w:val="16"/>
              <w:szCs w:val="16"/>
            </w:rPr>
            <w:t xml:space="preserve"> </w:t>
          </w:r>
          <w:r w:rsidRPr="003C6BC3">
            <w:rPr>
              <w:rFonts w:ascii="Arial" w:hAnsi="Arial" w:cs="Arial"/>
              <w:sz w:val="16"/>
              <w:szCs w:val="16"/>
            </w:rPr>
            <w:t>CONTROLE</w:t>
          </w:r>
          <w:r w:rsidRPr="003C6BC3">
            <w:rPr>
              <w:rFonts w:ascii="Arial" w:hAnsi="Arial" w:cs="Arial"/>
              <w:spacing w:val="-1"/>
              <w:sz w:val="16"/>
              <w:szCs w:val="16"/>
            </w:rPr>
            <w:t xml:space="preserve"> </w:t>
          </w:r>
          <w:r w:rsidRPr="003C6BC3">
            <w:rPr>
              <w:rFonts w:ascii="Arial" w:hAnsi="Arial" w:cs="Arial"/>
              <w:sz w:val="16"/>
              <w:szCs w:val="16"/>
            </w:rPr>
            <w:t>EXTERNO</w:t>
          </w:r>
        </w:p>
        <w:p w14:paraId="2FF05B7C" w14:textId="77777777" w:rsidR="009036F0" w:rsidRPr="003C6BC3" w:rsidRDefault="009036F0" w:rsidP="003C6BC3">
          <w:pPr>
            <w:pStyle w:val="Ttulo"/>
            <w:tabs>
              <w:tab w:val="left" w:pos="6105"/>
            </w:tabs>
            <w:spacing w:before="0"/>
            <w:ind w:left="0"/>
            <w:jc w:val="left"/>
            <w:rPr>
              <w:rFonts w:eastAsia="Arial MT"/>
              <w:b w:val="0"/>
              <w:bCs w:val="0"/>
              <w:sz w:val="16"/>
              <w:szCs w:val="16"/>
            </w:rPr>
          </w:pPr>
          <w:r w:rsidRPr="003C6BC3">
            <w:rPr>
              <w:rFonts w:eastAsia="Arial MT"/>
              <w:b w:val="0"/>
              <w:bCs w:val="0"/>
              <w:sz w:val="16"/>
              <w:szCs w:val="16"/>
            </w:rPr>
            <w:t>SUBSECRETARIA DE CONTROLE DE POLÍTICAS DE CIDADANIA</w:t>
          </w:r>
        </w:p>
        <w:p w14:paraId="32F26DB4" w14:textId="77777777" w:rsidR="009036F0" w:rsidRPr="003C6BC3" w:rsidRDefault="009036F0" w:rsidP="003C6BC3">
          <w:pPr>
            <w:pStyle w:val="Ttulo"/>
            <w:spacing w:before="0"/>
            <w:ind w:left="0"/>
            <w:jc w:val="left"/>
            <w:rPr>
              <w:sz w:val="16"/>
              <w:szCs w:val="16"/>
            </w:rPr>
          </w:pPr>
          <w:r w:rsidRPr="003C6BC3">
            <w:rPr>
              <w:rFonts w:eastAsia="Arial MT"/>
              <w:b w:val="0"/>
              <w:bCs w:val="0"/>
              <w:sz w:val="16"/>
              <w:szCs w:val="16"/>
            </w:rPr>
            <w:t>COORDENADORIA DE AUDITORIA DE POLÍTICAS EM TECNOLOGIA DA INFORMAÇÃO</w:t>
          </w:r>
        </w:p>
      </w:tc>
      <w:tc>
        <w:tcPr>
          <w:tcW w:w="13466" w:type="dxa"/>
        </w:tcPr>
        <w:p>
          <w:pPr>
            <w:tabs>
              <w:tab w:val="right" w:pos="14034"/>
            </w:tabs>
            <w:autoSpaceDE w:val="0"/>
            <w:autoSpaceDN w:val="0"/>
            <w:adjustRightInd w:val="0"/>
            <w:spacing w:after="120"/>
            <w:ind w:left="-386" w:firstLine="386"/>
            <w:rPr>
              <w:rFonts w:ascii="Arial" w:hAnsi="Arial" w:cs="Arial"/>
              <w:sz w:val="18"/>
              <w:szCs w:val="18"/>
            </w:rPr>
          </w:pPr>
          <w:r>
            <w:rPr>
              <w:rFonts w:ascii="Arial" w:hAnsi="Arial" w:cs="Arial"/>
              <w:b/>
              <w:bCs/>
              <w:sz w:val="18"/>
              <w:szCs w:val="18"/>
            </w:rPr>
            <w:t>FISCALIZAÇÃO</w:t>
          </w:r>
          <w:r>
            <w:rPr>
              <w:rFonts w:ascii="Arial" w:hAnsi="Arial" w:cs="Arial"/>
              <w:sz w:val="18"/>
              <w:szCs w:val="18"/>
            </w:rPr>
            <w:t>: 18/2026</w:t>
          </w:r>
        </w:p>
        <w:p>
          <w:pPr>
            <w:autoSpaceDE w:val="0"/>
            <w:autoSpaceDN w:val="0"/>
            <w:adjustRightInd w:val="0"/>
            <w:spacing w:after="120"/>
            <w:jc w:val="both"/>
            <w:rPr>
              <w:rFonts w:ascii="Arial" w:hAnsi="Arial" w:cs="Arial"/>
              <w:sz w:val="18"/>
              <w:szCs w:val="18"/>
            </w:rPr>
          </w:pPr>
          <w:r>
            <w:rPr>
              <w:rFonts w:ascii="Arial" w:hAnsi="Arial" w:cs="Arial"/>
              <w:b/>
              <w:bCs/>
              <w:sz w:val="18"/>
              <w:szCs w:val="18"/>
            </w:rPr>
            <w:t>JURISDICIONADOS</w:t>
          </w:r>
          <w:r>
            <w:rPr>
              <w:rFonts w:ascii="Arial" w:hAnsi="Arial" w:cs="Arial"/>
              <w:sz w:val="18"/>
              <w:szCs w:val="18"/>
            </w:rPr>
            <w:t>: 113 organizações públicas estaduais e municipais respondentes do iGovTI 2026.</w:t>
          </w:r>
        </w:p>
        <w:p>
          <w:pPr>
            <w:pStyle w:val="Corpodetexto"/>
            <w:spacing w:after="120"/>
            <w:rPr>
              <w:rFonts w:ascii="Arial" w:hAnsi="Arial" w:cs="Arial"/>
              <w:sz w:val="18"/>
              <w:szCs w:val="18"/>
            </w:rPr>
          </w:pPr>
          <w:r>
            <w:rPr>
              <w:rFonts w:ascii="Arial" w:hAnsi="Arial" w:cs="Arial"/>
              <w:b/>
              <w:bCs/>
              <w:sz w:val="18"/>
              <w:szCs w:val="18"/>
            </w:rPr>
            <w:t>OBJETIVO DA AUDITORIA</w:t>
          </w:r>
          <w:r>
            <w:rPr>
              <w:rFonts w:ascii="Arial" w:hAnsi="Arial" w:cs="Arial"/>
              <w:sz w:val="18"/>
              <w:szCs w:val="18"/>
            </w:rPr>
            <w:t>: Avaliar o grau de adoção das organizações públicas às boas práticas de governança e gestão de tecnologia da informação, mediante aplicação do iGovTI 2026.</w:t>
          </w:r>
        </w:p>
      </w:tc>
    </w:tr>
  </w:tbl>
  <w:p w14:paraId="394EC05E" w14:textId="77777777" w:rsidR="0041253F" w:rsidRPr="0041253F" w:rsidRDefault="0041253F" w:rsidP="00ED5C0C">
    <w:pPr>
      <w:jc w:val="center"/>
      <w:rPr>
        <w:bCs/>
        <w:sz w:val="12"/>
        <w:szCs w:val="12"/>
      </w:rPr>
    </w:pPr>
  </w:p>
  <w:p w14:paraId="1D36A20E" w14:textId="77777777" w:rsidR="000A68D2" w:rsidRPr="000A68D2" w:rsidRDefault="000A68D2" w:rsidP="009036F0">
    <w:pPr>
      <w:pStyle w:val="Cabealh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0F9D"/>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46E12"/>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43530"/>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47353"/>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24D5A"/>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913F8"/>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F121C"/>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A44B0"/>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6280D"/>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D0E1C"/>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D1196"/>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A6FC5"/>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21E74"/>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C6DEF"/>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4F68F6"/>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8C75C7"/>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0B1BC2"/>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32578"/>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B91488"/>
    <w:multiLevelType w:val="multilevel"/>
    <w:tmpl w:val="C3B0D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FD2E53"/>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9E24BF"/>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1D0C6B"/>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5B6020"/>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6724A2"/>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55605"/>
    <w:multiLevelType w:val="hybridMultilevel"/>
    <w:tmpl w:val="76C6E45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9484DD3"/>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A75E1C"/>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466097"/>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626535"/>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0033EC"/>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617B57"/>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F64E15"/>
    <w:multiLevelType w:val="multilevel"/>
    <w:tmpl w:val="73422692"/>
    <w:lvl w:ilvl="0">
      <w:start w:val="1"/>
      <w:numFmt w:val="decimal"/>
      <w:lvlText w:val="%1."/>
      <w:lvlJc w:val="left"/>
      <w:pPr>
        <w:tabs>
          <w:tab w:val="num" w:pos="720"/>
        </w:tabs>
        <w:ind w:left="284" w:hanging="284"/>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97865266">
    <w:abstractNumId w:val="16"/>
  </w:num>
  <w:num w:numId="2" w16cid:durableId="1834295709">
    <w:abstractNumId w:val="22"/>
  </w:num>
  <w:num w:numId="3" w16cid:durableId="1525055315">
    <w:abstractNumId w:val="31"/>
  </w:num>
  <w:num w:numId="4" w16cid:durableId="27876356">
    <w:abstractNumId w:val="29"/>
  </w:num>
  <w:num w:numId="5" w16cid:durableId="1467091359">
    <w:abstractNumId w:val="25"/>
  </w:num>
  <w:num w:numId="6" w16cid:durableId="1722054125">
    <w:abstractNumId w:val="10"/>
  </w:num>
  <w:num w:numId="7" w16cid:durableId="2071927349">
    <w:abstractNumId w:val="9"/>
  </w:num>
  <w:num w:numId="8" w16cid:durableId="130443872">
    <w:abstractNumId w:val="30"/>
  </w:num>
  <w:num w:numId="9" w16cid:durableId="494342606">
    <w:abstractNumId w:val="12"/>
  </w:num>
  <w:num w:numId="10" w16cid:durableId="327833772">
    <w:abstractNumId w:val="13"/>
  </w:num>
  <w:num w:numId="11" w16cid:durableId="288628031">
    <w:abstractNumId w:val="3"/>
  </w:num>
  <w:num w:numId="12" w16cid:durableId="573734544">
    <w:abstractNumId w:val="1"/>
  </w:num>
  <w:num w:numId="13" w16cid:durableId="1842311409">
    <w:abstractNumId w:val="4"/>
  </w:num>
  <w:num w:numId="14" w16cid:durableId="569510883">
    <w:abstractNumId w:val="15"/>
  </w:num>
  <w:num w:numId="15" w16cid:durableId="1717511090">
    <w:abstractNumId w:val="8"/>
  </w:num>
  <w:num w:numId="16" w16cid:durableId="2060934341">
    <w:abstractNumId w:val="11"/>
  </w:num>
  <w:num w:numId="17" w16cid:durableId="209390631">
    <w:abstractNumId w:val="20"/>
  </w:num>
  <w:num w:numId="18" w16cid:durableId="417017120">
    <w:abstractNumId w:val="2"/>
  </w:num>
  <w:num w:numId="19" w16cid:durableId="1833325685">
    <w:abstractNumId w:val="17"/>
  </w:num>
  <w:num w:numId="20" w16cid:durableId="863515728">
    <w:abstractNumId w:val="24"/>
  </w:num>
  <w:num w:numId="21" w16cid:durableId="644553927">
    <w:abstractNumId w:val="0"/>
  </w:num>
  <w:num w:numId="22" w16cid:durableId="1993823490">
    <w:abstractNumId w:val="5"/>
  </w:num>
  <w:num w:numId="23" w16cid:durableId="1566408288">
    <w:abstractNumId w:val="19"/>
  </w:num>
  <w:num w:numId="24" w16cid:durableId="1815444369">
    <w:abstractNumId w:val="28"/>
  </w:num>
  <w:num w:numId="25" w16cid:durableId="1104495893">
    <w:abstractNumId w:val="23"/>
  </w:num>
  <w:num w:numId="26" w16cid:durableId="2080979493">
    <w:abstractNumId w:val="6"/>
  </w:num>
  <w:num w:numId="27" w16cid:durableId="1539198458">
    <w:abstractNumId w:val="26"/>
  </w:num>
  <w:num w:numId="28" w16cid:durableId="749086438">
    <w:abstractNumId w:val="27"/>
  </w:num>
  <w:num w:numId="29" w16cid:durableId="160852745">
    <w:abstractNumId w:val="14"/>
  </w:num>
  <w:num w:numId="30" w16cid:durableId="427389148">
    <w:abstractNumId w:val="21"/>
  </w:num>
  <w:num w:numId="31" w16cid:durableId="1896087562">
    <w:abstractNumId w:val="7"/>
  </w:num>
  <w:num w:numId="32" w16cid:durableId="1645741549">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39A"/>
    <w:rsid w:val="000009DD"/>
    <w:rsid w:val="00000BE4"/>
    <w:rsid w:val="00001226"/>
    <w:rsid w:val="00002785"/>
    <w:rsid w:val="00002BCB"/>
    <w:rsid w:val="00002F98"/>
    <w:rsid w:val="00003A1C"/>
    <w:rsid w:val="0000415B"/>
    <w:rsid w:val="00005867"/>
    <w:rsid w:val="00005909"/>
    <w:rsid w:val="00005E5B"/>
    <w:rsid w:val="00005FC6"/>
    <w:rsid w:val="00006C96"/>
    <w:rsid w:val="000070A6"/>
    <w:rsid w:val="000071E2"/>
    <w:rsid w:val="00007D3E"/>
    <w:rsid w:val="00007D68"/>
    <w:rsid w:val="0001093D"/>
    <w:rsid w:val="00010B84"/>
    <w:rsid w:val="00010B94"/>
    <w:rsid w:val="00010F94"/>
    <w:rsid w:val="00011064"/>
    <w:rsid w:val="00011793"/>
    <w:rsid w:val="00011A33"/>
    <w:rsid w:val="00011B33"/>
    <w:rsid w:val="00011F5F"/>
    <w:rsid w:val="00012102"/>
    <w:rsid w:val="000122B6"/>
    <w:rsid w:val="00013547"/>
    <w:rsid w:val="00014894"/>
    <w:rsid w:val="00015A66"/>
    <w:rsid w:val="00015A9E"/>
    <w:rsid w:val="0001613B"/>
    <w:rsid w:val="00016143"/>
    <w:rsid w:val="0001648E"/>
    <w:rsid w:val="00017401"/>
    <w:rsid w:val="0001764B"/>
    <w:rsid w:val="00017E94"/>
    <w:rsid w:val="00020202"/>
    <w:rsid w:val="0002081B"/>
    <w:rsid w:val="00021A59"/>
    <w:rsid w:val="00021A84"/>
    <w:rsid w:val="0002251E"/>
    <w:rsid w:val="000230C7"/>
    <w:rsid w:val="000230D8"/>
    <w:rsid w:val="0002356A"/>
    <w:rsid w:val="00023BC3"/>
    <w:rsid w:val="00024774"/>
    <w:rsid w:val="00024FD9"/>
    <w:rsid w:val="0002518A"/>
    <w:rsid w:val="0002538F"/>
    <w:rsid w:val="00025A8F"/>
    <w:rsid w:val="00025EA0"/>
    <w:rsid w:val="0002600B"/>
    <w:rsid w:val="00026EBC"/>
    <w:rsid w:val="00027630"/>
    <w:rsid w:val="00027AB9"/>
    <w:rsid w:val="000307B7"/>
    <w:rsid w:val="000308EA"/>
    <w:rsid w:val="0003093E"/>
    <w:rsid w:val="00030DC2"/>
    <w:rsid w:val="00030E2B"/>
    <w:rsid w:val="000310C3"/>
    <w:rsid w:val="000315A3"/>
    <w:rsid w:val="0003183C"/>
    <w:rsid w:val="00031B7B"/>
    <w:rsid w:val="00032DAB"/>
    <w:rsid w:val="000335BC"/>
    <w:rsid w:val="00033A99"/>
    <w:rsid w:val="00033E16"/>
    <w:rsid w:val="00033FC1"/>
    <w:rsid w:val="0003409C"/>
    <w:rsid w:val="00034D38"/>
    <w:rsid w:val="00034EF7"/>
    <w:rsid w:val="000354AB"/>
    <w:rsid w:val="00036758"/>
    <w:rsid w:val="00036A32"/>
    <w:rsid w:val="00036B64"/>
    <w:rsid w:val="00037B57"/>
    <w:rsid w:val="00037F47"/>
    <w:rsid w:val="000406B0"/>
    <w:rsid w:val="00040832"/>
    <w:rsid w:val="00040A57"/>
    <w:rsid w:val="0004101E"/>
    <w:rsid w:val="0004134E"/>
    <w:rsid w:val="0004144D"/>
    <w:rsid w:val="00041CCD"/>
    <w:rsid w:val="00041D78"/>
    <w:rsid w:val="00041FBD"/>
    <w:rsid w:val="00042988"/>
    <w:rsid w:val="00042B16"/>
    <w:rsid w:val="00042EBB"/>
    <w:rsid w:val="000434B2"/>
    <w:rsid w:val="00043933"/>
    <w:rsid w:val="00043A06"/>
    <w:rsid w:val="00043A80"/>
    <w:rsid w:val="00043BA9"/>
    <w:rsid w:val="0004477A"/>
    <w:rsid w:val="00045966"/>
    <w:rsid w:val="00045D00"/>
    <w:rsid w:val="000468AA"/>
    <w:rsid w:val="00046FF2"/>
    <w:rsid w:val="00050588"/>
    <w:rsid w:val="0005089E"/>
    <w:rsid w:val="00050ACE"/>
    <w:rsid w:val="00051731"/>
    <w:rsid w:val="00051DBA"/>
    <w:rsid w:val="00052375"/>
    <w:rsid w:val="0005249E"/>
    <w:rsid w:val="00052B40"/>
    <w:rsid w:val="00052B98"/>
    <w:rsid w:val="00052C6E"/>
    <w:rsid w:val="00052FBF"/>
    <w:rsid w:val="0005310A"/>
    <w:rsid w:val="000533C5"/>
    <w:rsid w:val="000536DF"/>
    <w:rsid w:val="0005385D"/>
    <w:rsid w:val="00053C0D"/>
    <w:rsid w:val="0005615D"/>
    <w:rsid w:val="00056825"/>
    <w:rsid w:val="00056E0B"/>
    <w:rsid w:val="0005798B"/>
    <w:rsid w:val="00057BC0"/>
    <w:rsid w:val="00060D42"/>
    <w:rsid w:val="000610EF"/>
    <w:rsid w:val="0006135D"/>
    <w:rsid w:val="0006169D"/>
    <w:rsid w:val="00061BA6"/>
    <w:rsid w:val="00061DA4"/>
    <w:rsid w:val="00061DBD"/>
    <w:rsid w:val="00061DF5"/>
    <w:rsid w:val="0006306A"/>
    <w:rsid w:val="000632A7"/>
    <w:rsid w:val="00063707"/>
    <w:rsid w:val="00064637"/>
    <w:rsid w:val="00064831"/>
    <w:rsid w:val="000650FA"/>
    <w:rsid w:val="00065428"/>
    <w:rsid w:val="00065DF2"/>
    <w:rsid w:val="00066E80"/>
    <w:rsid w:val="00066FB1"/>
    <w:rsid w:val="00067795"/>
    <w:rsid w:val="000678A3"/>
    <w:rsid w:val="00067933"/>
    <w:rsid w:val="00070335"/>
    <w:rsid w:val="00070767"/>
    <w:rsid w:val="00070AE8"/>
    <w:rsid w:val="000716B0"/>
    <w:rsid w:val="00071869"/>
    <w:rsid w:val="00072225"/>
    <w:rsid w:val="00072C66"/>
    <w:rsid w:val="000733AF"/>
    <w:rsid w:val="0007378B"/>
    <w:rsid w:val="00073D3F"/>
    <w:rsid w:val="000743D7"/>
    <w:rsid w:val="00074447"/>
    <w:rsid w:val="000749C9"/>
    <w:rsid w:val="00074E65"/>
    <w:rsid w:val="00075639"/>
    <w:rsid w:val="00075AE5"/>
    <w:rsid w:val="000761FF"/>
    <w:rsid w:val="00076244"/>
    <w:rsid w:val="00076C0B"/>
    <w:rsid w:val="00077113"/>
    <w:rsid w:val="000776B2"/>
    <w:rsid w:val="000777A5"/>
    <w:rsid w:val="0007781D"/>
    <w:rsid w:val="000779F0"/>
    <w:rsid w:val="00077F74"/>
    <w:rsid w:val="000800E0"/>
    <w:rsid w:val="00080166"/>
    <w:rsid w:val="00080692"/>
    <w:rsid w:val="00080F6C"/>
    <w:rsid w:val="000815FD"/>
    <w:rsid w:val="00081624"/>
    <w:rsid w:val="000818F5"/>
    <w:rsid w:val="000820EA"/>
    <w:rsid w:val="00082523"/>
    <w:rsid w:val="0008253A"/>
    <w:rsid w:val="000825D5"/>
    <w:rsid w:val="00082CCE"/>
    <w:rsid w:val="00083207"/>
    <w:rsid w:val="00083597"/>
    <w:rsid w:val="0008359A"/>
    <w:rsid w:val="00084CF8"/>
    <w:rsid w:val="00084D33"/>
    <w:rsid w:val="00084F31"/>
    <w:rsid w:val="0008517E"/>
    <w:rsid w:val="00085B13"/>
    <w:rsid w:val="0008634F"/>
    <w:rsid w:val="00086B7F"/>
    <w:rsid w:val="0008706D"/>
    <w:rsid w:val="000876B9"/>
    <w:rsid w:val="00090799"/>
    <w:rsid w:val="000908ED"/>
    <w:rsid w:val="000909F2"/>
    <w:rsid w:val="00091068"/>
    <w:rsid w:val="00091820"/>
    <w:rsid w:val="00091F06"/>
    <w:rsid w:val="000925E6"/>
    <w:rsid w:val="000927A3"/>
    <w:rsid w:val="00092D66"/>
    <w:rsid w:val="00093327"/>
    <w:rsid w:val="00094067"/>
    <w:rsid w:val="000946B0"/>
    <w:rsid w:val="00095947"/>
    <w:rsid w:val="00096DEF"/>
    <w:rsid w:val="00097268"/>
    <w:rsid w:val="00097609"/>
    <w:rsid w:val="0009779B"/>
    <w:rsid w:val="000A0C75"/>
    <w:rsid w:val="000A10D3"/>
    <w:rsid w:val="000A1729"/>
    <w:rsid w:val="000A1DA5"/>
    <w:rsid w:val="000A2E7D"/>
    <w:rsid w:val="000A33AE"/>
    <w:rsid w:val="000A36B1"/>
    <w:rsid w:val="000A3B99"/>
    <w:rsid w:val="000A3C50"/>
    <w:rsid w:val="000A3E17"/>
    <w:rsid w:val="000A3F5F"/>
    <w:rsid w:val="000A4C56"/>
    <w:rsid w:val="000A588A"/>
    <w:rsid w:val="000A624A"/>
    <w:rsid w:val="000A6589"/>
    <w:rsid w:val="000A6618"/>
    <w:rsid w:val="000A68D2"/>
    <w:rsid w:val="000B04FA"/>
    <w:rsid w:val="000B09C5"/>
    <w:rsid w:val="000B0FAE"/>
    <w:rsid w:val="000B1794"/>
    <w:rsid w:val="000B2BE1"/>
    <w:rsid w:val="000B31AE"/>
    <w:rsid w:val="000B3900"/>
    <w:rsid w:val="000B3AD8"/>
    <w:rsid w:val="000B4649"/>
    <w:rsid w:val="000B4EB7"/>
    <w:rsid w:val="000B530D"/>
    <w:rsid w:val="000B53C5"/>
    <w:rsid w:val="000B53C8"/>
    <w:rsid w:val="000B56A3"/>
    <w:rsid w:val="000B5E73"/>
    <w:rsid w:val="000B7A3F"/>
    <w:rsid w:val="000B7E93"/>
    <w:rsid w:val="000C2252"/>
    <w:rsid w:val="000C2C67"/>
    <w:rsid w:val="000C2DB9"/>
    <w:rsid w:val="000C38A2"/>
    <w:rsid w:val="000C4193"/>
    <w:rsid w:val="000C487D"/>
    <w:rsid w:val="000C675A"/>
    <w:rsid w:val="000C67D5"/>
    <w:rsid w:val="000C700D"/>
    <w:rsid w:val="000C7881"/>
    <w:rsid w:val="000C78D0"/>
    <w:rsid w:val="000D09A1"/>
    <w:rsid w:val="000D0A9A"/>
    <w:rsid w:val="000D1888"/>
    <w:rsid w:val="000D1AE6"/>
    <w:rsid w:val="000D1EA8"/>
    <w:rsid w:val="000D3176"/>
    <w:rsid w:val="000D3D36"/>
    <w:rsid w:val="000D3F42"/>
    <w:rsid w:val="000D4C1D"/>
    <w:rsid w:val="000D5743"/>
    <w:rsid w:val="000D5EB4"/>
    <w:rsid w:val="000D76E8"/>
    <w:rsid w:val="000D79A9"/>
    <w:rsid w:val="000E00EC"/>
    <w:rsid w:val="000E0978"/>
    <w:rsid w:val="000E09AA"/>
    <w:rsid w:val="000E0B92"/>
    <w:rsid w:val="000E0E64"/>
    <w:rsid w:val="000E155A"/>
    <w:rsid w:val="000E1962"/>
    <w:rsid w:val="000E244A"/>
    <w:rsid w:val="000E2CDE"/>
    <w:rsid w:val="000E3C38"/>
    <w:rsid w:val="000E4775"/>
    <w:rsid w:val="000E4A89"/>
    <w:rsid w:val="000E516E"/>
    <w:rsid w:val="000E56CB"/>
    <w:rsid w:val="000E5E8E"/>
    <w:rsid w:val="000E6420"/>
    <w:rsid w:val="000E65AB"/>
    <w:rsid w:val="000E66D0"/>
    <w:rsid w:val="000E6A95"/>
    <w:rsid w:val="000E6E19"/>
    <w:rsid w:val="000E7249"/>
    <w:rsid w:val="000E78D6"/>
    <w:rsid w:val="000E7F37"/>
    <w:rsid w:val="000F05D8"/>
    <w:rsid w:val="000F0DB0"/>
    <w:rsid w:val="000F0EB9"/>
    <w:rsid w:val="000F108A"/>
    <w:rsid w:val="000F1445"/>
    <w:rsid w:val="000F2DF9"/>
    <w:rsid w:val="000F2FA3"/>
    <w:rsid w:val="000F57FC"/>
    <w:rsid w:val="000F60B4"/>
    <w:rsid w:val="000F6298"/>
    <w:rsid w:val="000F655B"/>
    <w:rsid w:val="000F7859"/>
    <w:rsid w:val="00100A34"/>
    <w:rsid w:val="00101170"/>
    <w:rsid w:val="001011F7"/>
    <w:rsid w:val="0010133B"/>
    <w:rsid w:val="0010150B"/>
    <w:rsid w:val="00101D07"/>
    <w:rsid w:val="00102037"/>
    <w:rsid w:val="00102A7D"/>
    <w:rsid w:val="001031D7"/>
    <w:rsid w:val="00103423"/>
    <w:rsid w:val="00103B63"/>
    <w:rsid w:val="00104322"/>
    <w:rsid w:val="00104BD4"/>
    <w:rsid w:val="00104D5E"/>
    <w:rsid w:val="00104DFD"/>
    <w:rsid w:val="001051F1"/>
    <w:rsid w:val="00106AF2"/>
    <w:rsid w:val="0010738C"/>
    <w:rsid w:val="00107448"/>
    <w:rsid w:val="00110308"/>
    <w:rsid w:val="001104C5"/>
    <w:rsid w:val="001106E7"/>
    <w:rsid w:val="0011099E"/>
    <w:rsid w:val="00110E29"/>
    <w:rsid w:val="00111631"/>
    <w:rsid w:val="00111BB7"/>
    <w:rsid w:val="00112218"/>
    <w:rsid w:val="00112CF1"/>
    <w:rsid w:val="00112D50"/>
    <w:rsid w:val="00112F81"/>
    <w:rsid w:val="001133C0"/>
    <w:rsid w:val="00113567"/>
    <w:rsid w:val="00113CF7"/>
    <w:rsid w:val="00113ED2"/>
    <w:rsid w:val="00113F4A"/>
    <w:rsid w:val="001146A5"/>
    <w:rsid w:val="00114C51"/>
    <w:rsid w:val="00114CEB"/>
    <w:rsid w:val="00115B90"/>
    <w:rsid w:val="001163B0"/>
    <w:rsid w:val="001173F3"/>
    <w:rsid w:val="001176B6"/>
    <w:rsid w:val="00120674"/>
    <w:rsid w:val="00120948"/>
    <w:rsid w:val="001209CF"/>
    <w:rsid w:val="00120BF1"/>
    <w:rsid w:val="001211CB"/>
    <w:rsid w:val="00121282"/>
    <w:rsid w:val="001212B0"/>
    <w:rsid w:val="001216C5"/>
    <w:rsid w:val="00121DC0"/>
    <w:rsid w:val="001220E1"/>
    <w:rsid w:val="001220FE"/>
    <w:rsid w:val="0012246A"/>
    <w:rsid w:val="00122A8D"/>
    <w:rsid w:val="00123A00"/>
    <w:rsid w:val="00124604"/>
    <w:rsid w:val="00124F1F"/>
    <w:rsid w:val="00126245"/>
    <w:rsid w:val="00126920"/>
    <w:rsid w:val="00127242"/>
    <w:rsid w:val="00127435"/>
    <w:rsid w:val="00130A1E"/>
    <w:rsid w:val="00130C72"/>
    <w:rsid w:val="00131949"/>
    <w:rsid w:val="00131A78"/>
    <w:rsid w:val="00132AD7"/>
    <w:rsid w:val="00133F35"/>
    <w:rsid w:val="001340BB"/>
    <w:rsid w:val="00134847"/>
    <w:rsid w:val="00134A38"/>
    <w:rsid w:val="00134F8C"/>
    <w:rsid w:val="001357E9"/>
    <w:rsid w:val="0013597B"/>
    <w:rsid w:val="0013614A"/>
    <w:rsid w:val="0013624B"/>
    <w:rsid w:val="00136487"/>
    <w:rsid w:val="0013661E"/>
    <w:rsid w:val="00136C81"/>
    <w:rsid w:val="00137034"/>
    <w:rsid w:val="0013738A"/>
    <w:rsid w:val="001373C0"/>
    <w:rsid w:val="0013747F"/>
    <w:rsid w:val="00137BC8"/>
    <w:rsid w:val="0014030B"/>
    <w:rsid w:val="00140385"/>
    <w:rsid w:val="00140DC3"/>
    <w:rsid w:val="00141967"/>
    <w:rsid w:val="001420BD"/>
    <w:rsid w:val="001420EB"/>
    <w:rsid w:val="00142143"/>
    <w:rsid w:val="0014258E"/>
    <w:rsid w:val="00142699"/>
    <w:rsid w:val="00142A61"/>
    <w:rsid w:val="00142C1C"/>
    <w:rsid w:val="00142F0B"/>
    <w:rsid w:val="001435F5"/>
    <w:rsid w:val="00143A4E"/>
    <w:rsid w:val="00143D3D"/>
    <w:rsid w:val="00143E2D"/>
    <w:rsid w:val="00144523"/>
    <w:rsid w:val="001445B6"/>
    <w:rsid w:val="00144D96"/>
    <w:rsid w:val="001474B4"/>
    <w:rsid w:val="00150F7E"/>
    <w:rsid w:val="001511CA"/>
    <w:rsid w:val="00151844"/>
    <w:rsid w:val="00151869"/>
    <w:rsid w:val="001528C5"/>
    <w:rsid w:val="001530AF"/>
    <w:rsid w:val="0015319A"/>
    <w:rsid w:val="00153482"/>
    <w:rsid w:val="00154C7F"/>
    <w:rsid w:val="001553E4"/>
    <w:rsid w:val="00155436"/>
    <w:rsid w:val="00155DA2"/>
    <w:rsid w:val="001561C7"/>
    <w:rsid w:val="001561D3"/>
    <w:rsid w:val="001563E2"/>
    <w:rsid w:val="001565D8"/>
    <w:rsid w:val="00156902"/>
    <w:rsid w:val="00156D5F"/>
    <w:rsid w:val="00156DFC"/>
    <w:rsid w:val="00156E91"/>
    <w:rsid w:val="00156EAE"/>
    <w:rsid w:val="00157122"/>
    <w:rsid w:val="001575CC"/>
    <w:rsid w:val="00157679"/>
    <w:rsid w:val="001576B5"/>
    <w:rsid w:val="0016059B"/>
    <w:rsid w:val="00160A5E"/>
    <w:rsid w:val="00161263"/>
    <w:rsid w:val="0016138E"/>
    <w:rsid w:val="0016159C"/>
    <w:rsid w:val="0016182A"/>
    <w:rsid w:val="0016183A"/>
    <w:rsid w:val="00161C1C"/>
    <w:rsid w:val="00162254"/>
    <w:rsid w:val="001622D6"/>
    <w:rsid w:val="00162518"/>
    <w:rsid w:val="00162570"/>
    <w:rsid w:val="001625CE"/>
    <w:rsid w:val="001626F9"/>
    <w:rsid w:val="0016297C"/>
    <w:rsid w:val="00162C6F"/>
    <w:rsid w:val="00163491"/>
    <w:rsid w:val="0016354C"/>
    <w:rsid w:val="001635A6"/>
    <w:rsid w:val="0016370E"/>
    <w:rsid w:val="00163823"/>
    <w:rsid w:val="00163C52"/>
    <w:rsid w:val="00163D04"/>
    <w:rsid w:val="00163F56"/>
    <w:rsid w:val="00164D76"/>
    <w:rsid w:val="00164EE8"/>
    <w:rsid w:val="00165074"/>
    <w:rsid w:val="0016598F"/>
    <w:rsid w:val="001659EE"/>
    <w:rsid w:val="00166B34"/>
    <w:rsid w:val="00166E3A"/>
    <w:rsid w:val="001672CD"/>
    <w:rsid w:val="001674B1"/>
    <w:rsid w:val="00167600"/>
    <w:rsid w:val="00167E32"/>
    <w:rsid w:val="00167F4F"/>
    <w:rsid w:val="001701AD"/>
    <w:rsid w:val="0017090A"/>
    <w:rsid w:val="00170976"/>
    <w:rsid w:val="00170ABE"/>
    <w:rsid w:val="00172222"/>
    <w:rsid w:val="001725FF"/>
    <w:rsid w:val="00172A64"/>
    <w:rsid w:val="00172BDC"/>
    <w:rsid w:val="00172F7F"/>
    <w:rsid w:val="00174497"/>
    <w:rsid w:val="00174521"/>
    <w:rsid w:val="00174575"/>
    <w:rsid w:val="001759AA"/>
    <w:rsid w:val="00175D60"/>
    <w:rsid w:val="00175E21"/>
    <w:rsid w:val="00176317"/>
    <w:rsid w:val="00176A1C"/>
    <w:rsid w:val="00176C58"/>
    <w:rsid w:val="001778BD"/>
    <w:rsid w:val="00177AEA"/>
    <w:rsid w:val="00177E16"/>
    <w:rsid w:val="00180301"/>
    <w:rsid w:val="00180725"/>
    <w:rsid w:val="001807F0"/>
    <w:rsid w:val="00180E5D"/>
    <w:rsid w:val="00181C6C"/>
    <w:rsid w:val="00182626"/>
    <w:rsid w:val="00182767"/>
    <w:rsid w:val="00182819"/>
    <w:rsid w:val="00183399"/>
    <w:rsid w:val="00183E8B"/>
    <w:rsid w:val="00185005"/>
    <w:rsid w:val="001850FF"/>
    <w:rsid w:val="0018524F"/>
    <w:rsid w:val="00186FA2"/>
    <w:rsid w:val="00187127"/>
    <w:rsid w:val="0018759C"/>
    <w:rsid w:val="0018793C"/>
    <w:rsid w:val="0019009C"/>
    <w:rsid w:val="00191BF6"/>
    <w:rsid w:val="00192944"/>
    <w:rsid w:val="00192EF8"/>
    <w:rsid w:val="00193532"/>
    <w:rsid w:val="001939C5"/>
    <w:rsid w:val="001942E2"/>
    <w:rsid w:val="001945DC"/>
    <w:rsid w:val="00194834"/>
    <w:rsid w:val="00195496"/>
    <w:rsid w:val="00195E2F"/>
    <w:rsid w:val="0019631A"/>
    <w:rsid w:val="00196794"/>
    <w:rsid w:val="00196854"/>
    <w:rsid w:val="00196C6E"/>
    <w:rsid w:val="001977AE"/>
    <w:rsid w:val="001A0165"/>
    <w:rsid w:val="001A01DB"/>
    <w:rsid w:val="001A03F4"/>
    <w:rsid w:val="001A03FD"/>
    <w:rsid w:val="001A0710"/>
    <w:rsid w:val="001A1AE1"/>
    <w:rsid w:val="001A1B27"/>
    <w:rsid w:val="001A1F10"/>
    <w:rsid w:val="001A291D"/>
    <w:rsid w:val="001A2C49"/>
    <w:rsid w:val="001A30B1"/>
    <w:rsid w:val="001A326F"/>
    <w:rsid w:val="001A3AB2"/>
    <w:rsid w:val="001A4005"/>
    <w:rsid w:val="001A4343"/>
    <w:rsid w:val="001A455A"/>
    <w:rsid w:val="001A46E3"/>
    <w:rsid w:val="001A55A7"/>
    <w:rsid w:val="001A5652"/>
    <w:rsid w:val="001A5AFA"/>
    <w:rsid w:val="001A625B"/>
    <w:rsid w:val="001A65DB"/>
    <w:rsid w:val="001A6A14"/>
    <w:rsid w:val="001A6ED1"/>
    <w:rsid w:val="001A77B7"/>
    <w:rsid w:val="001B1E8D"/>
    <w:rsid w:val="001B278B"/>
    <w:rsid w:val="001B2E52"/>
    <w:rsid w:val="001B349A"/>
    <w:rsid w:val="001B394D"/>
    <w:rsid w:val="001B3FC7"/>
    <w:rsid w:val="001B4AFF"/>
    <w:rsid w:val="001B4B99"/>
    <w:rsid w:val="001B5647"/>
    <w:rsid w:val="001B5FA7"/>
    <w:rsid w:val="001B6238"/>
    <w:rsid w:val="001B64B7"/>
    <w:rsid w:val="001B708D"/>
    <w:rsid w:val="001C0BE2"/>
    <w:rsid w:val="001C0C2B"/>
    <w:rsid w:val="001C2188"/>
    <w:rsid w:val="001C3D2E"/>
    <w:rsid w:val="001C43F0"/>
    <w:rsid w:val="001C44A7"/>
    <w:rsid w:val="001C5465"/>
    <w:rsid w:val="001C5D6C"/>
    <w:rsid w:val="001C6048"/>
    <w:rsid w:val="001C6A96"/>
    <w:rsid w:val="001C7F8E"/>
    <w:rsid w:val="001D04D4"/>
    <w:rsid w:val="001D05C9"/>
    <w:rsid w:val="001D1121"/>
    <w:rsid w:val="001D1F6C"/>
    <w:rsid w:val="001D23BD"/>
    <w:rsid w:val="001D2829"/>
    <w:rsid w:val="001D3404"/>
    <w:rsid w:val="001D38A9"/>
    <w:rsid w:val="001D3C2C"/>
    <w:rsid w:val="001D4820"/>
    <w:rsid w:val="001D4F02"/>
    <w:rsid w:val="001D53F4"/>
    <w:rsid w:val="001D563D"/>
    <w:rsid w:val="001D5FAF"/>
    <w:rsid w:val="001D5FF9"/>
    <w:rsid w:val="001D6400"/>
    <w:rsid w:val="001D71A2"/>
    <w:rsid w:val="001D759E"/>
    <w:rsid w:val="001D7766"/>
    <w:rsid w:val="001D7E0D"/>
    <w:rsid w:val="001E0439"/>
    <w:rsid w:val="001E0D3C"/>
    <w:rsid w:val="001E0F4C"/>
    <w:rsid w:val="001E1186"/>
    <w:rsid w:val="001E1235"/>
    <w:rsid w:val="001E12A0"/>
    <w:rsid w:val="001E1439"/>
    <w:rsid w:val="001E184E"/>
    <w:rsid w:val="001E18A1"/>
    <w:rsid w:val="001E1D25"/>
    <w:rsid w:val="001E21A3"/>
    <w:rsid w:val="001E2C87"/>
    <w:rsid w:val="001E3B81"/>
    <w:rsid w:val="001E3E00"/>
    <w:rsid w:val="001E438F"/>
    <w:rsid w:val="001E4471"/>
    <w:rsid w:val="001E4AED"/>
    <w:rsid w:val="001E4D4E"/>
    <w:rsid w:val="001E4ED5"/>
    <w:rsid w:val="001E4F5A"/>
    <w:rsid w:val="001E5349"/>
    <w:rsid w:val="001E540D"/>
    <w:rsid w:val="001E5C16"/>
    <w:rsid w:val="001E5D3D"/>
    <w:rsid w:val="001E62C9"/>
    <w:rsid w:val="001E6730"/>
    <w:rsid w:val="001E698D"/>
    <w:rsid w:val="001E78B2"/>
    <w:rsid w:val="001F2A34"/>
    <w:rsid w:val="001F34E0"/>
    <w:rsid w:val="001F3550"/>
    <w:rsid w:val="001F36B7"/>
    <w:rsid w:val="001F3D8D"/>
    <w:rsid w:val="001F3DD3"/>
    <w:rsid w:val="001F416B"/>
    <w:rsid w:val="001F4775"/>
    <w:rsid w:val="001F48CD"/>
    <w:rsid w:val="001F4ACB"/>
    <w:rsid w:val="001F4FB3"/>
    <w:rsid w:val="001F5B5D"/>
    <w:rsid w:val="001F6CDF"/>
    <w:rsid w:val="001F6F68"/>
    <w:rsid w:val="001F7302"/>
    <w:rsid w:val="001F74C1"/>
    <w:rsid w:val="001F7D57"/>
    <w:rsid w:val="001F7DAC"/>
    <w:rsid w:val="001F7E12"/>
    <w:rsid w:val="001F7EEF"/>
    <w:rsid w:val="002001BE"/>
    <w:rsid w:val="00200253"/>
    <w:rsid w:val="002010F3"/>
    <w:rsid w:val="00201AF9"/>
    <w:rsid w:val="00201BC2"/>
    <w:rsid w:val="002027B6"/>
    <w:rsid w:val="00203240"/>
    <w:rsid w:val="002034F6"/>
    <w:rsid w:val="00203E1C"/>
    <w:rsid w:val="002040D8"/>
    <w:rsid w:val="00205054"/>
    <w:rsid w:val="002050B7"/>
    <w:rsid w:val="002058B9"/>
    <w:rsid w:val="00206019"/>
    <w:rsid w:val="00206375"/>
    <w:rsid w:val="0020686E"/>
    <w:rsid w:val="00206AB0"/>
    <w:rsid w:val="00206BF5"/>
    <w:rsid w:val="00206F02"/>
    <w:rsid w:val="00207268"/>
    <w:rsid w:val="00207A43"/>
    <w:rsid w:val="00207D41"/>
    <w:rsid w:val="002100EC"/>
    <w:rsid w:val="00210224"/>
    <w:rsid w:val="0021056F"/>
    <w:rsid w:val="00210B17"/>
    <w:rsid w:val="00211D87"/>
    <w:rsid w:val="0021252A"/>
    <w:rsid w:val="00212646"/>
    <w:rsid w:val="002128C4"/>
    <w:rsid w:val="0021404E"/>
    <w:rsid w:val="002149A8"/>
    <w:rsid w:val="00214D37"/>
    <w:rsid w:val="00214F60"/>
    <w:rsid w:val="002154FE"/>
    <w:rsid w:val="00215616"/>
    <w:rsid w:val="002157F1"/>
    <w:rsid w:val="002161FB"/>
    <w:rsid w:val="00216486"/>
    <w:rsid w:val="00216DBF"/>
    <w:rsid w:val="00216EC1"/>
    <w:rsid w:val="002171FD"/>
    <w:rsid w:val="00217F05"/>
    <w:rsid w:val="00220165"/>
    <w:rsid w:val="002208B4"/>
    <w:rsid w:val="00220EBB"/>
    <w:rsid w:val="002211CC"/>
    <w:rsid w:val="002213DC"/>
    <w:rsid w:val="00221712"/>
    <w:rsid w:val="0022189F"/>
    <w:rsid w:val="00222386"/>
    <w:rsid w:val="00222A23"/>
    <w:rsid w:val="00222F7A"/>
    <w:rsid w:val="002233E8"/>
    <w:rsid w:val="00223588"/>
    <w:rsid w:val="00224452"/>
    <w:rsid w:val="0022448A"/>
    <w:rsid w:val="002246FB"/>
    <w:rsid w:val="0022523A"/>
    <w:rsid w:val="0022570B"/>
    <w:rsid w:val="00225A39"/>
    <w:rsid w:val="00225E91"/>
    <w:rsid w:val="002263AE"/>
    <w:rsid w:val="0022667F"/>
    <w:rsid w:val="00226B4D"/>
    <w:rsid w:val="00227138"/>
    <w:rsid w:val="00227281"/>
    <w:rsid w:val="002277FA"/>
    <w:rsid w:val="002279FA"/>
    <w:rsid w:val="00227AEB"/>
    <w:rsid w:val="00230AFE"/>
    <w:rsid w:val="0023101F"/>
    <w:rsid w:val="0023131C"/>
    <w:rsid w:val="00231765"/>
    <w:rsid w:val="002318F1"/>
    <w:rsid w:val="00231B6E"/>
    <w:rsid w:val="002326B9"/>
    <w:rsid w:val="002326E8"/>
    <w:rsid w:val="00232CB5"/>
    <w:rsid w:val="00232F3C"/>
    <w:rsid w:val="0023302B"/>
    <w:rsid w:val="00233625"/>
    <w:rsid w:val="00233BDE"/>
    <w:rsid w:val="002349DA"/>
    <w:rsid w:val="00234A55"/>
    <w:rsid w:val="00234BA8"/>
    <w:rsid w:val="00234C98"/>
    <w:rsid w:val="00235E74"/>
    <w:rsid w:val="0023611D"/>
    <w:rsid w:val="002365E5"/>
    <w:rsid w:val="00236723"/>
    <w:rsid w:val="002367C4"/>
    <w:rsid w:val="00236817"/>
    <w:rsid w:val="0023681C"/>
    <w:rsid w:val="00236A6B"/>
    <w:rsid w:val="00240072"/>
    <w:rsid w:val="00240187"/>
    <w:rsid w:val="002407D6"/>
    <w:rsid w:val="002413F3"/>
    <w:rsid w:val="00241513"/>
    <w:rsid w:val="002416DC"/>
    <w:rsid w:val="00241D31"/>
    <w:rsid w:val="002424B0"/>
    <w:rsid w:val="0024272E"/>
    <w:rsid w:val="00243881"/>
    <w:rsid w:val="00243FB1"/>
    <w:rsid w:val="00244E0B"/>
    <w:rsid w:val="00245E02"/>
    <w:rsid w:val="00245F05"/>
    <w:rsid w:val="0024623A"/>
    <w:rsid w:val="00247180"/>
    <w:rsid w:val="00247328"/>
    <w:rsid w:val="0024733E"/>
    <w:rsid w:val="00247342"/>
    <w:rsid w:val="002479BD"/>
    <w:rsid w:val="00247A8B"/>
    <w:rsid w:val="002501BB"/>
    <w:rsid w:val="00250870"/>
    <w:rsid w:val="00251589"/>
    <w:rsid w:val="00251CDE"/>
    <w:rsid w:val="00251E03"/>
    <w:rsid w:val="0025207F"/>
    <w:rsid w:val="00252211"/>
    <w:rsid w:val="002524C1"/>
    <w:rsid w:val="002526B1"/>
    <w:rsid w:val="00252C67"/>
    <w:rsid w:val="00253075"/>
    <w:rsid w:val="00253846"/>
    <w:rsid w:val="00253852"/>
    <w:rsid w:val="00253E3F"/>
    <w:rsid w:val="00254376"/>
    <w:rsid w:val="00255108"/>
    <w:rsid w:val="00255326"/>
    <w:rsid w:val="002555FA"/>
    <w:rsid w:val="002556F1"/>
    <w:rsid w:val="002557A6"/>
    <w:rsid w:val="00256870"/>
    <w:rsid w:val="00256DEC"/>
    <w:rsid w:val="0025777D"/>
    <w:rsid w:val="00257FCB"/>
    <w:rsid w:val="002600C6"/>
    <w:rsid w:val="00260B3F"/>
    <w:rsid w:val="00260EB1"/>
    <w:rsid w:val="00261067"/>
    <w:rsid w:val="0026159D"/>
    <w:rsid w:val="00262247"/>
    <w:rsid w:val="00262E89"/>
    <w:rsid w:val="00263267"/>
    <w:rsid w:val="002632D8"/>
    <w:rsid w:val="00263BED"/>
    <w:rsid w:val="00264E3C"/>
    <w:rsid w:val="0026511E"/>
    <w:rsid w:val="002651E2"/>
    <w:rsid w:val="00265AE8"/>
    <w:rsid w:val="00265DCC"/>
    <w:rsid w:val="00266EBB"/>
    <w:rsid w:val="002670B2"/>
    <w:rsid w:val="002678ED"/>
    <w:rsid w:val="00267929"/>
    <w:rsid w:val="00267F62"/>
    <w:rsid w:val="00271030"/>
    <w:rsid w:val="002711B2"/>
    <w:rsid w:val="00271BF4"/>
    <w:rsid w:val="00274E96"/>
    <w:rsid w:val="00275411"/>
    <w:rsid w:val="00275A5F"/>
    <w:rsid w:val="0027604E"/>
    <w:rsid w:val="0027628E"/>
    <w:rsid w:val="002767D6"/>
    <w:rsid w:val="0027686C"/>
    <w:rsid w:val="002769AE"/>
    <w:rsid w:val="00276C12"/>
    <w:rsid w:val="0028014F"/>
    <w:rsid w:val="00280562"/>
    <w:rsid w:val="00281E49"/>
    <w:rsid w:val="00282E61"/>
    <w:rsid w:val="00282FF8"/>
    <w:rsid w:val="00283756"/>
    <w:rsid w:val="002837CF"/>
    <w:rsid w:val="002839D6"/>
    <w:rsid w:val="0028474B"/>
    <w:rsid w:val="00284755"/>
    <w:rsid w:val="00284F7A"/>
    <w:rsid w:val="00285269"/>
    <w:rsid w:val="002859B7"/>
    <w:rsid w:val="00285C64"/>
    <w:rsid w:val="002873EC"/>
    <w:rsid w:val="0029007A"/>
    <w:rsid w:val="0029016E"/>
    <w:rsid w:val="0029069F"/>
    <w:rsid w:val="00290EEC"/>
    <w:rsid w:val="0029158E"/>
    <w:rsid w:val="00291752"/>
    <w:rsid w:val="00291B6A"/>
    <w:rsid w:val="00291B90"/>
    <w:rsid w:val="00291F64"/>
    <w:rsid w:val="002925BB"/>
    <w:rsid w:val="00292F49"/>
    <w:rsid w:val="00293152"/>
    <w:rsid w:val="002935F0"/>
    <w:rsid w:val="002936B4"/>
    <w:rsid w:val="00293912"/>
    <w:rsid w:val="00293A47"/>
    <w:rsid w:val="00293FCC"/>
    <w:rsid w:val="002954F1"/>
    <w:rsid w:val="00295909"/>
    <w:rsid w:val="0029632E"/>
    <w:rsid w:val="00296DB2"/>
    <w:rsid w:val="002971F9"/>
    <w:rsid w:val="00297488"/>
    <w:rsid w:val="0029764B"/>
    <w:rsid w:val="00297679"/>
    <w:rsid w:val="002A03E2"/>
    <w:rsid w:val="002A0FBF"/>
    <w:rsid w:val="002A1097"/>
    <w:rsid w:val="002A13D1"/>
    <w:rsid w:val="002A1BBF"/>
    <w:rsid w:val="002A1F96"/>
    <w:rsid w:val="002A1FAD"/>
    <w:rsid w:val="002A25AC"/>
    <w:rsid w:val="002A27E0"/>
    <w:rsid w:val="002A2E6A"/>
    <w:rsid w:val="002A3673"/>
    <w:rsid w:val="002A375F"/>
    <w:rsid w:val="002A3C63"/>
    <w:rsid w:val="002A3E12"/>
    <w:rsid w:val="002A42EE"/>
    <w:rsid w:val="002A462E"/>
    <w:rsid w:val="002A4B4D"/>
    <w:rsid w:val="002A5036"/>
    <w:rsid w:val="002A5258"/>
    <w:rsid w:val="002A5B41"/>
    <w:rsid w:val="002A5B44"/>
    <w:rsid w:val="002A618F"/>
    <w:rsid w:val="002A661D"/>
    <w:rsid w:val="002A6ABE"/>
    <w:rsid w:val="002A6ABF"/>
    <w:rsid w:val="002A76C6"/>
    <w:rsid w:val="002A7720"/>
    <w:rsid w:val="002B027F"/>
    <w:rsid w:val="002B035D"/>
    <w:rsid w:val="002B0CF6"/>
    <w:rsid w:val="002B13AB"/>
    <w:rsid w:val="002B16FD"/>
    <w:rsid w:val="002B1BFB"/>
    <w:rsid w:val="002B327F"/>
    <w:rsid w:val="002B3A1C"/>
    <w:rsid w:val="002B3C7B"/>
    <w:rsid w:val="002B402E"/>
    <w:rsid w:val="002B4062"/>
    <w:rsid w:val="002B437E"/>
    <w:rsid w:val="002B443B"/>
    <w:rsid w:val="002B4825"/>
    <w:rsid w:val="002B491B"/>
    <w:rsid w:val="002B4B69"/>
    <w:rsid w:val="002B5095"/>
    <w:rsid w:val="002B53AC"/>
    <w:rsid w:val="002B6605"/>
    <w:rsid w:val="002B6D2B"/>
    <w:rsid w:val="002B736C"/>
    <w:rsid w:val="002B7A0D"/>
    <w:rsid w:val="002C07A2"/>
    <w:rsid w:val="002C094B"/>
    <w:rsid w:val="002C0D9D"/>
    <w:rsid w:val="002C0DBF"/>
    <w:rsid w:val="002C16C1"/>
    <w:rsid w:val="002C16F1"/>
    <w:rsid w:val="002C1A8F"/>
    <w:rsid w:val="002C2D8F"/>
    <w:rsid w:val="002C32AF"/>
    <w:rsid w:val="002C331E"/>
    <w:rsid w:val="002C3323"/>
    <w:rsid w:val="002C34E3"/>
    <w:rsid w:val="002C3F8B"/>
    <w:rsid w:val="002C5A01"/>
    <w:rsid w:val="002C5F4D"/>
    <w:rsid w:val="002C61ED"/>
    <w:rsid w:val="002C6CE1"/>
    <w:rsid w:val="002C6FC8"/>
    <w:rsid w:val="002C7AC9"/>
    <w:rsid w:val="002C7E67"/>
    <w:rsid w:val="002D0267"/>
    <w:rsid w:val="002D06BA"/>
    <w:rsid w:val="002D123E"/>
    <w:rsid w:val="002D27F3"/>
    <w:rsid w:val="002D2960"/>
    <w:rsid w:val="002D2D31"/>
    <w:rsid w:val="002D2F16"/>
    <w:rsid w:val="002D2F30"/>
    <w:rsid w:val="002D30A8"/>
    <w:rsid w:val="002D3B10"/>
    <w:rsid w:val="002D43B4"/>
    <w:rsid w:val="002D4556"/>
    <w:rsid w:val="002D563A"/>
    <w:rsid w:val="002D5BF8"/>
    <w:rsid w:val="002D6525"/>
    <w:rsid w:val="002D6A22"/>
    <w:rsid w:val="002D7009"/>
    <w:rsid w:val="002E11CF"/>
    <w:rsid w:val="002E133A"/>
    <w:rsid w:val="002E19A3"/>
    <w:rsid w:val="002E24B4"/>
    <w:rsid w:val="002E394B"/>
    <w:rsid w:val="002E3C59"/>
    <w:rsid w:val="002E42CD"/>
    <w:rsid w:val="002E4496"/>
    <w:rsid w:val="002E5062"/>
    <w:rsid w:val="002E532D"/>
    <w:rsid w:val="002E5C64"/>
    <w:rsid w:val="002E65C2"/>
    <w:rsid w:val="002E6615"/>
    <w:rsid w:val="002E6EC7"/>
    <w:rsid w:val="002E7D62"/>
    <w:rsid w:val="002E7F3B"/>
    <w:rsid w:val="002F01B9"/>
    <w:rsid w:val="002F0910"/>
    <w:rsid w:val="002F0F0D"/>
    <w:rsid w:val="002F1127"/>
    <w:rsid w:val="002F154E"/>
    <w:rsid w:val="002F1835"/>
    <w:rsid w:val="002F18DA"/>
    <w:rsid w:val="002F1B78"/>
    <w:rsid w:val="002F2761"/>
    <w:rsid w:val="002F3014"/>
    <w:rsid w:val="002F32CB"/>
    <w:rsid w:val="002F347D"/>
    <w:rsid w:val="002F3C32"/>
    <w:rsid w:val="002F3DD8"/>
    <w:rsid w:val="002F4656"/>
    <w:rsid w:val="002F492B"/>
    <w:rsid w:val="002F4AEB"/>
    <w:rsid w:val="002F4CBF"/>
    <w:rsid w:val="002F50BC"/>
    <w:rsid w:val="002F51E8"/>
    <w:rsid w:val="002F52EC"/>
    <w:rsid w:val="002F5F7D"/>
    <w:rsid w:val="002F697A"/>
    <w:rsid w:val="002F6D01"/>
    <w:rsid w:val="002F6F3E"/>
    <w:rsid w:val="002F79B9"/>
    <w:rsid w:val="00300522"/>
    <w:rsid w:val="00300D3E"/>
    <w:rsid w:val="00300F41"/>
    <w:rsid w:val="00300F93"/>
    <w:rsid w:val="003017F5"/>
    <w:rsid w:val="00301C30"/>
    <w:rsid w:val="00301DF4"/>
    <w:rsid w:val="00301E49"/>
    <w:rsid w:val="0030244F"/>
    <w:rsid w:val="003024B6"/>
    <w:rsid w:val="00302EA7"/>
    <w:rsid w:val="0030359C"/>
    <w:rsid w:val="0030426C"/>
    <w:rsid w:val="00304440"/>
    <w:rsid w:val="00304D39"/>
    <w:rsid w:val="00305603"/>
    <w:rsid w:val="003056E4"/>
    <w:rsid w:val="00305AD0"/>
    <w:rsid w:val="00305E2D"/>
    <w:rsid w:val="00305E56"/>
    <w:rsid w:val="003071F7"/>
    <w:rsid w:val="0031007B"/>
    <w:rsid w:val="00310CEB"/>
    <w:rsid w:val="00310EEA"/>
    <w:rsid w:val="003110CF"/>
    <w:rsid w:val="003113C9"/>
    <w:rsid w:val="003123F1"/>
    <w:rsid w:val="00312484"/>
    <w:rsid w:val="00312749"/>
    <w:rsid w:val="00313363"/>
    <w:rsid w:val="003134B5"/>
    <w:rsid w:val="00313F72"/>
    <w:rsid w:val="00313F7F"/>
    <w:rsid w:val="00314329"/>
    <w:rsid w:val="00314478"/>
    <w:rsid w:val="00314D29"/>
    <w:rsid w:val="00315611"/>
    <w:rsid w:val="00315BFB"/>
    <w:rsid w:val="0031616D"/>
    <w:rsid w:val="00316A0B"/>
    <w:rsid w:val="003174C6"/>
    <w:rsid w:val="00317592"/>
    <w:rsid w:val="00317DDD"/>
    <w:rsid w:val="00320255"/>
    <w:rsid w:val="0032029B"/>
    <w:rsid w:val="003206C0"/>
    <w:rsid w:val="00320763"/>
    <w:rsid w:val="00320B1D"/>
    <w:rsid w:val="00320C39"/>
    <w:rsid w:val="003215B2"/>
    <w:rsid w:val="00322E66"/>
    <w:rsid w:val="00323233"/>
    <w:rsid w:val="00323D33"/>
    <w:rsid w:val="00323F75"/>
    <w:rsid w:val="0032419D"/>
    <w:rsid w:val="00324AE6"/>
    <w:rsid w:val="00326D3D"/>
    <w:rsid w:val="00326F1A"/>
    <w:rsid w:val="0033065E"/>
    <w:rsid w:val="0033067B"/>
    <w:rsid w:val="00330773"/>
    <w:rsid w:val="00330BF1"/>
    <w:rsid w:val="003312A3"/>
    <w:rsid w:val="003318D0"/>
    <w:rsid w:val="00331EF6"/>
    <w:rsid w:val="00332144"/>
    <w:rsid w:val="0033427E"/>
    <w:rsid w:val="0033465E"/>
    <w:rsid w:val="00334BD3"/>
    <w:rsid w:val="00336E19"/>
    <w:rsid w:val="00337970"/>
    <w:rsid w:val="00337A7F"/>
    <w:rsid w:val="00337DA1"/>
    <w:rsid w:val="00337F4F"/>
    <w:rsid w:val="003404C4"/>
    <w:rsid w:val="00340636"/>
    <w:rsid w:val="00340905"/>
    <w:rsid w:val="00340CBD"/>
    <w:rsid w:val="00340D59"/>
    <w:rsid w:val="00341FBC"/>
    <w:rsid w:val="003420E4"/>
    <w:rsid w:val="0034237C"/>
    <w:rsid w:val="00342627"/>
    <w:rsid w:val="00342C44"/>
    <w:rsid w:val="00342DF5"/>
    <w:rsid w:val="00343C7C"/>
    <w:rsid w:val="003459B9"/>
    <w:rsid w:val="00345D76"/>
    <w:rsid w:val="003464D8"/>
    <w:rsid w:val="003465B9"/>
    <w:rsid w:val="003508E0"/>
    <w:rsid w:val="00351812"/>
    <w:rsid w:val="00352514"/>
    <w:rsid w:val="003526FE"/>
    <w:rsid w:val="00352FBD"/>
    <w:rsid w:val="00354088"/>
    <w:rsid w:val="00354640"/>
    <w:rsid w:val="0035475D"/>
    <w:rsid w:val="00354DC7"/>
    <w:rsid w:val="00354E3F"/>
    <w:rsid w:val="00355D97"/>
    <w:rsid w:val="003560B1"/>
    <w:rsid w:val="00356407"/>
    <w:rsid w:val="00356CC1"/>
    <w:rsid w:val="00357ACF"/>
    <w:rsid w:val="003603A3"/>
    <w:rsid w:val="003606D0"/>
    <w:rsid w:val="003607A9"/>
    <w:rsid w:val="00360DE5"/>
    <w:rsid w:val="003615A6"/>
    <w:rsid w:val="003617E1"/>
    <w:rsid w:val="003619F1"/>
    <w:rsid w:val="00362A6D"/>
    <w:rsid w:val="00363715"/>
    <w:rsid w:val="00363A1D"/>
    <w:rsid w:val="00363B9B"/>
    <w:rsid w:val="00364A90"/>
    <w:rsid w:val="0036526C"/>
    <w:rsid w:val="00365F71"/>
    <w:rsid w:val="00366CDE"/>
    <w:rsid w:val="003670B0"/>
    <w:rsid w:val="00367170"/>
    <w:rsid w:val="00367545"/>
    <w:rsid w:val="00370AD1"/>
    <w:rsid w:val="003712C6"/>
    <w:rsid w:val="0037158A"/>
    <w:rsid w:val="003716EA"/>
    <w:rsid w:val="00371874"/>
    <w:rsid w:val="003723D6"/>
    <w:rsid w:val="00372526"/>
    <w:rsid w:val="00372AFD"/>
    <w:rsid w:val="00372DB7"/>
    <w:rsid w:val="00372E24"/>
    <w:rsid w:val="00374555"/>
    <w:rsid w:val="00375030"/>
    <w:rsid w:val="0037689B"/>
    <w:rsid w:val="0037695D"/>
    <w:rsid w:val="00376F51"/>
    <w:rsid w:val="00377F58"/>
    <w:rsid w:val="00380560"/>
    <w:rsid w:val="003812FB"/>
    <w:rsid w:val="00381461"/>
    <w:rsid w:val="003821F6"/>
    <w:rsid w:val="003822F0"/>
    <w:rsid w:val="003829E2"/>
    <w:rsid w:val="00382E97"/>
    <w:rsid w:val="00382F53"/>
    <w:rsid w:val="0038342B"/>
    <w:rsid w:val="0038392F"/>
    <w:rsid w:val="00383DC1"/>
    <w:rsid w:val="003842EB"/>
    <w:rsid w:val="00384D42"/>
    <w:rsid w:val="00384FCA"/>
    <w:rsid w:val="003857F8"/>
    <w:rsid w:val="00385AE0"/>
    <w:rsid w:val="00386047"/>
    <w:rsid w:val="0038604D"/>
    <w:rsid w:val="0038628C"/>
    <w:rsid w:val="00387240"/>
    <w:rsid w:val="003874CC"/>
    <w:rsid w:val="00387714"/>
    <w:rsid w:val="003877F9"/>
    <w:rsid w:val="00387A49"/>
    <w:rsid w:val="003909A6"/>
    <w:rsid w:val="00390E8C"/>
    <w:rsid w:val="00390F26"/>
    <w:rsid w:val="00391268"/>
    <w:rsid w:val="00391876"/>
    <w:rsid w:val="003919F2"/>
    <w:rsid w:val="0039248B"/>
    <w:rsid w:val="00392878"/>
    <w:rsid w:val="003932E0"/>
    <w:rsid w:val="00393835"/>
    <w:rsid w:val="00393AC7"/>
    <w:rsid w:val="00394966"/>
    <w:rsid w:val="00394D2B"/>
    <w:rsid w:val="003957D4"/>
    <w:rsid w:val="00395C66"/>
    <w:rsid w:val="00395F25"/>
    <w:rsid w:val="00395F63"/>
    <w:rsid w:val="003961EF"/>
    <w:rsid w:val="003979BD"/>
    <w:rsid w:val="003A0651"/>
    <w:rsid w:val="003A0CBF"/>
    <w:rsid w:val="003A179B"/>
    <w:rsid w:val="003A2209"/>
    <w:rsid w:val="003A2469"/>
    <w:rsid w:val="003A27EB"/>
    <w:rsid w:val="003A3269"/>
    <w:rsid w:val="003A39DA"/>
    <w:rsid w:val="003A3F71"/>
    <w:rsid w:val="003A3FD9"/>
    <w:rsid w:val="003A445A"/>
    <w:rsid w:val="003A4550"/>
    <w:rsid w:val="003A48B1"/>
    <w:rsid w:val="003A48C8"/>
    <w:rsid w:val="003A5117"/>
    <w:rsid w:val="003A54E8"/>
    <w:rsid w:val="003A5E0B"/>
    <w:rsid w:val="003A5EF9"/>
    <w:rsid w:val="003A6468"/>
    <w:rsid w:val="003A6DE8"/>
    <w:rsid w:val="003A71EF"/>
    <w:rsid w:val="003A7657"/>
    <w:rsid w:val="003A7C6F"/>
    <w:rsid w:val="003A7E2B"/>
    <w:rsid w:val="003B05B2"/>
    <w:rsid w:val="003B0BD4"/>
    <w:rsid w:val="003B0E20"/>
    <w:rsid w:val="003B0F7F"/>
    <w:rsid w:val="003B18AC"/>
    <w:rsid w:val="003B1B64"/>
    <w:rsid w:val="003B1DB4"/>
    <w:rsid w:val="003B2240"/>
    <w:rsid w:val="003B269B"/>
    <w:rsid w:val="003B3180"/>
    <w:rsid w:val="003B3A57"/>
    <w:rsid w:val="003B3C4B"/>
    <w:rsid w:val="003B4675"/>
    <w:rsid w:val="003B46F5"/>
    <w:rsid w:val="003B4736"/>
    <w:rsid w:val="003B4C98"/>
    <w:rsid w:val="003B513D"/>
    <w:rsid w:val="003B55AA"/>
    <w:rsid w:val="003B59B5"/>
    <w:rsid w:val="003B5A03"/>
    <w:rsid w:val="003B74BA"/>
    <w:rsid w:val="003B75D2"/>
    <w:rsid w:val="003B79D5"/>
    <w:rsid w:val="003C036B"/>
    <w:rsid w:val="003C0AF7"/>
    <w:rsid w:val="003C1248"/>
    <w:rsid w:val="003C1389"/>
    <w:rsid w:val="003C1E54"/>
    <w:rsid w:val="003C2111"/>
    <w:rsid w:val="003C2A2E"/>
    <w:rsid w:val="003C33A9"/>
    <w:rsid w:val="003C3F9D"/>
    <w:rsid w:val="003C4F68"/>
    <w:rsid w:val="003C57FE"/>
    <w:rsid w:val="003C6BC3"/>
    <w:rsid w:val="003C7275"/>
    <w:rsid w:val="003C7ACD"/>
    <w:rsid w:val="003C7BDB"/>
    <w:rsid w:val="003D02B3"/>
    <w:rsid w:val="003D06C6"/>
    <w:rsid w:val="003D127D"/>
    <w:rsid w:val="003D146B"/>
    <w:rsid w:val="003D1559"/>
    <w:rsid w:val="003D1E93"/>
    <w:rsid w:val="003D238F"/>
    <w:rsid w:val="003D2632"/>
    <w:rsid w:val="003D26F5"/>
    <w:rsid w:val="003D27EF"/>
    <w:rsid w:val="003D2A4C"/>
    <w:rsid w:val="003D3B1F"/>
    <w:rsid w:val="003D3D59"/>
    <w:rsid w:val="003D408F"/>
    <w:rsid w:val="003D4607"/>
    <w:rsid w:val="003D4BCA"/>
    <w:rsid w:val="003D4E1F"/>
    <w:rsid w:val="003D4E4E"/>
    <w:rsid w:val="003D5044"/>
    <w:rsid w:val="003D57B8"/>
    <w:rsid w:val="003D5B89"/>
    <w:rsid w:val="003D5F48"/>
    <w:rsid w:val="003D676D"/>
    <w:rsid w:val="003D68CD"/>
    <w:rsid w:val="003D6C96"/>
    <w:rsid w:val="003D6FB4"/>
    <w:rsid w:val="003D7D8C"/>
    <w:rsid w:val="003D7E77"/>
    <w:rsid w:val="003E0131"/>
    <w:rsid w:val="003E015E"/>
    <w:rsid w:val="003E02FC"/>
    <w:rsid w:val="003E03C0"/>
    <w:rsid w:val="003E0A16"/>
    <w:rsid w:val="003E1705"/>
    <w:rsid w:val="003E18FC"/>
    <w:rsid w:val="003E1B4A"/>
    <w:rsid w:val="003E207C"/>
    <w:rsid w:val="003E2D3B"/>
    <w:rsid w:val="003E30D6"/>
    <w:rsid w:val="003E3689"/>
    <w:rsid w:val="003E52F2"/>
    <w:rsid w:val="003E5CB3"/>
    <w:rsid w:val="003E6178"/>
    <w:rsid w:val="003E6213"/>
    <w:rsid w:val="003E7AD9"/>
    <w:rsid w:val="003F039B"/>
    <w:rsid w:val="003F0CC6"/>
    <w:rsid w:val="003F14E1"/>
    <w:rsid w:val="003F16B0"/>
    <w:rsid w:val="003F1737"/>
    <w:rsid w:val="003F1DA9"/>
    <w:rsid w:val="003F1FF2"/>
    <w:rsid w:val="003F31EC"/>
    <w:rsid w:val="003F3462"/>
    <w:rsid w:val="003F3581"/>
    <w:rsid w:val="003F49B0"/>
    <w:rsid w:val="003F4FA1"/>
    <w:rsid w:val="003F5088"/>
    <w:rsid w:val="003F53BC"/>
    <w:rsid w:val="003F54C8"/>
    <w:rsid w:val="003F586D"/>
    <w:rsid w:val="003F5989"/>
    <w:rsid w:val="003F689E"/>
    <w:rsid w:val="003F6EFF"/>
    <w:rsid w:val="003F715A"/>
    <w:rsid w:val="003F7381"/>
    <w:rsid w:val="003F77BD"/>
    <w:rsid w:val="003F7A5D"/>
    <w:rsid w:val="003F7B47"/>
    <w:rsid w:val="004002FB"/>
    <w:rsid w:val="00400719"/>
    <w:rsid w:val="004008E7"/>
    <w:rsid w:val="00400AD1"/>
    <w:rsid w:val="00401BE3"/>
    <w:rsid w:val="0040216D"/>
    <w:rsid w:val="00402E87"/>
    <w:rsid w:val="00403CFD"/>
    <w:rsid w:val="00403D55"/>
    <w:rsid w:val="00403EE9"/>
    <w:rsid w:val="00403F53"/>
    <w:rsid w:val="00404B63"/>
    <w:rsid w:val="00404B7C"/>
    <w:rsid w:val="00404C43"/>
    <w:rsid w:val="00404DB7"/>
    <w:rsid w:val="00405C24"/>
    <w:rsid w:val="0040655A"/>
    <w:rsid w:val="004070AB"/>
    <w:rsid w:val="004070DC"/>
    <w:rsid w:val="00410799"/>
    <w:rsid w:val="00410FA6"/>
    <w:rsid w:val="00411998"/>
    <w:rsid w:val="00411C7F"/>
    <w:rsid w:val="0041200A"/>
    <w:rsid w:val="0041222E"/>
    <w:rsid w:val="0041253F"/>
    <w:rsid w:val="0041306D"/>
    <w:rsid w:val="0041338E"/>
    <w:rsid w:val="00413EC5"/>
    <w:rsid w:val="004143E6"/>
    <w:rsid w:val="00414536"/>
    <w:rsid w:val="00415940"/>
    <w:rsid w:val="00415AA5"/>
    <w:rsid w:val="00415C56"/>
    <w:rsid w:val="00420624"/>
    <w:rsid w:val="00422324"/>
    <w:rsid w:val="0042282C"/>
    <w:rsid w:val="00423018"/>
    <w:rsid w:val="00423605"/>
    <w:rsid w:val="0042368E"/>
    <w:rsid w:val="00423751"/>
    <w:rsid w:val="00423A78"/>
    <w:rsid w:val="00423A82"/>
    <w:rsid w:val="00424181"/>
    <w:rsid w:val="004251BB"/>
    <w:rsid w:val="00425635"/>
    <w:rsid w:val="00425C97"/>
    <w:rsid w:val="00426B62"/>
    <w:rsid w:val="004271AA"/>
    <w:rsid w:val="00427447"/>
    <w:rsid w:val="00427563"/>
    <w:rsid w:val="004278CA"/>
    <w:rsid w:val="00427A2E"/>
    <w:rsid w:val="004302A5"/>
    <w:rsid w:val="004305E0"/>
    <w:rsid w:val="004306DD"/>
    <w:rsid w:val="0043136D"/>
    <w:rsid w:val="004318A1"/>
    <w:rsid w:val="00431900"/>
    <w:rsid w:val="00431BA9"/>
    <w:rsid w:val="00431E1D"/>
    <w:rsid w:val="00432D74"/>
    <w:rsid w:val="00432F6B"/>
    <w:rsid w:val="004331DE"/>
    <w:rsid w:val="004337D9"/>
    <w:rsid w:val="00434029"/>
    <w:rsid w:val="004342AF"/>
    <w:rsid w:val="00434347"/>
    <w:rsid w:val="0043493F"/>
    <w:rsid w:val="004350CF"/>
    <w:rsid w:val="00435F4A"/>
    <w:rsid w:val="00436BCB"/>
    <w:rsid w:val="0043766D"/>
    <w:rsid w:val="00437BB9"/>
    <w:rsid w:val="004401CE"/>
    <w:rsid w:val="004405F2"/>
    <w:rsid w:val="00440AC0"/>
    <w:rsid w:val="00440D09"/>
    <w:rsid w:val="00441108"/>
    <w:rsid w:val="00441FAA"/>
    <w:rsid w:val="00442137"/>
    <w:rsid w:val="0044229C"/>
    <w:rsid w:val="00443131"/>
    <w:rsid w:val="00443399"/>
    <w:rsid w:val="0044392B"/>
    <w:rsid w:val="004444D9"/>
    <w:rsid w:val="004447B9"/>
    <w:rsid w:val="0044481E"/>
    <w:rsid w:val="004455B8"/>
    <w:rsid w:val="00445801"/>
    <w:rsid w:val="00445EF3"/>
    <w:rsid w:val="00446AAB"/>
    <w:rsid w:val="00446DBA"/>
    <w:rsid w:val="004476B8"/>
    <w:rsid w:val="00447AB0"/>
    <w:rsid w:val="00450115"/>
    <w:rsid w:val="004519AD"/>
    <w:rsid w:val="00452F5B"/>
    <w:rsid w:val="00453B6A"/>
    <w:rsid w:val="00454022"/>
    <w:rsid w:val="00455B60"/>
    <w:rsid w:val="00456547"/>
    <w:rsid w:val="0045662C"/>
    <w:rsid w:val="00456705"/>
    <w:rsid w:val="0045699D"/>
    <w:rsid w:val="00456C60"/>
    <w:rsid w:val="00457B68"/>
    <w:rsid w:val="004602C2"/>
    <w:rsid w:val="00460D39"/>
    <w:rsid w:val="00460F97"/>
    <w:rsid w:val="004632E1"/>
    <w:rsid w:val="00463A33"/>
    <w:rsid w:val="00463CFC"/>
    <w:rsid w:val="0046406E"/>
    <w:rsid w:val="00464783"/>
    <w:rsid w:val="004652E6"/>
    <w:rsid w:val="00466604"/>
    <w:rsid w:val="00467114"/>
    <w:rsid w:val="00467394"/>
    <w:rsid w:val="0046739D"/>
    <w:rsid w:val="00467939"/>
    <w:rsid w:val="00467AD5"/>
    <w:rsid w:val="00467B3A"/>
    <w:rsid w:val="00470137"/>
    <w:rsid w:val="004703FB"/>
    <w:rsid w:val="004704AA"/>
    <w:rsid w:val="00470CFB"/>
    <w:rsid w:val="004718A5"/>
    <w:rsid w:val="00472136"/>
    <w:rsid w:val="00473049"/>
    <w:rsid w:val="00473D69"/>
    <w:rsid w:val="00474AFC"/>
    <w:rsid w:val="00474D3F"/>
    <w:rsid w:val="00475072"/>
    <w:rsid w:val="00475365"/>
    <w:rsid w:val="004753F2"/>
    <w:rsid w:val="004755F5"/>
    <w:rsid w:val="00475AF8"/>
    <w:rsid w:val="004761D7"/>
    <w:rsid w:val="00476A67"/>
    <w:rsid w:val="00476CE6"/>
    <w:rsid w:val="00477884"/>
    <w:rsid w:val="00477C81"/>
    <w:rsid w:val="0048046B"/>
    <w:rsid w:val="00480477"/>
    <w:rsid w:val="0048051F"/>
    <w:rsid w:val="004809C4"/>
    <w:rsid w:val="00480A5D"/>
    <w:rsid w:val="00480D11"/>
    <w:rsid w:val="00480E6C"/>
    <w:rsid w:val="00480E6F"/>
    <w:rsid w:val="004811FE"/>
    <w:rsid w:val="00481D76"/>
    <w:rsid w:val="00481E55"/>
    <w:rsid w:val="00481FC7"/>
    <w:rsid w:val="00482138"/>
    <w:rsid w:val="00482685"/>
    <w:rsid w:val="00482DEB"/>
    <w:rsid w:val="004830F1"/>
    <w:rsid w:val="0048356C"/>
    <w:rsid w:val="00484645"/>
    <w:rsid w:val="004857F6"/>
    <w:rsid w:val="00485CCC"/>
    <w:rsid w:val="00485D1A"/>
    <w:rsid w:val="00486378"/>
    <w:rsid w:val="004863D4"/>
    <w:rsid w:val="00486B13"/>
    <w:rsid w:val="0048722D"/>
    <w:rsid w:val="0049025A"/>
    <w:rsid w:val="0049044F"/>
    <w:rsid w:val="0049059C"/>
    <w:rsid w:val="0049103A"/>
    <w:rsid w:val="00491094"/>
    <w:rsid w:val="00491E28"/>
    <w:rsid w:val="00492586"/>
    <w:rsid w:val="00492670"/>
    <w:rsid w:val="00492B1F"/>
    <w:rsid w:val="00492BDB"/>
    <w:rsid w:val="004934F1"/>
    <w:rsid w:val="00493C29"/>
    <w:rsid w:val="00493C37"/>
    <w:rsid w:val="00494412"/>
    <w:rsid w:val="004944F8"/>
    <w:rsid w:val="0049456F"/>
    <w:rsid w:val="00494866"/>
    <w:rsid w:val="00494A92"/>
    <w:rsid w:val="0049556B"/>
    <w:rsid w:val="0049625B"/>
    <w:rsid w:val="004966FA"/>
    <w:rsid w:val="0049743C"/>
    <w:rsid w:val="004975F7"/>
    <w:rsid w:val="00497B80"/>
    <w:rsid w:val="004A0139"/>
    <w:rsid w:val="004A0184"/>
    <w:rsid w:val="004A0350"/>
    <w:rsid w:val="004A0988"/>
    <w:rsid w:val="004A0BB3"/>
    <w:rsid w:val="004A0BB9"/>
    <w:rsid w:val="004A0E26"/>
    <w:rsid w:val="004A12F7"/>
    <w:rsid w:val="004A1671"/>
    <w:rsid w:val="004A2290"/>
    <w:rsid w:val="004A31A4"/>
    <w:rsid w:val="004A33C4"/>
    <w:rsid w:val="004A3550"/>
    <w:rsid w:val="004A3562"/>
    <w:rsid w:val="004A3674"/>
    <w:rsid w:val="004A3BB2"/>
    <w:rsid w:val="004A3CB8"/>
    <w:rsid w:val="004A440C"/>
    <w:rsid w:val="004A44F7"/>
    <w:rsid w:val="004A477B"/>
    <w:rsid w:val="004A4919"/>
    <w:rsid w:val="004A52C0"/>
    <w:rsid w:val="004A52FD"/>
    <w:rsid w:val="004A6075"/>
    <w:rsid w:val="004A61A8"/>
    <w:rsid w:val="004A752B"/>
    <w:rsid w:val="004A788D"/>
    <w:rsid w:val="004A7E94"/>
    <w:rsid w:val="004B0233"/>
    <w:rsid w:val="004B0235"/>
    <w:rsid w:val="004B050C"/>
    <w:rsid w:val="004B0A78"/>
    <w:rsid w:val="004B0F56"/>
    <w:rsid w:val="004B1835"/>
    <w:rsid w:val="004B1B29"/>
    <w:rsid w:val="004B1B2A"/>
    <w:rsid w:val="004B27E6"/>
    <w:rsid w:val="004B29D4"/>
    <w:rsid w:val="004B2B78"/>
    <w:rsid w:val="004B2D48"/>
    <w:rsid w:val="004B2E5A"/>
    <w:rsid w:val="004B3E86"/>
    <w:rsid w:val="004B4D69"/>
    <w:rsid w:val="004B56C9"/>
    <w:rsid w:val="004B583C"/>
    <w:rsid w:val="004B5927"/>
    <w:rsid w:val="004B5C3C"/>
    <w:rsid w:val="004B6562"/>
    <w:rsid w:val="004B67C3"/>
    <w:rsid w:val="004B6EE9"/>
    <w:rsid w:val="004B7071"/>
    <w:rsid w:val="004B7492"/>
    <w:rsid w:val="004B78A0"/>
    <w:rsid w:val="004C05FA"/>
    <w:rsid w:val="004C0647"/>
    <w:rsid w:val="004C0E49"/>
    <w:rsid w:val="004C0F26"/>
    <w:rsid w:val="004C1039"/>
    <w:rsid w:val="004C163F"/>
    <w:rsid w:val="004C1881"/>
    <w:rsid w:val="004C22EB"/>
    <w:rsid w:val="004C27AA"/>
    <w:rsid w:val="004C2DF2"/>
    <w:rsid w:val="004C3099"/>
    <w:rsid w:val="004C3D89"/>
    <w:rsid w:val="004C3EF1"/>
    <w:rsid w:val="004C40F5"/>
    <w:rsid w:val="004C5314"/>
    <w:rsid w:val="004C5405"/>
    <w:rsid w:val="004C554C"/>
    <w:rsid w:val="004C5F7A"/>
    <w:rsid w:val="004C6EE6"/>
    <w:rsid w:val="004C7AA8"/>
    <w:rsid w:val="004D0206"/>
    <w:rsid w:val="004D09BA"/>
    <w:rsid w:val="004D1018"/>
    <w:rsid w:val="004D102C"/>
    <w:rsid w:val="004D1B54"/>
    <w:rsid w:val="004D22F8"/>
    <w:rsid w:val="004D2856"/>
    <w:rsid w:val="004D3427"/>
    <w:rsid w:val="004D3C4B"/>
    <w:rsid w:val="004D3EA5"/>
    <w:rsid w:val="004D418D"/>
    <w:rsid w:val="004D435C"/>
    <w:rsid w:val="004D439C"/>
    <w:rsid w:val="004D57A4"/>
    <w:rsid w:val="004D5BA0"/>
    <w:rsid w:val="004D5DCE"/>
    <w:rsid w:val="004D5EA2"/>
    <w:rsid w:val="004D6DCE"/>
    <w:rsid w:val="004E053E"/>
    <w:rsid w:val="004E17BC"/>
    <w:rsid w:val="004E1A2C"/>
    <w:rsid w:val="004E2D15"/>
    <w:rsid w:val="004E2E09"/>
    <w:rsid w:val="004E342B"/>
    <w:rsid w:val="004E53FC"/>
    <w:rsid w:val="004E5E42"/>
    <w:rsid w:val="004E60B7"/>
    <w:rsid w:val="004E6258"/>
    <w:rsid w:val="004E694F"/>
    <w:rsid w:val="004E7E5E"/>
    <w:rsid w:val="004E7FBB"/>
    <w:rsid w:val="004F008F"/>
    <w:rsid w:val="004F0295"/>
    <w:rsid w:val="004F1658"/>
    <w:rsid w:val="004F166D"/>
    <w:rsid w:val="004F1EE7"/>
    <w:rsid w:val="004F23E1"/>
    <w:rsid w:val="004F267D"/>
    <w:rsid w:val="004F2C0B"/>
    <w:rsid w:val="004F2C51"/>
    <w:rsid w:val="004F3233"/>
    <w:rsid w:val="004F37C8"/>
    <w:rsid w:val="004F4484"/>
    <w:rsid w:val="004F47AA"/>
    <w:rsid w:val="004F4847"/>
    <w:rsid w:val="004F535A"/>
    <w:rsid w:val="004F5459"/>
    <w:rsid w:val="004F65D9"/>
    <w:rsid w:val="004F6749"/>
    <w:rsid w:val="004F6FD2"/>
    <w:rsid w:val="004F7414"/>
    <w:rsid w:val="004F767F"/>
    <w:rsid w:val="00500B17"/>
    <w:rsid w:val="00501070"/>
    <w:rsid w:val="0050115B"/>
    <w:rsid w:val="005011D4"/>
    <w:rsid w:val="005015D7"/>
    <w:rsid w:val="0050186D"/>
    <w:rsid w:val="00501B57"/>
    <w:rsid w:val="00501C96"/>
    <w:rsid w:val="00502230"/>
    <w:rsid w:val="00502542"/>
    <w:rsid w:val="00502693"/>
    <w:rsid w:val="005026B4"/>
    <w:rsid w:val="00502A0D"/>
    <w:rsid w:val="00502B81"/>
    <w:rsid w:val="00503493"/>
    <w:rsid w:val="005035EB"/>
    <w:rsid w:val="0050379C"/>
    <w:rsid w:val="00503C3F"/>
    <w:rsid w:val="00503CB6"/>
    <w:rsid w:val="005045FE"/>
    <w:rsid w:val="00507046"/>
    <w:rsid w:val="005071A4"/>
    <w:rsid w:val="00507490"/>
    <w:rsid w:val="00507E27"/>
    <w:rsid w:val="00510A37"/>
    <w:rsid w:val="00511044"/>
    <w:rsid w:val="005114F6"/>
    <w:rsid w:val="00511EB1"/>
    <w:rsid w:val="005121BC"/>
    <w:rsid w:val="00512BA3"/>
    <w:rsid w:val="0051344C"/>
    <w:rsid w:val="005136B3"/>
    <w:rsid w:val="00513B9B"/>
    <w:rsid w:val="00513C22"/>
    <w:rsid w:val="005140D6"/>
    <w:rsid w:val="00514415"/>
    <w:rsid w:val="0051454E"/>
    <w:rsid w:val="00514CC9"/>
    <w:rsid w:val="0051531F"/>
    <w:rsid w:val="00515389"/>
    <w:rsid w:val="00515DCA"/>
    <w:rsid w:val="00515E5E"/>
    <w:rsid w:val="00517983"/>
    <w:rsid w:val="00517B1A"/>
    <w:rsid w:val="0052032E"/>
    <w:rsid w:val="00520714"/>
    <w:rsid w:val="00520983"/>
    <w:rsid w:val="00521D53"/>
    <w:rsid w:val="005223BE"/>
    <w:rsid w:val="00522712"/>
    <w:rsid w:val="00522D9C"/>
    <w:rsid w:val="00522E98"/>
    <w:rsid w:val="00523694"/>
    <w:rsid w:val="00523921"/>
    <w:rsid w:val="00523E23"/>
    <w:rsid w:val="00524187"/>
    <w:rsid w:val="005242FC"/>
    <w:rsid w:val="005245F9"/>
    <w:rsid w:val="005250A0"/>
    <w:rsid w:val="0052686C"/>
    <w:rsid w:val="005270AA"/>
    <w:rsid w:val="005271CB"/>
    <w:rsid w:val="005277DF"/>
    <w:rsid w:val="00527E22"/>
    <w:rsid w:val="005302F5"/>
    <w:rsid w:val="0053087B"/>
    <w:rsid w:val="00530CF5"/>
    <w:rsid w:val="005312A3"/>
    <w:rsid w:val="0053146F"/>
    <w:rsid w:val="00531817"/>
    <w:rsid w:val="00531FAC"/>
    <w:rsid w:val="0053266E"/>
    <w:rsid w:val="0053346F"/>
    <w:rsid w:val="005336E3"/>
    <w:rsid w:val="00535945"/>
    <w:rsid w:val="00535DC0"/>
    <w:rsid w:val="00536073"/>
    <w:rsid w:val="0053612F"/>
    <w:rsid w:val="00537057"/>
    <w:rsid w:val="005371D2"/>
    <w:rsid w:val="0053754D"/>
    <w:rsid w:val="0053775A"/>
    <w:rsid w:val="00537789"/>
    <w:rsid w:val="00540987"/>
    <w:rsid w:val="00541039"/>
    <w:rsid w:val="005411F8"/>
    <w:rsid w:val="0054201B"/>
    <w:rsid w:val="005433DE"/>
    <w:rsid w:val="00543794"/>
    <w:rsid w:val="00543F60"/>
    <w:rsid w:val="00544691"/>
    <w:rsid w:val="005447AE"/>
    <w:rsid w:val="00544EBB"/>
    <w:rsid w:val="0054514C"/>
    <w:rsid w:val="0054535C"/>
    <w:rsid w:val="0054599E"/>
    <w:rsid w:val="00545BB5"/>
    <w:rsid w:val="00545DD1"/>
    <w:rsid w:val="00546D21"/>
    <w:rsid w:val="005472AC"/>
    <w:rsid w:val="00547D21"/>
    <w:rsid w:val="00547E95"/>
    <w:rsid w:val="00550025"/>
    <w:rsid w:val="00550152"/>
    <w:rsid w:val="00550EA2"/>
    <w:rsid w:val="00551257"/>
    <w:rsid w:val="005512A7"/>
    <w:rsid w:val="0055146E"/>
    <w:rsid w:val="00551CB3"/>
    <w:rsid w:val="005521EC"/>
    <w:rsid w:val="00552589"/>
    <w:rsid w:val="005526E2"/>
    <w:rsid w:val="00552BF0"/>
    <w:rsid w:val="00552C4B"/>
    <w:rsid w:val="00552D9D"/>
    <w:rsid w:val="00553082"/>
    <w:rsid w:val="0055365D"/>
    <w:rsid w:val="00553A35"/>
    <w:rsid w:val="0055406A"/>
    <w:rsid w:val="00554938"/>
    <w:rsid w:val="00554B71"/>
    <w:rsid w:val="005551DD"/>
    <w:rsid w:val="005558BF"/>
    <w:rsid w:val="00556186"/>
    <w:rsid w:val="005565D7"/>
    <w:rsid w:val="00556D6B"/>
    <w:rsid w:val="00556F14"/>
    <w:rsid w:val="005572AF"/>
    <w:rsid w:val="0055748C"/>
    <w:rsid w:val="00557589"/>
    <w:rsid w:val="00557E36"/>
    <w:rsid w:val="00557E4D"/>
    <w:rsid w:val="0056071C"/>
    <w:rsid w:val="00560E3A"/>
    <w:rsid w:val="00561005"/>
    <w:rsid w:val="00561374"/>
    <w:rsid w:val="005616DD"/>
    <w:rsid w:val="00561E21"/>
    <w:rsid w:val="00562493"/>
    <w:rsid w:val="005625A8"/>
    <w:rsid w:val="00562619"/>
    <w:rsid w:val="00562B20"/>
    <w:rsid w:val="005633EB"/>
    <w:rsid w:val="00563D5F"/>
    <w:rsid w:val="00564124"/>
    <w:rsid w:val="0056436F"/>
    <w:rsid w:val="00564740"/>
    <w:rsid w:val="005647C1"/>
    <w:rsid w:val="00564867"/>
    <w:rsid w:val="00564B60"/>
    <w:rsid w:val="00564D7F"/>
    <w:rsid w:val="00565074"/>
    <w:rsid w:val="005652FD"/>
    <w:rsid w:val="00565637"/>
    <w:rsid w:val="00565664"/>
    <w:rsid w:val="00565D4B"/>
    <w:rsid w:val="00566894"/>
    <w:rsid w:val="0056721B"/>
    <w:rsid w:val="00567FDC"/>
    <w:rsid w:val="00570125"/>
    <w:rsid w:val="00570F7D"/>
    <w:rsid w:val="005715A4"/>
    <w:rsid w:val="00571799"/>
    <w:rsid w:val="005719B7"/>
    <w:rsid w:val="00571A89"/>
    <w:rsid w:val="005723EB"/>
    <w:rsid w:val="0057254C"/>
    <w:rsid w:val="005727D1"/>
    <w:rsid w:val="0057287E"/>
    <w:rsid w:val="0057294D"/>
    <w:rsid w:val="0057299F"/>
    <w:rsid w:val="00572FCA"/>
    <w:rsid w:val="005733B8"/>
    <w:rsid w:val="005746EB"/>
    <w:rsid w:val="00575977"/>
    <w:rsid w:val="00576A85"/>
    <w:rsid w:val="00576CDF"/>
    <w:rsid w:val="00576F8A"/>
    <w:rsid w:val="0057782C"/>
    <w:rsid w:val="005779D8"/>
    <w:rsid w:val="00577EA3"/>
    <w:rsid w:val="005803A0"/>
    <w:rsid w:val="0058054C"/>
    <w:rsid w:val="00580D96"/>
    <w:rsid w:val="005810BA"/>
    <w:rsid w:val="00581C72"/>
    <w:rsid w:val="00583259"/>
    <w:rsid w:val="005835F0"/>
    <w:rsid w:val="00583BB9"/>
    <w:rsid w:val="00583C85"/>
    <w:rsid w:val="00583D3B"/>
    <w:rsid w:val="005840BD"/>
    <w:rsid w:val="005847AC"/>
    <w:rsid w:val="00584E73"/>
    <w:rsid w:val="00584E85"/>
    <w:rsid w:val="00585237"/>
    <w:rsid w:val="005858FE"/>
    <w:rsid w:val="00585C57"/>
    <w:rsid w:val="00585E87"/>
    <w:rsid w:val="00585ECA"/>
    <w:rsid w:val="00586F25"/>
    <w:rsid w:val="00586F8E"/>
    <w:rsid w:val="00587FD9"/>
    <w:rsid w:val="00590212"/>
    <w:rsid w:val="00590944"/>
    <w:rsid w:val="00591A5A"/>
    <w:rsid w:val="00591E5A"/>
    <w:rsid w:val="005922B6"/>
    <w:rsid w:val="00592926"/>
    <w:rsid w:val="00592A2D"/>
    <w:rsid w:val="00592EDB"/>
    <w:rsid w:val="005939C3"/>
    <w:rsid w:val="00594AA8"/>
    <w:rsid w:val="00594F23"/>
    <w:rsid w:val="00594F68"/>
    <w:rsid w:val="00595268"/>
    <w:rsid w:val="00595464"/>
    <w:rsid w:val="00595591"/>
    <w:rsid w:val="00595D27"/>
    <w:rsid w:val="005963C7"/>
    <w:rsid w:val="00596600"/>
    <w:rsid w:val="00596FF6"/>
    <w:rsid w:val="0059714E"/>
    <w:rsid w:val="00597786"/>
    <w:rsid w:val="005A0046"/>
    <w:rsid w:val="005A07C1"/>
    <w:rsid w:val="005A0BCA"/>
    <w:rsid w:val="005A0E95"/>
    <w:rsid w:val="005A0FCC"/>
    <w:rsid w:val="005A188B"/>
    <w:rsid w:val="005A23DF"/>
    <w:rsid w:val="005A26BC"/>
    <w:rsid w:val="005A27CD"/>
    <w:rsid w:val="005A2AFF"/>
    <w:rsid w:val="005A3531"/>
    <w:rsid w:val="005A3742"/>
    <w:rsid w:val="005A3CDE"/>
    <w:rsid w:val="005A3FF0"/>
    <w:rsid w:val="005A4F06"/>
    <w:rsid w:val="005A4F0D"/>
    <w:rsid w:val="005A54D3"/>
    <w:rsid w:val="005A5866"/>
    <w:rsid w:val="005A59A4"/>
    <w:rsid w:val="005A66A3"/>
    <w:rsid w:val="005A710E"/>
    <w:rsid w:val="005A7954"/>
    <w:rsid w:val="005A7A5A"/>
    <w:rsid w:val="005A7D79"/>
    <w:rsid w:val="005B04B7"/>
    <w:rsid w:val="005B06C9"/>
    <w:rsid w:val="005B0E10"/>
    <w:rsid w:val="005B0E2F"/>
    <w:rsid w:val="005B1A53"/>
    <w:rsid w:val="005B1A5A"/>
    <w:rsid w:val="005B1BF1"/>
    <w:rsid w:val="005B1E3B"/>
    <w:rsid w:val="005B33C2"/>
    <w:rsid w:val="005B3836"/>
    <w:rsid w:val="005B38C9"/>
    <w:rsid w:val="005B41F8"/>
    <w:rsid w:val="005B56E5"/>
    <w:rsid w:val="005B59F3"/>
    <w:rsid w:val="005B6714"/>
    <w:rsid w:val="005B715C"/>
    <w:rsid w:val="005B7283"/>
    <w:rsid w:val="005B75E1"/>
    <w:rsid w:val="005C0E0C"/>
    <w:rsid w:val="005C145B"/>
    <w:rsid w:val="005C23E4"/>
    <w:rsid w:val="005C275D"/>
    <w:rsid w:val="005C28A7"/>
    <w:rsid w:val="005C2DD5"/>
    <w:rsid w:val="005C34D2"/>
    <w:rsid w:val="005C3C6C"/>
    <w:rsid w:val="005C40D4"/>
    <w:rsid w:val="005C44F5"/>
    <w:rsid w:val="005C4F4B"/>
    <w:rsid w:val="005C5EB8"/>
    <w:rsid w:val="005C6B4D"/>
    <w:rsid w:val="005C7C8D"/>
    <w:rsid w:val="005D0070"/>
    <w:rsid w:val="005D01EF"/>
    <w:rsid w:val="005D04B6"/>
    <w:rsid w:val="005D12D8"/>
    <w:rsid w:val="005D1A8F"/>
    <w:rsid w:val="005D2879"/>
    <w:rsid w:val="005D2C9A"/>
    <w:rsid w:val="005D3708"/>
    <w:rsid w:val="005D375F"/>
    <w:rsid w:val="005D3B76"/>
    <w:rsid w:val="005D3D5C"/>
    <w:rsid w:val="005D47A5"/>
    <w:rsid w:val="005D5131"/>
    <w:rsid w:val="005D5A01"/>
    <w:rsid w:val="005D5A14"/>
    <w:rsid w:val="005D5E5A"/>
    <w:rsid w:val="005D60CE"/>
    <w:rsid w:val="005D62B0"/>
    <w:rsid w:val="005D66B0"/>
    <w:rsid w:val="005D67AA"/>
    <w:rsid w:val="005D73D5"/>
    <w:rsid w:val="005E0936"/>
    <w:rsid w:val="005E1B0A"/>
    <w:rsid w:val="005E1CFC"/>
    <w:rsid w:val="005E29A3"/>
    <w:rsid w:val="005E30F6"/>
    <w:rsid w:val="005E31C1"/>
    <w:rsid w:val="005E3221"/>
    <w:rsid w:val="005E3498"/>
    <w:rsid w:val="005E3BFC"/>
    <w:rsid w:val="005E3D17"/>
    <w:rsid w:val="005E4D96"/>
    <w:rsid w:val="005E5CA0"/>
    <w:rsid w:val="005E74FD"/>
    <w:rsid w:val="005E7526"/>
    <w:rsid w:val="005E7A53"/>
    <w:rsid w:val="005F03FD"/>
    <w:rsid w:val="005F045D"/>
    <w:rsid w:val="005F138E"/>
    <w:rsid w:val="005F1843"/>
    <w:rsid w:val="005F1867"/>
    <w:rsid w:val="005F1B62"/>
    <w:rsid w:val="005F1BFD"/>
    <w:rsid w:val="005F240F"/>
    <w:rsid w:val="005F3C8A"/>
    <w:rsid w:val="005F43D9"/>
    <w:rsid w:val="005F44BE"/>
    <w:rsid w:val="005F4DB8"/>
    <w:rsid w:val="005F578D"/>
    <w:rsid w:val="005F5A23"/>
    <w:rsid w:val="005F629F"/>
    <w:rsid w:val="005F66BA"/>
    <w:rsid w:val="005F6A97"/>
    <w:rsid w:val="005F7256"/>
    <w:rsid w:val="005F72E6"/>
    <w:rsid w:val="005F73DF"/>
    <w:rsid w:val="005F76A8"/>
    <w:rsid w:val="005F7950"/>
    <w:rsid w:val="005F7BC3"/>
    <w:rsid w:val="005F7F74"/>
    <w:rsid w:val="00600BFA"/>
    <w:rsid w:val="00600E52"/>
    <w:rsid w:val="0060216B"/>
    <w:rsid w:val="00602498"/>
    <w:rsid w:val="006024B5"/>
    <w:rsid w:val="00602724"/>
    <w:rsid w:val="0060338B"/>
    <w:rsid w:val="00603832"/>
    <w:rsid w:val="006040FB"/>
    <w:rsid w:val="00604822"/>
    <w:rsid w:val="00604A45"/>
    <w:rsid w:val="00604F53"/>
    <w:rsid w:val="00605FD7"/>
    <w:rsid w:val="00606283"/>
    <w:rsid w:val="00606349"/>
    <w:rsid w:val="00607B01"/>
    <w:rsid w:val="00607EB2"/>
    <w:rsid w:val="0061078B"/>
    <w:rsid w:val="006114BC"/>
    <w:rsid w:val="00611648"/>
    <w:rsid w:val="00611C1A"/>
    <w:rsid w:val="006124D6"/>
    <w:rsid w:val="00612700"/>
    <w:rsid w:val="006129E5"/>
    <w:rsid w:val="0061371E"/>
    <w:rsid w:val="00613A41"/>
    <w:rsid w:val="006144D6"/>
    <w:rsid w:val="00614882"/>
    <w:rsid w:val="00615577"/>
    <w:rsid w:val="00615EAD"/>
    <w:rsid w:val="00616971"/>
    <w:rsid w:val="00617A0A"/>
    <w:rsid w:val="00617A12"/>
    <w:rsid w:val="00617C55"/>
    <w:rsid w:val="006200B1"/>
    <w:rsid w:val="00620D4C"/>
    <w:rsid w:val="006217D7"/>
    <w:rsid w:val="00621CB4"/>
    <w:rsid w:val="006221E5"/>
    <w:rsid w:val="006222E0"/>
    <w:rsid w:val="00622D1D"/>
    <w:rsid w:val="0062338C"/>
    <w:rsid w:val="0062356A"/>
    <w:rsid w:val="00623BBB"/>
    <w:rsid w:val="006253D9"/>
    <w:rsid w:val="006256FE"/>
    <w:rsid w:val="0062599A"/>
    <w:rsid w:val="00625B9E"/>
    <w:rsid w:val="00625FE1"/>
    <w:rsid w:val="00626005"/>
    <w:rsid w:val="00626226"/>
    <w:rsid w:val="00626962"/>
    <w:rsid w:val="00626CF7"/>
    <w:rsid w:val="006275C2"/>
    <w:rsid w:val="00627C86"/>
    <w:rsid w:val="00627F02"/>
    <w:rsid w:val="0063000F"/>
    <w:rsid w:val="0063065D"/>
    <w:rsid w:val="00630F91"/>
    <w:rsid w:val="00631508"/>
    <w:rsid w:val="00631F29"/>
    <w:rsid w:val="00631FF2"/>
    <w:rsid w:val="006320E2"/>
    <w:rsid w:val="006321A2"/>
    <w:rsid w:val="0063294F"/>
    <w:rsid w:val="006330D8"/>
    <w:rsid w:val="00633303"/>
    <w:rsid w:val="00633E39"/>
    <w:rsid w:val="00634059"/>
    <w:rsid w:val="006345EE"/>
    <w:rsid w:val="006352BC"/>
    <w:rsid w:val="00635776"/>
    <w:rsid w:val="00635A26"/>
    <w:rsid w:val="00635A3D"/>
    <w:rsid w:val="00636B72"/>
    <w:rsid w:val="00636E56"/>
    <w:rsid w:val="00637083"/>
    <w:rsid w:val="00637239"/>
    <w:rsid w:val="0063750C"/>
    <w:rsid w:val="00637FA7"/>
    <w:rsid w:val="00640035"/>
    <w:rsid w:val="00640436"/>
    <w:rsid w:val="006404A3"/>
    <w:rsid w:val="00640D7E"/>
    <w:rsid w:val="00642437"/>
    <w:rsid w:val="00642516"/>
    <w:rsid w:val="006429A9"/>
    <w:rsid w:val="00644037"/>
    <w:rsid w:val="00644149"/>
    <w:rsid w:val="006442A1"/>
    <w:rsid w:val="00644633"/>
    <w:rsid w:val="00644DA6"/>
    <w:rsid w:val="0064521E"/>
    <w:rsid w:val="00645273"/>
    <w:rsid w:val="00645952"/>
    <w:rsid w:val="00645A9E"/>
    <w:rsid w:val="00645BBD"/>
    <w:rsid w:val="00645CEE"/>
    <w:rsid w:val="00646C69"/>
    <w:rsid w:val="006472EE"/>
    <w:rsid w:val="00647438"/>
    <w:rsid w:val="00647952"/>
    <w:rsid w:val="00650CEF"/>
    <w:rsid w:val="00650E9D"/>
    <w:rsid w:val="00650EA0"/>
    <w:rsid w:val="00650FE4"/>
    <w:rsid w:val="006514D1"/>
    <w:rsid w:val="006518ED"/>
    <w:rsid w:val="00651991"/>
    <w:rsid w:val="00651D07"/>
    <w:rsid w:val="00651DFE"/>
    <w:rsid w:val="006523D2"/>
    <w:rsid w:val="006528A5"/>
    <w:rsid w:val="00652B78"/>
    <w:rsid w:val="00652EC5"/>
    <w:rsid w:val="006542A5"/>
    <w:rsid w:val="00654B74"/>
    <w:rsid w:val="00655036"/>
    <w:rsid w:val="0065569C"/>
    <w:rsid w:val="006559D9"/>
    <w:rsid w:val="00656243"/>
    <w:rsid w:val="006575A8"/>
    <w:rsid w:val="00657AB8"/>
    <w:rsid w:val="00657FF6"/>
    <w:rsid w:val="006609FA"/>
    <w:rsid w:val="00660E0A"/>
    <w:rsid w:val="006610E5"/>
    <w:rsid w:val="00661A01"/>
    <w:rsid w:val="00661D01"/>
    <w:rsid w:val="00661E79"/>
    <w:rsid w:val="0066253E"/>
    <w:rsid w:val="00663A3F"/>
    <w:rsid w:val="006646BC"/>
    <w:rsid w:val="006648B9"/>
    <w:rsid w:val="00665835"/>
    <w:rsid w:val="00665C38"/>
    <w:rsid w:val="00665E54"/>
    <w:rsid w:val="00665FB8"/>
    <w:rsid w:val="00666155"/>
    <w:rsid w:val="00666889"/>
    <w:rsid w:val="0066690D"/>
    <w:rsid w:val="00666A71"/>
    <w:rsid w:val="00666AB1"/>
    <w:rsid w:val="00666B3E"/>
    <w:rsid w:val="00667A73"/>
    <w:rsid w:val="00667D59"/>
    <w:rsid w:val="006707FF"/>
    <w:rsid w:val="006712D6"/>
    <w:rsid w:val="00671809"/>
    <w:rsid w:val="00672195"/>
    <w:rsid w:val="00672551"/>
    <w:rsid w:val="00673C2E"/>
    <w:rsid w:val="00673F83"/>
    <w:rsid w:val="00674355"/>
    <w:rsid w:val="00674441"/>
    <w:rsid w:val="006753F2"/>
    <w:rsid w:val="0067581C"/>
    <w:rsid w:val="006758BC"/>
    <w:rsid w:val="00675A2E"/>
    <w:rsid w:val="00675E10"/>
    <w:rsid w:val="0067606C"/>
    <w:rsid w:val="00676DCB"/>
    <w:rsid w:val="00676E50"/>
    <w:rsid w:val="00677569"/>
    <w:rsid w:val="006809BA"/>
    <w:rsid w:val="00680A8C"/>
    <w:rsid w:val="00680AD0"/>
    <w:rsid w:val="006818CB"/>
    <w:rsid w:val="006821B5"/>
    <w:rsid w:val="006822D6"/>
    <w:rsid w:val="006828FB"/>
    <w:rsid w:val="00684155"/>
    <w:rsid w:val="00684CDA"/>
    <w:rsid w:val="00686211"/>
    <w:rsid w:val="00686613"/>
    <w:rsid w:val="00686851"/>
    <w:rsid w:val="00687052"/>
    <w:rsid w:val="00687ACC"/>
    <w:rsid w:val="00687E0D"/>
    <w:rsid w:val="00690003"/>
    <w:rsid w:val="006901C9"/>
    <w:rsid w:val="006906D8"/>
    <w:rsid w:val="00691C0D"/>
    <w:rsid w:val="00692AF4"/>
    <w:rsid w:val="00692BF6"/>
    <w:rsid w:val="00693BB3"/>
    <w:rsid w:val="0069483C"/>
    <w:rsid w:val="006952E7"/>
    <w:rsid w:val="00695512"/>
    <w:rsid w:val="00696582"/>
    <w:rsid w:val="006966A4"/>
    <w:rsid w:val="006972EE"/>
    <w:rsid w:val="0069731A"/>
    <w:rsid w:val="00697A33"/>
    <w:rsid w:val="00697D64"/>
    <w:rsid w:val="00697DEB"/>
    <w:rsid w:val="006A0C95"/>
    <w:rsid w:val="006A0DA0"/>
    <w:rsid w:val="006A0DC0"/>
    <w:rsid w:val="006A1596"/>
    <w:rsid w:val="006A21E9"/>
    <w:rsid w:val="006A2758"/>
    <w:rsid w:val="006A2D23"/>
    <w:rsid w:val="006A38F6"/>
    <w:rsid w:val="006A3D6E"/>
    <w:rsid w:val="006A3EB4"/>
    <w:rsid w:val="006A40B7"/>
    <w:rsid w:val="006A462F"/>
    <w:rsid w:val="006A47F4"/>
    <w:rsid w:val="006A5396"/>
    <w:rsid w:val="006A59AC"/>
    <w:rsid w:val="006A5BE5"/>
    <w:rsid w:val="006A61CE"/>
    <w:rsid w:val="006A707B"/>
    <w:rsid w:val="006A70EE"/>
    <w:rsid w:val="006A720C"/>
    <w:rsid w:val="006A736E"/>
    <w:rsid w:val="006B0828"/>
    <w:rsid w:val="006B09D2"/>
    <w:rsid w:val="006B0DBD"/>
    <w:rsid w:val="006B10B5"/>
    <w:rsid w:val="006B1E8F"/>
    <w:rsid w:val="006B2985"/>
    <w:rsid w:val="006B2A90"/>
    <w:rsid w:val="006B3E0C"/>
    <w:rsid w:val="006B3ED4"/>
    <w:rsid w:val="006B429E"/>
    <w:rsid w:val="006B4B9E"/>
    <w:rsid w:val="006B5B6C"/>
    <w:rsid w:val="006B5CBB"/>
    <w:rsid w:val="006B6121"/>
    <w:rsid w:val="006B622E"/>
    <w:rsid w:val="006B62DB"/>
    <w:rsid w:val="006B7374"/>
    <w:rsid w:val="006B7482"/>
    <w:rsid w:val="006B7989"/>
    <w:rsid w:val="006B7F06"/>
    <w:rsid w:val="006B7FED"/>
    <w:rsid w:val="006C01AC"/>
    <w:rsid w:val="006C0698"/>
    <w:rsid w:val="006C0CB1"/>
    <w:rsid w:val="006C0EC2"/>
    <w:rsid w:val="006C1418"/>
    <w:rsid w:val="006C1A02"/>
    <w:rsid w:val="006C1E13"/>
    <w:rsid w:val="006C1FC8"/>
    <w:rsid w:val="006C243B"/>
    <w:rsid w:val="006C254D"/>
    <w:rsid w:val="006C3079"/>
    <w:rsid w:val="006C363B"/>
    <w:rsid w:val="006C3725"/>
    <w:rsid w:val="006C492C"/>
    <w:rsid w:val="006C4DBD"/>
    <w:rsid w:val="006C507B"/>
    <w:rsid w:val="006C518C"/>
    <w:rsid w:val="006C5C59"/>
    <w:rsid w:val="006C5E2B"/>
    <w:rsid w:val="006C6E25"/>
    <w:rsid w:val="006C794B"/>
    <w:rsid w:val="006D13CA"/>
    <w:rsid w:val="006D158D"/>
    <w:rsid w:val="006D17C6"/>
    <w:rsid w:val="006D296E"/>
    <w:rsid w:val="006D2F28"/>
    <w:rsid w:val="006D455F"/>
    <w:rsid w:val="006D50D8"/>
    <w:rsid w:val="006D530D"/>
    <w:rsid w:val="006D5636"/>
    <w:rsid w:val="006D5B39"/>
    <w:rsid w:val="006D615A"/>
    <w:rsid w:val="006D63B0"/>
    <w:rsid w:val="006D7A4E"/>
    <w:rsid w:val="006E0388"/>
    <w:rsid w:val="006E054A"/>
    <w:rsid w:val="006E0D39"/>
    <w:rsid w:val="006E0EDC"/>
    <w:rsid w:val="006E12FA"/>
    <w:rsid w:val="006E13F7"/>
    <w:rsid w:val="006E1D5D"/>
    <w:rsid w:val="006E1EB5"/>
    <w:rsid w:val="006E1F04"/>
    <w:rsid w:val="006E26BE"/>
    <w:rsid w:val="006E29C5"/>
    <w:rsid w:val="006E2B0A"/>
    <w:rsid w:val="006E2E59"/>
    <w:rsid w:val="006E3143"/>
    <w:rsid w:val="006E3265"/>
    <w:rsid w:val="006E4392"/>
    <w:rsid w:val="006E47B1"/>
    <w:rsid w:val="006E49D6"/>
    <w:rsid w:val="006E6652"/>
    <w:rsid w:val="006E7266"/>
    <w:rsid w:val="006E7722"/>
    <w:rsid w:val="006E7848"/>
    <w:rsid w:val="006E7AE6"/>
    <w:rsid w:val="006E7BD8"/>
    <w:rsid w:val="006E7CD2"/>
    <w:rsid w:val="006E7F36"/>
    <w:rsid w:val="006F0114"/>
    <w:rsid w:val="006F0F96"/>
    <w:rsid w:val="006F1E2E"/>
    <w:rsid w:val="006F2864"/>
    <w:rsid w:val="006F3AD3"/>
    <w:rsid w:val="006F428D"/>
    <w:rsid w:val="006F486A"/>
    <w:rsid w:val="006F4BC8"/>
    <w:rsid w:val="006F5CED"/>
    <w:rsid w:val="006F5D39"/>
    <w:rsid w:val="006F6480"/>
    <w:rsid w:val="006F663B"/>
    <w:rsid w:val="006F6D37"/>
    <w:rsid w:val="006F75FC"/>
    <w:rsid w:val="006F7759"/>
    <w:rsid w:val="006F77D1"/>
    <w:rsid w:val="006F7889"/>
    <w:rsid w:val="006F7CF3"/>
    <w:rsid w:val="00700D8C"/>
    <w:rsid w:val="007010A9"/>
    <w:rsid w:val="007024DC"/>
    <w:rsid w:val="0070360E"/>
    <w:rsid w:val="007036B1"/>
    <w:rsid w:val="00703F5D"/>
    <w:rsid w:val="007040BD"/>
    <w:rsid w:val="00704A43"/>
    <w:rsid w:val="00704CBB"/>
    <w:rsid w:val="00704E13"/>
    <w:rsid w:val="00704F93"/>
    <w:rsid w:val="00705415"/>
    <w:rsid w:val="007056ED"/>
    <w:rsid w:val="00705A51"/>
    <w:rsid w:val="0071015B"/>
    <w:rsid w:val="00710303"/>
    <w:rsid w:val="00710514"/>
    <w:rsid w:val="0071070E"/>
    <w:rsid w:val="0071077D"/>
    <w:rsid w:val="00710DBC"/>
    <w:rsid w:val="007110D8"/>
    <w:rsid w:val="00711797"/>
    <w:rsid w:val="007117E3"/>
    <w:rsid w:val="00711DC8"/>
    <w:rsid w:val="00712D05"/>
    <w:rsid w:val="00712F96"/>
    <w:rsid w:val="007138C5"/>
    <w:rsid w:val="007141AB"/>
    <w:rsid w:val="007143EB"/>
    <w:rsid w:val="007150FC"/>
    <w:rsid w:val="00715A5A"/>
    <w:rsid w:val="00715E79"/>
    <w:rsid w:val="007163FA"/>
    <w:rsid w:val="0071657D"/>
    <w:rsid w:val="00716A9C"/>
    <w:rsid w:val="0071712E"/>
    <w:rsid w:val="00717288"/>
    <w:rsid w:val="00717565"/>
    <w:rsid w:val="007175CD"/>
    <w:rsid w:val="007179F0"/>
    <w:rsid w:val="00720812"/>
    <w:rsid w:val="00721699"/>
    <w:rsid w:val="00721768"/>
    <w:rsid w:val="00721A53"/>
    <w:rsid w:val="00721BC8"/>
    <w:rsid w:val="00721C1B"/>
    <w:rsid w:val="00723A49"/>
    <w:rsid w:val="00723FA2"/>
    <w:rsid w:val="00725148"/>
    <w:rsid w:val="00725303"/>
    <w:rsid w:val="00725F08"/>
    <w:rsid w:val="00726B39"/>
    <w:rsid w:val="00726EE3"/>
    <w:rsid w:val="00731B06"/>
    <w:rsid w:val="00731F4B"/>
    <w:rsid w:val="00731F86"/>
    <w:rsid w:val="007321C0"/>
    <w:rsid w:val="00732252"/>
    <w:rsid w:val="00732334"/>
    <w:rsid w:val="0073239C"/>
    <w:rsid w:val="00732671"/>
    <w:rsid w:val="007328F3"/>
    <w:rsid w:val="00732F25"/>
    <w:rsid w:val="00732F4A"/>
    <w:rsid w:val="0073326A"/>
    <w:rsid w:val="0073334A"/>
    <w:rsid w:val="007336EA"/>
    <w:rsid w:val="00733ADA"/>
    <w:rsid w:val="00733EF2"/>
    <w:rsid w:val="00734A51"/>
    <w:rsid w:val="00734B3E"/>
    <w:rsid w:val="00734F74"/>
    <w:rsid w:val="0073519D"/>
    <w:rsid w:val="00735939"/>
    <w:rsid w:val="00735E43"/>
    <w:rsid w:val="00735FC7"/>
    <w:rsid w:val="00737221"/>
    <w:rsid w:val="00737227"/>
    <w:rsid w:val="0073757E"/>
    <w:rsid w:val="00737ED1"/>
    <w:rsid w:val="007401CE"/>
    <w:rsid w:val="007402DD"/>
    <w:rsid w:val="00740317"/>
    <w:rsid w:val="007404B8"/>
    <w:rsid w:val="007406F5"/>
    <w:rsid w:val="00740EC6"/>
    <w:rsid w:val="007419B0"/>
    <w:rsid w:val="00741FE1"/>
    <w:rsid w:val="0074250B"/>
    <w:rsid w:val="0074266E"/>
    <w:rsid w:val="00742C5C"/>
    <w:rsid w:val="00742E34"/>
    <w:rsid w:val="00742F8D"/>
    <w:rsid w:val="00743095"/>
    <w:rsid w:val="007443CD"/>
    <w:rsid w:val="00744448"/>
    <w:rsid w:val="00744515"/>
    <w:rsid w:val="00744D8F"/>
    <w:rsid w:val="007450AC"/>
    <w:rsid w:val="007455F4"/>
    <w:rsid w:val="007464E1"/>
    <w:rsid w:val="00746A69"/>
    <w:rsid w:val="00747277"/>
    <w:rsid w:val="00747C5A"/>
    <w:rsid w:val="00747D6E"/>
    <w:rsid w:val="007503E2"/>
    <w:rsid w:val="00750C65"/>
    <w:rsid w:val="0075115A"/>
    <w:rsid w:val="007527DE"/>
    <w:rsid w:val="00752B52"/>
    <w:rsid w:val="00752EE7"/>
    <w:rsid w:val="0075334A"/>
    <w:rsid w:val="0075483E"/>
    <w:rsid w:val="00754A55"/>
    <w:rsid w:val="007553C3"/>
    <w:rsid w:val="00756590"/>
    <w:rsid w:val="007565BC"/>
    <w:rsid w:val="00757626"/>
    <w:rsid w:val="00757CA2"/>
    <w:rsid w:val="00760051"/>
    <w:rsid w:val="007602DC"/>
    <w:rsid w:val="00760972"/>
    <w:rsid w:val="00760B23"/>
    <w:rsid w:val="0076172F"/>
    <w:rsid w:val="00761843"/>
    <w:rsid w:val="007625C9"/>
    <w:rsid w:val="00762717"/>
    <w:rsid w:val="00763BD6"/>
    <w:rsid w:val="00763CC0"/>
    <w:rsid w:val="0076432B"/>
    <w:rsid w:val="00764DEA"/>
    <w:rsid w:val="00764FC2"/>
    <w:rsid w:val="00765389"/>
    <w:rsid w:val="007654E6"/>
    <w:rsid w:val="00765585"/>
    <w:rsid w:val="00765998"/>
    <w:rsid w:val="00765DA4"/>
    <w:rsid w:val="007668DE"/>
    <w:rsid w:val="00767867"/>
    <w:rsid w:val="00767FFD"/>
    <w:rsid w:val="007706BC"/>
    <w:rsid w:val="0077119E"/>
    <w:rsid w:val="007711E6"/>
    <w:rsid w:val="00771332"/>
    <w:rsid w:val="00772B45"/>
    <w:rsid w:val="0077392B"/>
    <w:rsid w:val="0077497E"/>
    <w:rsid w:val="00775120"/>
    <w:rsid w:val="00775266"/>
    <w:rsid w:val="00775436"/>
    <w:rsid w:val="00775C2B"/>
    <w:rsid w:val="00776958"/>
    <w:rsid w:val="007773C5"/>
    <w:rsid w:val="00777710"/>
    <w:rsid w:val="00777F5B"/>
    <w:rsid w:val="00781893"/>
    <w:rsid w:val="00782282"/>
    <w:rsid w:val="0078238D"/>
    <w:rsid w:val="00782AB7"/>
    <w:rsid w:val="00783315"/>
    <w:rsid w:val="00783668"/>
    <w:rsid w:val="0078391A"/>
    <w:rsid w:val="00783A5E"/>
    <w:rsid w:val="00783F00"/>
    <w:rsid w:val="00784120"/>
    <w:rsid w:val="00784342"/>
    <w:rsid w:val="007844EE"/>
    <w:rsid w:val="007845FE"/>
    <w:rsid w:val="00784C4B"/>
    <w:rsid w:val="0078545A"/>
    <w:rsid w:val="00785CCC"/>
    <w:rsid w:val="00785D42"/>
    <w:rsid w:val="00786120"/>
    <w:rsid w:val="00786220"/>
    <w:rsid w:val="007863F7"/>
    <w:rsid w:val="007872D5"/>
    <w:rsid w:val="00787305"/>
    <w:rsid w:val="007900BF"/>
    <w:rsid w:val="00790128"/>
    <w:rsid w:val="0079023C"/>
    <w:rsid w:val="0079069A"/>
    <w:rsid w:val="00790940"/>
    <w:rsid w:val="0079138D"/>
    <w:rsid w:val="0079143C"/>
    <w:rsid w:val="00791A2D"/>
    <w:rsid w:val="00793207"/>
    <w:rsid w:val="00793569"/>
    <w:rsid w:val="0079399B"/>
    <w:rsid w:val="00793E48"/>
    <w:rsid w:val="007943E4"/>
    <w:rsid w:val="007958D9"/>
    <w:rsid w:val="00796EB4"/>
    <w:rsid w:val="00797053"/>
    <w:rsid w:val="00797A86"/>
    <w:rsid w:val="00797B93"/>
    <w:rsid w:val="00797FD9"/>
    <w:rsid w:val="007A06E7"/>
    <w:rsid w:val="007A0BBB"/>
    <w:rsid w:val="007A219C"/>
    <w:rsid w:val="007A259A"/>
    <w:rsid w:val="007A2AF7"/>
    <w:rsid w:val="007A2B31"/>
    <w:rsid w:val="007A3155"/>
    <w:rsid w:val="007A34E6"/>
    <w:rsid w:val="007A3EBA"/>
    <w:rsid w:val="007A40D6"/>
    <w:rsid w:val="007A44D0"/>
    <w:rsid w:val="007A4A7B"/>
    <w:rsid w:val="007A5747"/>
    <w:rsid w:val="007A57EB"/>
    <w:rsid w:val="007A5B29"/>
    <w:rsid w:val="007A5B44"/>
    <w:rsid w:val="007A67D3"/>
    <w:rsid w:val="007A68E7"/>
    <w:rsid w:val="007A7406"/>
    <w:rsid w:val="007A7489"/>
    <w:rsid w:val="007A7E89"/>
    <w:rsid w:val="007B0472"/>
    <w:rsid w:val="007B0838"/>
    <w:rsid w:val="007B095A"/>
    <w:rsid w:val="007B095C"/>
    <w:rsid w:val="007B0B76"/>
    <w:rsid w:val="007B0D1E"/>
    <w:rsid w:val="007B0F16"/>
    <w:rsid w:val="007B15FF"/>
    <w:rsid w:val="007B35B9"/>
    <w:rsid w:val="007B3FEB"/>
    <w:rsid w:val="007B44CD"/>
    <w:rsid w:val="007B4651"/>
    <w:rsid w:val="007B4C8E"/>
    <w:rsid w:val="007B4CDE"/>
    <w:rsid w:val="007B53A7"/>
    <w:rsid w:val="007B5AB0"/>
    <w:rsid w:val="007B6DF9"/>
    <w:rsid w:val="007B74B7"/>
    <w:rsid w:val="007B798A"/>
    <w:rsid w:val="007B7E1D"/>
    <w:rsid w:val="007C05B4"/>
    <w:rsid w:val="007C0E4B"/>
    <w:rsid w:val="007C129B"/>
    <w:rsid w:val="007C16AB"/>
    <w:rsid w:val="007C19D0"/>
    <w:rsid w:val="007C1D0A"/>
    <w:rsid w:val="007C22D9"/>
    <w:rsid w:val="007C2918"/>
    <w:rsid w:val="007C2B10"/>
    <w:rsid w:val="007C3567"/>
    <w:rsid w:val="007C3C1C"/>
    <w:rsid w:val="007C40DC"/>
    <w:rsid w:val="007C43A7"/>
    <w:rsid w:val="007C44CD"/>
    <w:rsid w:val="007C4996"/>
    <w:rsid w:val="007C4F8B"/>
    <w:rsid w:val="007C58FD"/>
    <w:rsid w:val="007C66F8"/>
    <w:rsid w:val="007C6A31"/>
    <w:rsid w:val="007C6D7C"/>
    <w:rsid w:val="007C728A"/>
    <w:rsid w:val="007C752A"/>
    <w:rsid w:val="007C77A2"/>
    <w:rsid w:val="007C7D36"/>
    <w:rsid w:val="007C7EF5"/>
    <w:rsid w:val="007D0442"/>
    <w:rsid w:val="007D11AA"/>
    <w:rsid w:val="007D172C"/>
    <w:rsid w:val="007D1774"/>
    <w:rsid w:val="007D1893"/>
    <w:rsid w:val="007D34FD"/>
    <w:rsid w:val="007D3C40"/>
    <w:rsid w:val="007D3CB6"/>
    <w:rsid w:val="007D3ED6"/>
    <w:rsid w:val="007D4056"/>
    <w:rsid w:val="007D4124"/>
    <w:rsid w:val="007D4BEA"/>
    <w:rsid w:val="007D54D5"/>
    <w:rsid w:val="007D5900"/>
    <w:rsid w:val="007D5931"/>
    <w:rsid w:val="007D6055"/>
    <w:rsid w:val="007D63F0"/>
    <w:rsid w:val="007D77BB"/>
    <w:rsid w:val="007D780B"/>
    <w:rsid w:val="007D79E1"/>
    <w:rsid w:val="007E024E"/>
    <w:rsid w:val="007E0492"/>
    <w:rsid w:val="007E04BE"/>
    <w:rsid w:val="007E2600"/>
    <w:rsid w:val="007E33F7"/>
    <w:rsid w:val="007E3D0F"/>
    <w:rsid w:val="007E42F9"/>
    <w:rsid w:val="007E4745"/>
    <w:rsid w:val="007E48EB"/>
    <w:rsid w:val="007E4DC5"/>
    <w:rsid w:val="007E4E7E"/>
    <w:rsid w:val="007E4EB2"/>
    <w:rsid w:val="007E518C"/>
    <w:rsid w:val="007E5339"/>
    <w:rsid w:val="007E5BB2"/>
    <w:rsid w:val="007E5F23"/>
    <w:rsid w:val="007E60E8"/>
    <w:rsid w:val="007E6976"/>
    <w:rsid w:val="007E6CDB"/>
    <w:rsid w:val="007E79AE"/>
    <w:rsid w:val="007E7FE6"/>
    <w:rsid w:val="007F02B7"/>
    <w:rsid w:val="007F0D71"/>
    <w:rsid w:val="007F18DC"/>
    <w:rsid w:val="007F1E95"/>
    <w:rsid w:val="007F218A"/>
    <w:rsid w:val="007F271B"/>
    <w:rsid w:val="007F304A"/>
    <w:rsid w:val="007F31BD"/>
    <w:rsid w:val="007F3A75"/>
    <w:rsid w:val="007F4399"/>
    <w:rsid w:val="007F57FD"/>
    <w:rsid w:val="007F6385"/>
    <w:rsid w:val="007F6738"/>
    <w:rsid w:val="007F6A75"/>
    <w:rsid w:val="007F70ED"/>
    <w:rsid w:val="007F7DE0"/>
    <w:rsid w:val="0080097F"/>
    <w:rsid w:val="00800F49"/>
    <w:rsid w:val="008015DD"/>
    <w:rsid w:val="00801621"/>
    <w:rsid w:val="00801A6E"/>
    <w:rsid w:val="00801ADF"/>
    <w:rsid w:val="00801DC2"/>
    <w:rsid w:val="00801EA9"/>
    <w:rsid w:val="00801F40"/>
    <w:rsid w:val="00802096"/>
    <w:rsid w:val="008022FA"/>
    <w:rsid w:val="008023BD"/>
    <w:rsid w:val="0080258E"/>
    <w:rsid w:val="0080274C"/>
    <w:rsid w:val="00802938"/>
    <w:rsid w:val="00802AAA"/>
    <w:rsid w:val="00802D55"/>
    <w:rsid w:val="00803066"/>
    <w:rsid w:val="008046CC"/>
    <w:rsid w:val="00804D29"/>
    <w:rsid w:val="00804D2E"/>
    <w:rsid w:val="0080603D"/>
    <w:rsid w:val="0080688E"/>
    <w:rsid w:val="00806A37"/>
    <w:rsid w:val="00806BB0"/>
    <w:rsid w:val="0080702B"/>
    <w:rsid w:val="008072C9"/>
    <w:rsid w:val="00807874"/>
    <w:rsid w:val="00807E54"/>
    <w:rsid w:val="00807E69"/>
    <w:rsid w:val="0081036A"/>
    <w:rsid w:val="00810CCC"/>
    <w:rsid w:val="00810E90"/>
    <w:rsid w:val="00810F5E"/>
    <w:rsid w:val="008126B8"/>
    <w:rsid w:val="0081309B"/>
    <w:rsid w:val="00813116"/>
    <w:rsid w:val="00813404"/>
    <w:rsid w:val="008138DC"/>
    <w:rsid w:val="00814151"/>
    <w:rsid w:val="0081418D"/>
    <w:rsid w:val="00814B22"/>
    <w:rsid w:val="00814EED"/>
    <w:rsid w:val="0081526E"/>
    <w:rsid w:val="008156BF"/>
    <w:rsid w:val="00815810"/>
    <w:rsid w:val="00815B81"/>
    <w:rsid w:val="008167B0"/>
    <w:rsid w:val="00816AF0"/>
    <w:rsid w:val="00817981"/>
    <w:rsid w:val="008200CF"/>
    <w:rsid w:val="00820203"/>
    <w:rsid w:val="00820530"/>
    <w:rsid w:val="00820D27"/>
    <w:rsid w:val="00820D95"/>
    <w:rsid w:val="00821401"/>
    <w:rsid w:val="00821829"/>
    <w:rsid w:val="00821C61"/>
    <w:rsid w:val="00821CF4"/>
    <w:rsid w:val="00822437"/>
    <w:rsid w:val="00823209"/>
    <w:rsid w:val="00823407"/>
    <w:rsid w:val="008236AD"/>
    <w:rsid w:val="0082371E"/>
    <w:rsid w:val="0082396B"/>
    <w:rsid w:val="0082420D"/>
    <w:rsid w:val="008249E4"/>
    <w:rsid w:val="00824EF0"/>
    <w:rsid w:val="0082603A"/>
    <w:rsid w:val="008263A2"/>
    <w:rsid w:val="008263AE"/>
    <w:rsid w:val="00826AD6"/>
    <w:rsid w:val="008271E3"/>
    <w:rsid w:val="008276E1"/>
    <w:rsid w:val="00827CD2"/>
    <w:rsid w:val="008302B6"/>
    <w:rsid w:val="008305AE"/>
    <w:rsid w:val="00830A39"/>
    <w:rsid w:val="00830D5B"/>
    <w:rsid w:val="00830DEB"/>
    <w:rsid w:val="00830EF0"/>
    <w:rsid w:val="00831979"/>
    <w:rsid w:val="00832251"/>
    <w:rsid w:val="00832577"/>
    <w:rsid w:val="008329FB"/>
    <w:rsid w:val="00832C51"/>
    <w:rsid w:val="00833274"/>
    <w:rsid w:val="00833709"/>
    <w:rsid w:val="008337E5"/>
    <w:rsid w:val="008339CD"/>
    <w:rsid w:val="00833B84"/>
    <w:rsid w:val="0083474B"/>
    <w:rsid w:val="00834D2F"/>
    <w:rsid w:val="00835B2C"/>
    <w:rsid w:val="00835EF6"/>
    <w:rsid w:val="00835F3F"/>
    <w:rsid w:val="00836870"/>
    <w:rsid w:val="008369AA"/>
    <w:rsid w:val="00836F61"/>
    <w:rsid w:val="00837919"/>
    <w:rsid w:val="00840C62"/>
    <w:rsid w:val="00841307"/>
    <w:rsid w:val="00842ECC"/>
    <w:rsid w:val="00842EE8"/>
    <w:rsid w:val="00843345"/>
    <w:rsid w:val="00843D36"/>
    <w:rsid w:val="00843FA8"/>
    <w:rsid w:val="00844AC7"/>
    <w:rsid w:val="00844EE4"/>
    <w:rsid w:val="0084537D"/>
    <w:rsid w:val="00845B03"/>
    <w:rsid w:val="00845F9F"/>
    <w:rsid w:val="0084673A"/>
    <w:rsid w:val="00846809"/>
    <w:rsid w:val="00846839"/>
    <w:rsid w:val="00846E06"/>
    <w:rsid w:val="00847987"/>
    <w:rsid w:val="00847F99"/>
    <w:rsid w:val="00850F2D"/>
    <w:rsid w:val="008514F4"/>
    <w:rsid w:val="00851DC4"/>
    <w:rsid w:val="00851F73"/>
    <w:rsid w:val="00852130"/>
    <w:rsid w:val="0085252C"/>
    <w:rsid w:val="00853BD7"/>
    <w:rsid w:val="00853F56"/>
    <w:rsid w:val="0085475E"/>
    <w:rsid w:val="008551C7"/>
    <w:rsid w:val="008557E9"/>
    <w:rsid w:val="00855837"/>
    <w:rsid w:val="00855AA9"/>
    <w:rsid w:val="00855B30"/>
    <w:rsid w:val="00857203"/>
    <w:rsid w:val="00860040"/>
    <w:rsid w:val="00861207"/>
    <w:rsid w:val="00861485"/>
    <w:rsid w:val="008615E4"/>
    <w:rsid w:val="00861B4B"/>
    <w:rsid w:val="00861C83"/>
    <w:rsid w:val="00861DCB"/>
    <w:rsid w:val="00862446"/>
    <w:rsid w:val="00862CC1"/>
    <w:rsid w:val="00862CDB"/>
    <w:rsid w:val="00863791"/>
    <w:rsid w:val="00864135"/>
    <w:rsid w:val="008641F1"/>
    <w:rsid w:val="008650CE"/>
    <w:rsid w:val="00865915"/>
    <w:rsid w:val="00867968"/>
    <w:rsid w:val="00867C4E"/>
    <w:rsid w:val="008702A5"/>
    <w:rsid w:val="0087079F"/>
    <w:rsid w:val="00870976"/>
    <w:rsid w:val="0087098C"/>
    <w:rsid w:val="00870C96"/>
    <w:rsid w:val="00870FA5"/>
    <w:rsid w:val="00871146"/>
    <w:rsid w:val="00872D42"/>
    <w:rsid w:val="00873041"/>
    <w:rsid w:val="00873105"/>
    <w:rsid w:val="0087314D"/>
    <w:rsid w:val="0087375C"/>
    <w:rsid w:val="00873797"/>
    <w:rsid w:val="00873C7B"/>
    <w:rsid w:val="00873F25"/>
    <w:rsid w:val="00874560"/>
    <w:rsid w:val="008745D0"/>
    <w:rsid w:val="00874793"/>
    <w:rsid w:val="00874DDF"/>
    <w:rsid w:val="00875397"/>
    <w:rsid w:val="00876153"/>
    <w:rsid w:val="0087652F"/>
    <w:rsid w:val="00876599"/>
    <w:rsid w:val="008771BD"/>
    <w:rsid w:val="0087756A"/>
    <w:rsid w:val="00880E12"/>
    <w:rsid w:val="00881F0D"/>
    <w:rsid w:val="008824F2"/>
    <w:rsid w:val="008827FC"/>
    <w:rsid w:val="008838D9"/>
    <w:rsid w:val="00883BFD"/>
    <w:rsid w:val="00883E10"/>
    <w:rsid w:val="0088484E"/>
    <w:rsid w:val="008848EF"/>
    <w:rsid w:val="0088498F"/>
    <w:rsid w:val="00884BF5"/>
    <w:rsid w:val="00884FB9"/>
    <w:rsid w:val="008858DC"/>
    <w:rsid w:val="00885E86"/>
    <w:rsid w:val="008864AD"/>
    <w:rsid w:val="00886843"/>
    <w:rsid w:val="00886D3A"/>
    <w:rsid w:val="0089028D"/>
    <w:rsid w:val="008902F8"/>
    <w:rsid w:val="008917C2"/>
    <w:rsid w:val="00891BC1"/>
    <w:rsid w:val="008927C5"/>
    <w:rsid w:val="0089294F"/>
    <w:rsid w:val="00892CC0"/>
    <w:rsid w:val="00892D3B"/>
    <w:rsid w:val="00892E56"/>
    <w:rsid w:val="008933E2"/>
    <w:rsid w:val="0089341D"/>
    <w:rsid w:val="0089370F"/>
    <w:rsid w:val="00893EBD"/>
    <w:rsid w:val="008942BE"/>
    <w:rsid w:val="0089432F"/>
    <w:rsid w:val="008944F9"/>
    <w:rsid w:val="00895696"/>
    <w:rsid w:val="00895D5B"/>
    <w:rsid w:val="00895D6D"/>
    <w:rsid w:val="00895FDF"/>
    <w:rsid w:val="0089691C"/>
    <w:rsid w:val="00896B96"/>
    <w:rsid w:val="0089779A"/>
    <w:rsid w:val="008A14BE"/>
    <w:rsid w:val="008A169F"/>
    <w:rsid w:val="008A187A"/>
    <w:rsid w:val="008A1C13"/>
    <w:rsid w:val="008A200E"/>
    <w:rsid w:val="008A212B"/>
    <w:rsid w:val="008A2238"/>
    <w:rsid w:val="008A2CAD"/>
    <w:rsid w:val="008A32CF"/>
    <w:rsid w:val="008A3D5D"/>
    <w:rsid w:val="008A43FF"/>
    <w:rsid w:val="008A57B2"/>
    <w:rsid w:val="008A5A1B"/>
    <w:rsid w:val="008A5B56"/>
    <w:rsid w:val="008A5B8D"/>
    <w:rsid w:val="008A6030"/>
    <w:rsid w:val="008A64F1"/>
    <w:rsid w:val="008A6DD0"/>
    <w:rsid w:val="008A75C2"/>
    <w:rsid w:val="008B00FC"/>
    <w:rsid w:val="008B0259"/>
    <w:rsid w:val="008B028A"/>
    <w:rsid w:val="008B0DE7"/>
    <w:rsid w:val="008B0E6C"/>
    <w:rsid w:val="008B222F"/>
    <w:rsid w:val="008B2AEF"/>
    <w:rsid w:val="008B3169"/>
    <w:rsid w:val="008B33BB"/>
    <w:rsid w:val="008B3B36"/>
    <w:rsid w:val="008B3DA0"/>
    <w:rsid w:val="008B44D7"/>
    <w:rsid w:val="008B4CE4"/>
    <w:rsid w:val="008B5563"/>
    <w:rsid w:val="008B57CA"/>
    <w:rsid w:val="008B5B05"/>
    <w:rsid w:val="008B6597"/>
    <w:rsid w:val="008B6B6D"/>
    <w:rsid w:val="008B6C8D"/>
    <w:rsid w:val="008B79AD"/>
    <w:rsid w:val="008B7AD8"/>
    <w:rsid w:val="008B7D9F"/>
    <w:rsid w:val="008C07A4"/>
    <w:rsid w:val="008C0AFF"/>
    <w:rsid w:val="008C0BF5"/>
    <w:rsid w:val="008C1009"/>
    <w:rsid w:val="008C11B2"/>
    <w:rsid w:val="008C1222"/>
    <w:rsid w:val="008C15C2"/>
    <w:rsid w:val="008C1BB9"/>
    <w:rsid w:val="008C299E"/>
    <w:rsid w:val="008C3CC7"/>
    <w:rsid w:val="008C3E99"/>
    <w:rsid w:val="008C4BBA"/>
    <w:rsid w:val="008C4C29"/>
    <w:rsid w:val="008C55D0"/>
    <w:rsid w:val="008C5976"/>
    <w:rsid w:val="008C63A0"/>
    <w:rsid w:val="008C6DF3"/>
    <w:rsid w:val="008D13E7"/>
    <w:rsid w:val="008D13FE"/>
    <w:rsid w:val="008D15CF"/>
    <w:rsid w:val="008D1A7D"/>
    <w:rsid w:val="008D2037"/>
    <w:rsid w:val="008D251D"/>
    <w:rsid w:val="008D261D"/>
    <w:rsid w:val="008D2A0C"/>
    <w:rsid w:val="008D319D"/>
    <w:rsid w:val="008D451B"/>
    <w:rsid w:val="008D4E3A"/>
    <w:rsid w:val="008D55C7"/>
    <w:rsid w:val="008D5949"/>
    <w:rsid w:val="008D5E43"/>
    <w:rsid w:val="008D5FE2"/>
    <w:rsid w:val="008D6D4C"/>
    <w:rsid w:val="008D73CF"/>
    <w:rsid w:val="008D78CC"/>
    <w:rsid w:val="008D7CB3"/>
    <w:rsid w:val="008E0105"/>
    <w:rsid w:val="008E04FB"/>
    <w:rsid w:val="008E0564"/>
    <w:rsid w:val="008E13B6"/>
    <w:rsid w:val="008E1540"/>
    <w:rsid w:val="008E19DE"/>
    <w:rsid w:val="008E21A3"/>
    <w:rsid w:val="008E297B"/>
    <w:rsid w:val="008E2EC9"/>
    <w:rsid w:val="008E3192"/>
    <w:rsid w:val="008E3921"/>
    <w:rsid w:val="008E39E7"/>
    <w:rsid w:val="008E3FFB"/>
    <w:rsid w:val="008E4243"/>
    <w:rsid w:val="008E490C"/>
    <w:rsid w:val="008E4F8A"/>
    <w:rsid w:val="008E6B44"/>
    <w:rsid w:val="008E7603"/>
    <w:rsid w:val="008E7744"/>
    <w:rsid w:val="008E7B5A"/>
    <w:rsid w:val="008F0C5C"/>
    <w:rsid w:val="008F0F92"/>
    <w:rsid w:val="008F12D6"/>
    <w:rsid w:val="008F149D"/>
    <w:rsid w:val="008F1B4A"/>
    <w:rsid w:val="008F23B1"/>
    <w:rsid w:val="008F2AF4"/>
    <w:rsid w:val="008F2C13"/>
    <w:rsid w:val="008F3304"/>
    <w:rsid w:val="008F348F"/>
    <w:rsid w:val="008F34A2"/>
    <w:rsid w:val="008F4343"/>
    <w:rsid w:val="008F4B7E"/>
    <w:rsid w:val="008F5225"/>
    <w:rsid w:val="008F52D3"/>
    <w:rsid w:val="008F5BF1"/>
    <w:rsid w:val="008F663B"/>
    <w:rsid w:val="008F694B"/>
    <w:rsid w:val="008F6E15"/>
    <w:rsid w:val="008F73A8"/>
    <w:rsid w:val="00900EBB"/>
    <w:rsid w:val="00900FD4"/>
    <w:rsid w:val="0090132C"/>
    <w:rsid w:val="009013FD"/>
    <w:rsid w:val="0090172E"/>
    <w:rsid w:val="00901C93"/>
    <w:rsid w:val="009023BE"/>
    <w:rsid w:val="009027EB"/>
    <w:rsid w:val="00902FF1"/>
    <w:rsid w:val="009036F0"/>
    <w:rsid w:val="00903A70"/>
    <w:rsid w:val="00903BEF"/>
    <w:rsid w:val="00904B45"/>
    <w:rsid w:val="009051FF"/>
    <w:rsid w:val="00905718"/>
    <w:rsid w:val="00905886"/>
    <w:rsid w:val="00905BF2"/>
    <w:rsid w:val="009068F2"/>
    <w:rsid w:val="00907040"/>
    <w:rsid w:val="00911598"/>
    <w:rsid w:val="00911FD3"/>
    <w:rsid w:val="009132C8"/>
    <w:rsid w:val="009135DB"/>
    <w:rsid w:val="009138B9"/>
    <w:rsid w:val="00913996"/>
    <w:rsid w:val="00914305"/>
    <w:rsid w:val="009143D9"/>
    <w:rsid w:val="00914720"/>
    <w:rsid w:val="009148D5"/>
    <w:rsid w:val="009149F3"/>
    <w:rsid w:val="00914BDC"/>
    <w:rsid w:val="0091571D"/>
    <w:rsid w:val="00915841"/>
    <w:rsid w:val="00915B3E"/>
    <w:rsid w:val="00915BBA"/>
    <w:rsid w:val="00916017"/>
    <w:rsid w:val="00916234"/>
    <w:rsid w:val="00917244"/>
    <w:rsid w:val="00917487"/>
    <w:rsid w:val="009175CA"/>
    <w:rsid w:val="00917730"/>
    <w:rsid w:val="00917840"/>
    <w:rsid w:val="0092004A"/>
    <w:rsid w:val="009201CA"/>
    <w:rsid w:val="009205BB"/>
    <w:rsid w:val="00920647"/>
    <w:rsid w:val="00920654"/>
    <w:rsid w:val="00920676"/>
    <w:rsid w:val="00920DB6"/>
    <w:rsid w:val="0092103F"/>
    <w:rsid w:val="0092135F"/>
    <w:rsid w:val="009217D3"/>
    <w:rsid w:val="00921CC7"/>
    <w:rsid w:val="00922263"/>
    <w:rsid w:val="00922A50"/>
    <w:rsid w:val="0092393F"/>
    <w:rsid w:val="00923FD9"/>
    <w:rsid w:val="009241AB"/>
    <w:rsid w:val="0092445E"/>
    <w:rsid w:val="0092457A"/>
    <w:rsid w:val="0092459C"/>
    <w:rsid w:val="00924B20"/>
    <w:rsid w:val="00924D2D"/>
    <w:rsid w:val="0092519B"/>
    <w:rsid w:val="0092538E"/>
    <w:rsid w:val="0092582D"/>
    <w:rsid w:val="00925902"/>
    <w:rsid w:val="009259FF"/>
    <w:rsid w:val="00925F03"/>
    <w:rsid w:val="009264B1"/>
    <w:rsid w:val="0092668A"/>
    <w:rsid w:val="00926998"/>
    <w:rsid w:val="00926CBC"/>
    <w:rsid w:val="00927118"/>
    <w:rsid w:val="0092749D"/>
    <w:rsid w:val="00927B65"/>
    <w:rsid w:val="0093097E"/>
    <w:rsid w:val="0093108B"/>
    <w:rsid w:val="0093115D"/>
    <w:rsid w:val="00931267"/>
    <w:rsid w:val="00931825"/>
    <w:rsid w:val="00932A5C"/>
    <w:rsid w:val="00933BFE"/>
    <w:rsid w:val="00933DC9"/>
    <w:rsid w:val="00934192"/>
    <w:rsid w:val="00934486"/>
    <w:rsid w:val="00934B40"/>
    <w:rsid w:val="00935FCD"/>
    <w:rsid w:val="00936CF5"/>
    <w:rsid w:val="009372F0"/>
    <w:rsid w:val="00937373"/>
    <w:rsid w:val="009378BF"/>
    <w:rsid w:val="00940138"/>
    <w:rsid w:val="009407E1"/>
    <w:rsid w:val="00940CFC"/>
    <w:rsid w:val="009413BD"/>
    <w:rsid w:val="009417BB"/>
    <w:rsid w:val="00941B4A"/>
    <w:rsid w:val="00941E7E"/>
    <w:rsid w:val="00942454"/>
    <w:rsid w:val="009438F3"/>
    <w:rsid w:val="00943D37"/>
    <w:rsid w:val="00943ED1"/>
    <w:rsid w:val="00944F20"/>
    <w:rsid w:val="00945251"/>
    <w:rsid w:val="009452B3"/>
    <w:rsid w:val="00945681"/>
    <w:rsid w:val="00946488"/>
    <w:rsid w:val="0094668A"/>
    <w:rsid w:val="00946A55"/>
    <w:rsid w:val="009471C9"/>
    <w:rsid w:val="009472CD"/>
    <w:rsid w:val="00947798"/>
    <w:rsid w:val="009478F5"/>
    <w:rsid w:val="00947934"/>
    <w:rsid w:val="0095021D"/>
    <w:rsid w:val="00950452"/>
    <w:rsid w:val="0095103A"/>
    <w:rsid w:val="00951514"/>
    <w:rsid w:val="009542DC"/>
    <w:rsid w:val="00954F02"/>
    <w:rsid w:val="00954FDF"/>
    <w:rsid w:val="00955088"/>
    <w:rsid w:val="0095664D"/>
    <w:rsid w:val="00957387"/>
    <w:rsid w:val="009573AF"/>
    <w:rsid w:val="009579EC"/>
    <w:rsid w:val="00957EC8"/>
    <w:rsid w:val="009614D8"/>
    <w:rsid w:val="00962849"/>
    <w:rsid w:val="00962873"/>
    <w:rsid w:val="00963496"/>
    <w:rsid w:val="00963A19"/>
    <w:rsid w:val="00963C5C"/>
    <w:rsid w:val="00963EA9"/>
    <w:rsid w:val="009651B3"/>
    <w:rsid w:val="009656F2"/>
    <w:rsid w:val="00965717"/>
    <w:rsid w:val="00965A2C"/>
    <w:rsid w:val="00965E46"/>
    <w:rsid w:val="0096662A"/>
    <w:rsid w:val="00966BB7"/>
    <w:rsid w:val="00966D45"/>
    <w:rsid w:val="00967D69"/>
    <w:rsid w:val="0097023B"/>
    <w:rsid w:val="009709BD"/>
    <w:rsid w:val="00971202"/>
    <w:rsid w:val="009716A8"/>
    <w:rsid w:val="009716D7"/>
    <w:rsid w:val="00971FE4"/>
    <w:rsid w:val="00972845"/>
    <w:rsid w:val="009735FE"/>
    <w:rsid w:val="009745F9"/>
    <w:rsid w:val="009767C7"/>
    <w:rsid w:val="0097771C"/>
    <w:rsid w:val="009777FB"/>
    <w:rsid w:val="00977A3A"/>
    <w:rsid w:val="00977A94"/>
    <w:rsid w:val="00980141"/>
    <w:rsid w:val="00980BCD"/>
    <w:rsid w:val="00980F93"/>
    <w:rsid w:val="00981020"/>
    <w:rsid w:val="00981905"/>
    <w:rsid w:val="00981C26"/>
    <w:rsid w:val="00981C2F"/>
    <w:rsid w:val="00981EF8"/>
    <w:rsid w:val="00982A18"/>
    <w:rsid w:val="009830A9"/>
    <w:rsid w:val="00983364"/>
    <w:rsid w:val="00983A73"/>
    <w:rsid w:val="00983B4B"/>
    <w:rsid w:val="00984018"/>
    <w:rsid w:val="0098419A"/>
    <w:rsid w:val="0098474A"/>
    <w:rsid w:val="00984D4A"/>
    <w:rsid w:val="009858C4"/>
    <w:rsid w:val="00985A1F"/>
    <w:rsid w:val="00985E2A"/>
    <w:rsid w:val="009869E6"/>
    <w:rsid w:val="00986E52"/>
    <w:rsid w:val="00987287"/>
    <w:rsid w:val="00987CBA"/>
    <w:rsid w:val="00987CC9"/>
    <w:rsid w:val="00987F2C"/>
    <w:rsid w:val="009908DE"/>
    <w:rsid w:val="00990ECC"/>
    <w:rsid w:val="00991702"/>
    <w:rsid w:val="00991E91"/>
    <w:rsid w:val="00992825"/>
    <w:rsid w:val="00992B13"/>
    <w:rsid w:val="00992E35"/>
    <w:rsid w:val="00992FFE"/>
    <w:rsid w:val="00993661"/>
    <w:rsid w:val="009938BC"/>
    <w:rsid w:val="00994059"/>
    <w:rsid w:val="00994601"/>
    <w:rsid w:val="00994D9C"/>
    <w:rsid w:val="009951AF"/>
    <w:rsid w:val="0099553A"/>
    <w:rsid w:val="009957EF"/>
    <w:rsid w:val="0099581B"/>
    <w:rsid w:val="00995BB4"/>
    <w:rsid w:val="009965CD"/>
    <w:rsid w:val="00996846"/>
    <w:rsid w:val="00996EF9"/>
    <w:rsid w:val="00997696"/>
    <w:rsid w:val="009977F0"/>
    <w:rsid w:val="00997DA5"/>
    <w:rsid w:val="009A0B80"/>
    <w:rsid w:val="009A0C4E"/>
    <w:rsid w:val="009A149A"/>
    <w:rsid w:val="009A33F4"/>
    <w:rsid w:val="009A4222"/>
    <w:rsid w:val="009A4443"/>
    <w:rsid w:val="009A4A99"/>
    <w:rsid w:val="009A4D2D"/>
    <w:rsid w:val="009A4E64"/>
    <w:rsid w:val="009A5041"/>
    <w:rsid w:val="009A5785"/>
    <w:rsid w:val="009A5797"/>
    <w:rsid w:val="009A5984"/>
    <w:rsid w:val="009A5E40"/>
    <w:rsid w:val="009A686E"/>
    <w:rsid w:val="009A76F7"/>
    <w:rsid w:val="009A7D24"/>
    <w:rsid w:val="009B04A8"/>
    <w:rsid w:val="009B09A8"/>
    <w:rsid w:val="009B1A0E"/>
    <w:rsid w:val="009B21B0"/>
    <w:rsid w:val="009B29AA"/>
    <w:rsid w:val="009B2B62"/>
    <w:rsid w:val="009B2F6E"/>
    <w:rsid w:val="009B3502"/>
    <w:rsid w:val="009B3621"/>
    <w:rsid w:val="009B495F"/>
    <w:rsid w:val="009B4CE7"/>
    <w:rsid w:val="009B53F5"/>
    <w:rsid w:val="009B5964"/>
    <w:rsid w:val="009B5B8F"/>
    <w:rsid w:val="009B6F49"/>
    <w:rsid w:val="009B708D"/>
    <w:rsid w:val="009B790C"/>
    <w:rsid w:val="009C0448"/>
    <w:rsid w:val="009C0BEC"/>
    <w:rsid w:val="009C2191"/>
    <w:rsid w:val="009C27E6"/>
    <w:rsid w:val="009C5202"/>
    <w:rsid w:val="009C67C4"/>
    <w:rsid w:val="009C715C"/>
    <w:rsid w:val="009C747B"/>
    <w:rsid w:val="009C748A"/>
    <w:rsid w:val="009C7796"/>
    <w:rsid w:val="009C78BC"/>
    <w:rsid w:val="009C7950"/>
    <w:rsid w:val="009D0278"/>
    <w:rsid w:val="009D0D3A"/>
    <w:rsid w:val="009D1256"/>
    <w:rsid w:val="009D2387"/>
    <w:rsid w:val="009D2491"/>
    <w:rsid w:val="009D256B"/>
    <w:rsid w:val="009D293E"/>
    <w:rsid w:val="009D3787"/>
    <w:rsid w:val="009D3E11"/>
    <w:rsid w:val="009D4739"/>
    <w:rsid w:val="009D48ED"/>
    <w:rsid w:val="009D5E86"/>
    <w:rsid w:val="009D6985"/>
    <w:rsid w:val="009D6A66"/>
    <w:rsid w:val="009D6D30"/>
    <w:rsid w:val="009D752A"/>
    <w:rsid w:val="009D7CBB"/>
    <w:rsid w:val="009E023C"/>
    <w:rsid w:val="009E0608"/>
    <w:rsid w:val="009E08BC"/>
    <w:rsid w:val="009E09DE"/>
    <w:rsid w:val="009E10AD"/>
    <w:rsid w:val="009E1E90"/>
    <w:rsid w:val="009E223B"/>
    <w:rsid w:val="009E2C53"/>
    <w:rsid w:val="009E3273"/>
    <w:rsid w:val="009E388A"/>
    <w:rsid w:val="009E397B"/>
    <w:rsid w:val="009E3FEC"/>
    <w:rsid w:val="009E412C"/>
    <w:rsid w:val="009E458D"/>
    <w:rsid w:val="009E4786"/>
    <w:rsid w:val="009E4C39"/>
    <w:rsid w:val="009E4DD6"/>
    <w:rsid w:val="009E5259"/>
    <w:rsid w:val="009E536F"/>
    <w:rsid w:val="009E5B39"/>
    <w:rsid w:val="009E5DB6"/>
    <w:rsid w:val="009E750E"/>
    <w:rsid w:val="009E78E0"/>
    <w:rsid w:val="009F0303"/>
    <w:rsid w:val="009F0FD2"/>
    <w:rsid w:val="009F12BA"/>
    <w:rsid w:val="009F1AD8"/>
    <w:rsid w:val="009F1C12"/>
    <w:rsid w:val="009F2191"/>
    <w:rsid w:val="009F31AB"/>
    <w:rsid w:val="009F356C"/>
    <w:rsid w:val="009F4535"/>
    <w:rsid w:val="009F4628"/>
    <w:rsid w:val="009F4B20"/>
    <w:rsid w:val="009F5350"/>
    <w:rsid w:val="009F5658"/>
    <w:rsid w:val="009F5DFC"/>
    <w:rsid w:val="009F5E59"/>
    <w:rsid w:val="009F6A47"/>
    <w:rsid w:val="009F794D"/>
    <w:rsid w:val="009F7A36"/>
    <w:rsid w:val="009F7A63"/>
    <w:rsid w:val="009F7B4A"/>
    <w:rsid w:val="009F7CA1"/>
    <w:rsid w:val="00A0034A"/>
    <w:rsid w:val="00A007A5"/>
    <w:rsid w:val="00A007C4"/>
    <w:rsid w:val="00A009FA"/>
    <w:rsid w:val="00A00F02"/>
    <w:rsid w:val="00A01C3E"/>
    <w:rsid w:val="00A01C8C"/>
    <w:rsid w:val="00A02BDB"/>
    <w:rsid w:val="00A02D89"/>
    <w:rsid w:val="00A03071"/>
    <w:rsid w:val="00A04D75"/>
    <w:rsid w:val="00A04F36"/>
    <w:rsid w:val="00A0643F"/>
    <w:rsid w:val="00A06928"/>
    <w:rsid w:val="00A0785F"/>
    <w:rsid w:val="00A1070D"/>
    <w:rsid w:val="00A10B27"/>
    <w:rsid w:val="00A113F3"/>
    <w:rsid w:val="00A127B7"/>
    <w:rsid w:val="00A1354E"/>
    <w:rsid w:val="00A13CA7"/>
    <w:rsid w:val="00A13E4D"/>
    <w:rsid w:val="00A14951"/>
    <w:rsid w:val="00A14A53"/>
    <w:rsid w:val="00A153A9"/>
    <w:rsid w:val="00A16082"/>
    <w:rsid w:val="00A1610F"/>
    <w:rsid w:val="00A16DBE"/>
    <w:rsid w:val="00A17424"/>
    <w:rsid w:val="00A175FF"/>
    <w:rsid w:val="00A178DE"/>
    <w:rsid w:val="00A206CA"/>
    <w:rsid w:val="00A20A07"/>
    <w:rsid w:val="00A213D0"/>
    <w:rsid w:val="00A2157F"/>
    <w:rsid w:val="00A21805"/>
    <w:rsid w:val="00A22090"/>
    <w:rsid w:val="00A220A6"/>
    <w:rsid w:val="00A2288E"/>
    <w:rsid w:val="00A22C87"/>
    <w:rsid w:val="00A236CE"/>
    <w:rsid w:val="00A241E3"/>
    <w:rsid w:val="00A249A7"/>
    <w:rsid w:val="00A25013"/>
    <w:rsid w:val="00A25156"/>
    <w:rsid w:val="00A251E8"/>
    <w:rsid w:val="00A26080"/>
    <w:rsid w:val="00A267A5"/>
    <w:rsid w:val="00A27A06"/>
    <w:rsid w:val="00A30528"/>
    <w:rsid w:val="00A30A02"/>
    <w:rsid w:val="00A30CFD"/>
    <w:rsid w:val="00A3106F"/>
    <w:rsid w:val="00A327A9"/>
    <w:rsid w:val="00A327AE"/>
    <w:rsid w:val="00A331AA"/>
    <w:rsid w:val="00A33505"/>
    <w:rsid w:val="00A34098"/>
    <w:rsid w:val="00A344F3"/>
    <w:rsid w:val="00A34547"/>
    <w:rsid w:val="00A34794"/>
    <w:rsid w:val="00A34999"/>
    <w:rsid w:val="00A34D1B"/>
    <w:rsid w:val="00A3573C"/>
    <w:rsid w:val="00A359AC"/>
    <w:rsid w:val="00A359E2"/>
    <w:rsid w:val="00A35D20"/>
    <w:rsid w:val="00A36631"/>
    <w:rsid w:val="00A36DE6"/>
    <w:rsid w:val="00A373CD"/>
    <w:rsid w:val="00A3741D"/>
    <w:rsid w:val="00A37794"/>
    <w:rsid w:val="00A37E94"/>
    <w:rsid w:val="00A40593"/>
    <w:rsid w:val="00A40AFE"/>
    <w:rsid w:val="00A40ED5"/>
    <w:rsid w:val="00A41707"/>
    <w:rsid w:val="00A41AE6"/>
    <w:rsid w:val="00A41C97"/>
    <w:rsid w:val="00A41DDB"/>
    <w:rsid w:val="00A41E50"/>
    <w:rsid w:val="00A4221F"/>
    <w:rsid w:val="00A42994"/>
    <w:rsid w:val="00A42B4F"/>
    <w:rsid w:val="00A42BBB"/>
    <w:rsid w:val="00A42FC9"/>
    <w:rsid w:val="00A4371A"/>
    <w:rsid w:val="00A442A2"/>
    <w:rsid w:val="00A44D32"/>
    <w:rsid w:val="00A44DA7"/>
    <w:rsid w:val="00A44EF8"/>
    <w:rsid w:val="00A4502A"/>
    <w:rsid w:val="00A45D1C"/>
    <w:rsid w:val="00A45EC8"/>
    <w:rsid w:val="00A46115"/>
    <w:rsid w:val="00A465C5"/>
    <w:rsid w:val="00A47066"/>
    <w:rsid w:val="00A4707F"/>
    <w:rsid w:val="00A47660"/>
    <w:rsid w:val="00A47CE3"/>
    <w:rsid w:val="00A510A0"/>
    <w:rsid w:val="00A5124C"/>
    <w:rsid w:val="00A51C2A"/>
    <w:rsid w:val="00A51D43"/>
    <w:rsid w:val="00A52904"/>
    <w:rsid w:val="00A53608"/>
    <w:rsid w:val="00A53E29"/>
    <w:rsid w:val="00A53FB0"/>
    <w:rsid w:val="00A54AF2"/>
    <w:rsid w:val="00A54EF2"/>
    <w:rsid w:val="00A55391"/>
    <w:rsid w:val="00A55F21"/>
    <w:rsid w:val="00A56305"/>
    <w:rsid w:val="00A5671F"/>
    <w:rsid w:val="00A569D5"/>
    <w:rsid w:val="00A56A2A"/>
    <w:rsid w:val="00A57F2D"/>
    <w:rsid w:val="00A60CC0"/>
    <w:rsid w:val="00A60DA0"/>
    <w:rsid w:val="00A60F52"/>
    <w:rsid w:val="00A615AB"/>
    <w:rsid w:val="00A617F5"/>
    <w:rsid w:val="00A61871"/>
    <w:rsid w:val="00A61E60"/>
    <w:rsid w:val="00A639D7"/>
    <w:rsid w:val="00A6458C"/>
    <w:rsid w:val="00A654FE"/>
    <w:rsid w:val="00A66A5A"/>
    <w:rsid w:val="00A67191"/>
    <w:rsid w:val="00A701C5"/>
    <w:rsid w:val="00A703BB"/>
    <w:rsid w:val="00A71719"/>
    <w:rsid w:val="00A71A96"/>
    <w:rsid w:val="00A71AF4"/>
    <w:rsid w:val="00A71CD2"/>
    <w:rsid w:val="00A72EA2"/>
    <w:rsid w:val="00A730FE"/>
    <w:rsid w:val="00A7373F"/>
    <w:rsid w:val="00A73D77"/>
    <w:rsid w:val="00A73DCA"/>
    <w:rsid w:val="00A740F1"/>
    <w:rsid w:val="00A7414D"/>
    <w:rsid w:val="00A7416C"/>
    <w:rsid w:val="00A75136"/>
    <w:rsid w:val="00A75323"/>
    <w:rsid w:val="00A756F2"/>
    <w:rsid w:val="00A75ADF"/>
    <w:rsid w:val="00A75BC2"/>
    <w:rsid w:val="00A75F04"/>
    <w:rsid w:val="00A76DDB"/>
    <w:rsid w:val="00A77181"/>
    <w:rsid w:val="00A77319"/>
    <w:rsid w:val="00A800BF"/>
    <w:rsid w:val="00A807FC"/>
    <w:rsid w:val="00A80AD7"/>
    <w:rsid w:val="00A80D60"/>
    <w:rsid w:val="00A80F99"/>
    <w:rsid w:val="00A8126D"/>
    <w:rsid w:val="00A82120"/>
    <w:rsid w:val="00A82211"/>
    <w:rsid w:val="00A8248D"/>
    <w:rsid w:val="00A83800"/>
    <w:rsid w:val="00A83F44"/>
    <w:rsid w:val="00A840EA"/>
    <w:rsid w:val="00A84134"/>
    <w:rsid w:val="00A8451C"/>
    <w:rsid w:val="00A84D91"/>
    <w:rsid w:val="00A85084"/>
    <w:rsid w:val="00A852A6"/>
    <w:rsid w:val="00A857A9"/>
    <w:rsid w:val="00A85E8B"/>
    <w:rsid w:val="00A860AF"/>
    <w:rsid w:val="00A860E9"/>
    <w:rsid w:val="00A861C2"/>
    <w:rsid w:val="00A870A0"/>
    <w:rsid w:val="00A87A0D"/>
    <w:rsid w:val="00A87ACE"/>
    <w:rsid w:val="00A87B98"/>
    <w:rsid w:val="00A90577"/>
    <w:rsid w:val="00A90C05"/>
    <w:rsid w:val="00A91A97"/>
    <w:rsid w:val="00A91AE3"/>
    <w:rsid w:val="00A92511"/>
    <w:rsid w:val="00A926A1"/>
    <w:rsid w:val="00A92F4A"/>
    <w:rsid w:val="00A93167"/>
    <w:rsid w:val="00A93386"/>
    <w:rsid w:val="00A93A6B"/>
    <w:rsid w:val="00A94BBB"/>
    <w:rsid w:val="00A94F03"/>
    <w:rsid w:val="00A954F1"/>
    <w:rsid w:val="00A95735"/>
    <w:rsid w:val="00A95CF4"/>
    <w:rsid w:val="00A95E72"/>
    <w:rsid w:val="00A95F5F"/>
    <w:rsid w:val="00A968D0"/>
    <w:rsid w:val="00A973B6"/>
    <w:rsid w:val="00A9740D"/>
    <w:rsid w:val="00A97733"/>
    <w:rsid w:val="00A97A6F"/>
    <w:rsid w:val="00AA0285"/>
    <w:rsid w:val="00AA0435"/>
    <w:rsid w:val="00AA073E"/>
    <w:rsid w:val="00AA0BEB"/>
    <w:rsid w:val="00AA0C44"/>
    <w:rsid w:val="00AA0C5C"/>
    <w:rsid w:val="00AA1414"/>
    <w:rsid w:val="00AA19EE"/>
    <w:rsid w:val="00AA1F52"/>
    <w:rsid w:val="00AA27FE"/>
    <w:rsid w:val="00AA3226"/>
    <w:rsid w:val="00AA32DA"/>
    <w:rsid w:val="00AA373A"/>
    <w:rsid w:val="00AA385A"/>
    <w:rsid w:val="00AA3F44"/>
    <w:rsid w:val="00AA404C"/>
    <w:rsid w:val="00AA40A6"/>
    <w:rsid w:val="00AA4857"/>
    <w:rsid w:val="00AA5773"/>
    <w:rsid w:val="00AA58F3"/>
    <w:rsid w:val="00AA5FF1"/>
    <w:rsid w:val="00AA6786"/>
    <w:rsid w:val="00AA6F6D"/>
    <w:rsid w:val="00AA790C"/>
    <w:rsid w:val="00AA7CC8"/>
    <w:rsid w:val="00AA7F28"/>
    <w:rsid w:val="00AB0328"/>
    <w:rsid w:val="00AB0527"/>
    <w:rsid w:val="00AB0EC5"/>
    <w:rsid w:val="00AB1478"/>
    <w:rsid w:val="00AB1485"/>
    <w:rsid w:val="00AB19C1"/>
    <w:rsid w:val="00AB1C18"/>
    <w:rsid w:val="00AB1F4E"/>
    <w:rsid w:val="00AB24EF"/>
    <w:rsid w:val="00AB29A0"/>
    <w:rsid w:val="00AB33B3"/>
    <w:rsid w:val="00AB3EDB"/>
    <w:rsid w:val="00AB4571"/>
    <w:rsid w:val="00AB5FA0"/>
    <w:rsid w:val="00AB6D78"/>
    <w:rsid w:val="00AB70E8"/>
    <w:rsid w:val="00AB7163"/>
    <w:rsid w:val="00AB73AD"/>
    <w:rsid w:val="00AB783C"/>
    <w:rsid w:val="00AC016B"/>
    <w:rsid w:val="00AC018D"/>
    <w:rsid w:val="00AC068E"/>
    <w:rsid w:val="00AC0DE5"/>
    <w:rsid w:val="00AC1457"/>
    <w:rsid w:val="00AC1673"/>
    <w:rsid w:val="00AC16BC"/>
    <w:rsid w:val="00AC1869"/>
    <w:rsid w:val="00AC23E5"/>
    <w:rsid w:val="00AC2514"/>
    <w:rsid w:val="00AC2624"/>
    <w:rsid w:val="00AC27BC"/>
    <w:rsid w:val="00AC29FC"/>
    <w:rsid w:val="00AC2BDC"/>
    <w:rsid w:val="00AC2DB9"/>
    <w:rsid w:val="00AC2E08"/>
    <w:rsid w:val="00AC3472"/>
    <w:rsid w:val="00AC3817"/>
    <w:rsid w:val="00AC387A"/>
    <w:rsid w:val="00AC4272"/>
    <w:rsid w:val="00AC4596"/>
    <w:rsid w:val="00AC578B"/>
    <w:rsid w:val="00AC5ED0"/>
    <w:rsid w:val="00AC6BA4"/>
    <w:rsid w:val="00AC6BB9"/>
    <w:rsid w:val="00AC7FB1"/>
    <w:rsid w:val="00AD1A3E"/>
    <w:rsid w:val="00AD1CBC"/>
    <w:rsid w:val="00AD3243"/>
    <w:rsid w:val="00AD3500"/>
    <w:rsid w:val="00AD390F"/>
    <w:rsid w:val="00AD407B"/>
    <w:rsid w:val="00AD4339"/>
    <w:rsid w:val="00AD45E3"/>
    <w:rsid w:val="00AD5D43"/>
    <w:rsid w:val="00AD6060"/>
    <w:rsid w:val="00AD612B"/>
    <w:rsid w:val="00AD6A85"/>
    <w:rsid w:val="00AD6CEA"/>
    <w:rsid w:val="00AD6DD9"/>
    <w:rsid w:val="00AD6FEB"/>
    <w:rsid w:val="00AD7195"/>
    <w:rsid w:val="00AD7AFB"/>
    <w:rsid w:val="00AE13FC"/>
    <w:rsid w:val="00AE1542"/>
    <w:rsid w:val="00AE1563"/>
    <w:rsid w:val="00AE17B1"/>
    <w:rsid w:val="00AE19E1"/>
    <w:rsid w:val="00AE1A2A"/>
    <w:rsid w:val="00AE1D28"/>
    <w:rsid w:val="00AE1D44"/>
    <w:rsid w:val="00AE2BA1"/>
    <w:rsid w:val="00AE30AA"/>
    <w:rsid w:val="00AE3AF4"/>
    <w:rsid w:val="00AE3B19"/>
    <w:rsid w:val="00AE3CA8"/>
    <w:rsid w:val="00AE3CBF"/>
    <w:rsid w:val="00AE41E0"/>
    <w:rsid w:val="00AE4CD2"/>
    <w:rsid w:val="00AE6099"/>
    <w:rsid w:val="00AE6B51"/>
    <w:rsid w:val="00AE6CBD"/>
    <w:rsid w:val="00AE6D42"/>
    <w:rsid w:val="00AE71EC"/>
    <w:rsid w:val="00AE7776"/>
    <w:rsid w:val="00AE7D72"/>
    <w:rsid w:val="00AF0544"/>
    <w:rsid w:val="00AF0B91"/>
    <w:rsid w:val="00AF22F5"/>
    <w:rsid w:val="00AF2D3D"/>
    <w:rsid w:val="00AF3058"/>
    <w:rsid w:val="00AF3D1D"/>
    <w:rsid w:val="00AF4FD3"/>
    <w:rsid w:val="00AF51E2"/>
    <w:rsid w:val="00AF532E"/>
    <w:rsid w:val="00AF5810"/>
    <w:rsid w:val="00AF5A0F"/>
    <w:rsid w:val="00AF60B5"/>
    <w:rsid w:val="00AF700D"/>
    <w:rsid w:val="00AF7AEA"/>
    <w:rsid w:val="00AF7B0B"/>
    <w:rsid w:val="00B006EB"/>
    <w:rsid w:val="00B016A0"/>
    <w:rsid w:val="00B0177C"/>
    <w:rsid w:val="00B0317B"/>
    <w:rsid w:val="00B03BA1"/>
    <w:rsid w:val="00B04547"/>
    <w:rsid w:val="00B04661"/>
    <w:rsid w:val="00B0487F"/>
    <w:rsid w:val="00B0562B"/>
    <w:rsid w:val="00B0597B"/>
    <w:rsid w:val="00B060C9"/>
    <w:rsid w:val="00B06821"/>
    <w:rsid w:val="00B06C37"/>
    <w:rsid w:val="00B072B0"/>
    <w:rsid w:val="00B0798C"/>
    <w:rsid w:val="00B100AB"/>
    <w:rsid w:val="00B10808"/>
    <w:rsid w:val="00B10A77"/>
    <w:rsid w:val="00B10DEC"/>
    <w:rsid w:val="00B10EB8"/>
    <w:rsid w:val="00B11436"/>
    <w:rsid w:val="00B117A9"/>
    <w:rsid w:val="00B1275E"/>
    <w:rsid w:val="00B1325C"/>
    <w:rsid w:val="00B1340A"/>
    <w:rsid w:val="00B137B1"/>
    <w:rsid w:val="00B13BAE"/>
    <w:rsid w:val="00B13E56"/>
    <w:rsid w:val="00B13F39"/>
    <w:rsid w:val="00B15687"/>
    <w:rsid w:val="00B15A4F"/>
    <w:rsid w:val="00B163E4"/>
    <w:rsid w:val="00B17020"/>
    <w:rsid w:val="00B173BF"/>
    <w:rsid w:val="00B1740C"/>
    <w:rsid w:val="00B22016"/>
    <w:rsid w:val="00B227DE"/>
    <w:rsid w:val="00B22D40"/>
    <w:rsid w:val="00B23F64"/>
    <w:rsid w:val="00B23FB3"/>
    <w:rsid w:val="00B24099"/>
    <w:rsid w:val="00B250B7"/>
    <w:rsid w:val="00B25715"/>
    <w:rsid w:val="00B25959"/>
    <w:rsid w:val="00B263E3"/>
    <w:rsid w:val="00B2664E"/>
    <w:rsid w:val="00B2712C"/>
    <w:rsid w:val="00B273E7"/>
    <w:rsid w:val="00B27BC4"/>
    <w:rsid w:val="00B30AD3"/>
    <w:rsid w:val="00B317BC"/>
    <w:rsid w:val="00B32656"/>
    <w:rsid w:val="00B32B3B"/>
    <w:rsid w:val="00B3333B"/>
    <w:rsid w:val="00B334BA"/>
    <w:rsid w:val="00B3357C"/>
    <w:rsid w:val="00B33FE8"/>
    <w:rsid w:val="00B34027"/>
    <w:rsid w:val="00B34BD7"/>
    <w:rsid w:val="00B34E03"/>
    <w:rsid w:val="00B360F9"/>
    <w:rsid w:val="00B36671"/>
    <w:rsid w:val="00B36802"/>
    <w:rsid w:val="00B369A6"/>
    <w:rsid w:val="00B36DB8"/>
    <w:rsid w:val="00B3738D"/>
    <w:rsid w:val="00B373BE"/>
    <w:rsid w:val="00B373E4"/>
    <w:rsid w:val="00B37BBF"/>
    <w:rsid w:val="00B406F1"/>
    <w:rsid w:val="00B41EE1"/>
    <w:rsid w:val="00B423A8"/>
    <w:rsid w:val="00B42AFF"/>
    <w:rsid w:val="00B43023"/>
    <w:rsid w:val="00B430D6"/>
    <w:rsid w:val="00B44997"/>
    <w:rsid w:val="00B45140"/>
    <w:rsid w:val="00B45AF1"/>
    <w:rsid w:val="00B460D8"/>
    <w:rsid w:val="00B46218"/>
    <w:rsid w:val="00B46709"/>
    <w:rsid w:val="00B46728"/>
    <w:rsid w:val="00B46B99"/>
    <w:rsid w:val="00B46D1D"/>
    <w:rsid w:val="00B46E86"/>
    <w:rsid w:val="00B4708D"/>
    <w:rsid w:val="00B474DF"/>
    <w:rsid w:val="00B47567"/>
    <w:rsid w:val="00B47B27"/>
    <w:rsid w:val="00B505BB"/>
    <w:rsid w:val="00B5061C"/>
    <w:rsid w:val="00B50A56"/>
    <w:rsid w:val="00B50B77"/>
    <w:rsid w:val="00B50E3D"/>
    <w:rsid w:val="00B50E7A"/>
    <w:rsid w:val="00B513D4"/>
    <w:rsid w:val="00B513E8"/>
    <w:rsid w:val="00B5173F"/>
    <w:rsid w:val="00B51E88"/>
    <w:rsid w:val="00B51F0F"/>
    <w:rsid w:val="00B539FE"/>
    <w:rsid w:val="00B5469E"/>
    <w:rsid w:val="00B548EA"/>
    <w:rsid w:val="00B56063"/>
    <w:rsid w:val="00B56DA7"/>
    <w:rsid w:val="00B56DDA"/>
    <w:rsid w:val="00B6052D"/>
    <w:rsid w:val="00B605AA"/>
    <w:rsid w:val="00B60735"/>
    <w:rsid w:val="00B617DE"/>
    <w:rsid w:val="00B6181B"/>
    <w:rsid w:val="00B61AD5"/>
    <w:rsid w:val="00B622FE"/>
    <w:rsid w:val="00B62D65"/>
    <w:rsid w:val="00B634A6"/>
    <w:rsid w:val="00B63755"/>
    <w:rsid w:val="00B6393F"/>
    <w:rsid w:val="00B64EF1"/>
    <w:rsid w:val="00B64FE3"/>
    <w:rsid w:val="00B65D6E"/>
    <w:rsid w:val="00B661E4"/>
    <w:rsid w:val="00B668AD"/>
    <w:rsid w:val="00B66AC5"/>
    <w:rsid w:val="00B66ACE"/>
    <w:rsid w:val="00B67095"/>
    <w:rsid w:val="00B672A5"/>
    <w:rsid w:val="00B674D8"/>
    <w:rsid w:val="00B703FE"/>
    <w:rsid w:val="00B711A1"/>
    <w:rsid w:val="00B71A06"/>
    <w:rsid w:val="00B721BC"/>
    <w:rsid w:val="00B73748"/>
    <w:rsid w:val="00B739F8"/>
    <w:rsid w:val="00B73B44"/>
    <w:rsid w:val="00B73CD3"/>
    <w:rsid w:val="00B7404E"/>
    <w:rsid w:val="00B740E4"/>
    <w:rsid w:val="00B7484D"/>
    <w:rsid w:val="00B748CB"/>
    <w:rsid w:val="00B75511"/>
    <w:rsid w:val="00B75547"/>
    <w:rsid w:val="00B7557A"/>
    <w:rsid w:val="00B75845"/>
    <w:rsid w:val="00B75D1D"/>
    <w:rsid w:val="00B777CB"/>
    <w:rsid w:val="00B80099"/>
    <w:rsid w:val="00B803E3"/>
    <w:rsid w:val="00B80910"/>
    <w:rsid w:val="00B818FE"/>
    <w:rsid w:val="00B8261D"/>
    <w:rsid w:val="00B82B7B"/>
    <w:rsid w:val="00B82C8D"/>
    <w:rsid w:val="00B839DF"/>
    <w:rsid w:val="00B839E5"/>
    <w:rsid w:val="00B83B24"/>
    <w:rsid w:val="00B84872"/>
    <w:rsid w:val="00B850E3"/>
    <w:rsid w:val="00B854EB"/>
    <w:rsid w:val="00B85FA3"/>
    <w:rsid w:val="00B86393"/>
    <w:rsid w:val="00B87247"/>
    <w:rsid w:val="00B90E45"/>
    <w:rsid w:val="00B912D1"/>
    <w:rsid w:val="00B92237"/>
    <w:rsid w:val="00B92701"/>
    <w:rsid w:val="00B9285C"/>
    <w:rsid w:val="00B9379C"/>
    <w:rsid w:val="00B937BA"/>
    <w:rsid w:val="00B93A52"/>
    <w:rsid w:val="00B93CF8"/>
    <w:rsid w:val="00B944B1"/>
    <w:rsid w:val="00B9476B"/>
    <w:rsid w:val="00B94AD2"/>
    <w:rsid w:val="00B94F49"/>
    <w:rsid w:val="00B9525D"/>
    <w:rsid w:val="00B95572"/>
    <w:rsid w:val="00B955B4"/>
    <w:rsid w:val="00B962F9"/>
    <w:rsid w:val="00B96BEC"/>
    <w:rsid w:val="00B9704F"/>
    <w:rsid w:val="00B97A7F"/>
    <w:rsid w:val="00B97BB5"/>
    <w:rsid w:val="00B97EA6"/>
    <w:rsid w:val="00BA225F"/>
    <w:rsid w:val="00BA27BB"/>
    <w:rsid w:val="00BA2853"/>
    <w:rsid w:val="00BA2A18"/>
    <w:rsid w:val="00BA2A64"/>
    <w:rsid w:val="00BA2BFE"/>
    <w:rsid w:val="00BA2D31"/>
    <w:rsid w:val="00BA426A"/>
    <w:rsid w:val="00BA5097"/>
    <w:rsid w:val="00BA5A13"/>
    <w:rsid w:val="00BA6751"/>
    <w:rsid w:val="00BA6F75"/>
    <w:rsid w:val="00BA70A4"/>
    <w:rsid w:val="00BA7513"/>
    <w:rsid w:val="00BA7857"/>
    <w:rsid w:val="00BB04E2"/>
    <w:rsid w:val="00BB06C3"/>
    <w:rsid w:val="00BB0D57"/>
    <w:rsid w:val="00BB0D6E"/>
    <w:rsid w:val="00BB0DD5"/>
    <w:rsid w:val="00BB16FF"/>
    <w:rsid w:val="00BB1760"/>
    <w:rsid w:val="00BB1946"/>
    <w:rsid w:val="00BB1D60"/>
    <w:rsid w:val="00BB1E68"/>
    <w:rsid w:val="00BB2803"/>
    <w:rsid w:val="00BB2973"/>
    <w:rsid w:val="00BB2CF7"/>
    <w:rsid w:val="00BB369C"/>
    <w:rsid w:val="00BB370F"/>
    <w:rsid w:val="00BB434B"/>
    <w:rsid w:val="00BB48CD"/>
    <w:rsid w:val="00BB4C8D"/>
    <w:rsid w:val="00BB51EA"/>
    <w:rsid w:val="00BB5293"/>
    <w:rsid w:val="00BB545E"/>
    <w:rsid w:val="00BB61F9"/>
    <w:rsid w:val="00BB64C2"/>
    <w:rsid w:val="00BB6627"/>
    <w:rsid w:val="00BB67E1"/>
    <w:rsid w:val="00BB6BE6"/>
    <w:rsid w:val="00BB6F14"/>
    <w:rsid w:val="00BB71BF"/>
    <w:rsid w:val="00BB7B8B"/>
    <w:rsid w:val="00BB7C1D"/>
    <w:rsid w:val="00BC04C0"/>
    <w:rsid w:val="00BC0A75"/>
    <w:rsid w:val="00BC121E"/>
    <w:rsid w:val="00BC200F"/>
    <w:rsid w:val="00BC21D2"/>
    <w:rsid w:val="00BC2814"/>
    <w:rsid w:val="00BC298D"/>
    <w:rsid w:val="00BC3062"/>
    <w:rsid w:val="00BC4087"/>
    <w:rsid w:val="00BC411A"/>
    <w:rsid w:val="00BC4812"/>
    <w:rsid w:val="00BC5731"/>
    <w:rsid w:val="00BC58D1"/>
    <w:rsid w:val="00BC5969"/>
    <w:rsid w:val="00BC6014"/>
    <w:rsid w:val="00BC6536"/>
    <w:rsid w:val="00BC65B6"/>
    <w:rsid w:val="00BC77F8"/>
    <w:rsid w:val="00BC79F4"/>
    <w:rsid w:val="00BD0E78"/>
    <w:rsid w:val="00BD34AC"/>
    <w:rsid w:val="00BD3E43"/>
    <w:rsid w:val="00BD4AAC"/>
    <w:rsid w:val="00BD7B47"/>
    <w:rsid w:val="00BD7DF2"/>
    <w:rsid w:val="00BE044C"/>
    <w:rsid w:val="00BE05EE"/>
    <w:rsid w:val="00BE0F96"/>
    <w:rsid w:val="00BE13E1"/>
    <w:rsid w:val="00BE1480"/>
    <w:rsid w:val="00BE158F"/>
    <w:rsid w:val="00BE1801"/>
    <w:rsid w:val="00BE25DE"/>
    <w:rsid w:val="00BE2726"/>
    <w:rsid w:val="00BE31E8"/>
    <w:rsid w:val="00BE375F"/>
    <w:rsid w:val="00BE3A4A"/>
    <w:rsid w:val="00BE3DF1"/>
    <w:rsid w:val="00BE412C"/>
    <w:rsid w:val="00BE4142"/>
    <w:rsid w:val="00BE471F"/>
    <w:rsid w:val="00BE4EBF"/>
    <w:rsid w:val="00BE59FB"/>
    <w:rsid w:val="00BE5A47"/>
    <w:rsid w:val="00BE5EEC"/>
    <w:rsid w:val="00BE6E4D"/>
    <w:rsid w:val="00BE73DF"/>
    <w:rsid w:val="00BE777B"/>
    <w:rsid w:val="00BF05C5"/>
    <w:rsid w:val="00BF06CC"/>
    <w:rsid w:val="00BF0A53"/>
    <w:rsid w:val="00BF0FC7"/>
    <w:rsid w:val="00BF1BF8"/>
    <w:rsid w:val="00BF2458"/>
    <w:rsid w:val="00BF2512"/>
    <w:rsid w:val="00BF2566"/>
    <w:rsid w:val="00BF2CA4"/>
    <w:rsid w:val="00BF35E5"/>
    <w:rsid w:val="00BF379C"/>
    <w:rsid w:val="00BF380D"/>
    <w:rsid w:val="00BF3FA5"/>
    <w:rsid w:val="00BF4544"/>
    <w:rsid w:val="00BF458D"/>
    <w:rsid w:val="00BF45AF"/>
    <w:rsid w:val="00BF46C9"/>
    <w:rsid w:val="00BF5555"/>
    <w:rsid w:val="00BF5746"/>
    <w:rsid w:val="00BF595E"/>
    <w:rsid w:val="00BF5A17"/>
    <w:rsid w:val="00BF5DA1"/>
    <w:rsid w:val="00BF623C"/>
    <w:rsid w:val="00BF63D1"/>
    <w:rsid w:val="00BF66F1"/>
    <w:rsid w:val="00BF6F93"/>
    <w:rsid w:val="00BF72AE"/>
    <w:rsid w:val="00BF730C"/>
    <w:rsid w:val="00BF7D03"/>
    <w:rsid w:val="00BF7DA1"/>
    <w:rsid w:val="00C0032A"/>
    <w:rsid w:val="00C00D41"/>
    <w:rsid w:val="00C0133C"/>
    <w:rsid w:val="00C018AF"/>
    <w:rsid w:val="00C02FF0"/>
    <w:rsid w:val="00C03C62"/>
    <w:rsid w:val="00C03FB3"/>
    <w:rsid w:val="00C048C2"/>
    <w:rsid w:val="00C04D1E"/>
    <w:rsid w:val="00C04F5A"/>
    <w:rsid w:val="00C0514C"/>
    <w:rsid w:val="00C05993"/>
    <w:rsid w:val="00C0617F"/>
    <w:rsid w:val="00C066C9"/>
    <w:rsid w:val="00C06B93"/>
    <w:rsid w:val="00C078A0"/>
    <w:rsid w:val="00C112FE"/>
    <w:rsid w:val="00C11847"/>
    <w:rsid w:val="00C122E9"/>
    <w:rsid w:val="00C1231E"/>
    <w:rsid w:val="00C138D9"/>
    <w:rsid w:val="00C13BE7"/>
    <w:rsid w:val="00C14887"/>
    <w:rsid w:val="00C15088"/>
    <w:rsid w:val="00C156BF"/>
    <w:rsid w:val="00C15867"/>
    <w:rsid w:val="00C15C81"/>
    <w:rsid w:val="00C15D4B"/>
    <w:rsid w:val="00C16331"/>
    <w:rsid w:val="00C16D10"/>
    <w:rsid w:val="00C1745B"/>
    <w:rsid w:val="00C174B9"/>
    <w:rsid w:val="00C20082"/>
    <w:rsid w:val="00C21936"/>
    <w:rsid w:val="00C21B39"/>
    <w:rsid w:val="00C21CAF"/>
    <w:rsid w:val="00C21D34"/>
    <w:rsid w:val="00C22195"/>
    <w:rsid w:val="00C22B3C"/>
    <w:rsid w:val="00C22CD9"/>
    <w:rsid w:val="00C23A3F"/>
    <w:rsid w:val="00C240DB"/>
    <w:rsid w:val="00C24741"/>
    <w:rsid w:val="00C24E12"/>
    <w:rsid w:val="00C24EB3"/>
    <w:rsid w:val="00C24FA3"/>
    <w:rsid w:val="00C258EB"/>
    <w:rsid w:val="00C25B3D"/>
    <w:rsid w:val="00C2647D"/>
    <w:rsid w:val="00C264F3"/>
    <w:rsid w:val="00C2770F"/>
    <w:rsid w:val="00C27E25"/>
    <w:rsid w:val="00C3031E"/>
    <w:rsid w:val="00C30842"/>
    <w:rsid w:val="00C3111A"/>
    <w:rsid w:val="00C3127E"/>
    <w:rsid w:val="00C31869"/>
    <w:rsid w:val="00C31B84"/>
    <w:rsid w:val="00C32210"/>
    <w:rsid w:val="00C329E3"/>
    <w:rsid w:val="00C33047"/>
    <w:rsid w:val="00C3433A"/>
    <w:rsid w:val="00C3475B"/>
    <w:rsid w:val="00C34A94"/>
    <w:rsid w:val="00C34C01"/>
    <w:rsid w:val="00C3503D"/>
    <w:rsid w:val="00C35058"/>
    <w:rsid w:val="00C35B54"/>
    <w:rsid w:val="00C35FE2"/>
    <w:rsid w:val="00C36942"/>
    <w:rsid w:val="00C36CA5"/>
    <w:rsid w:val="00C36DA4"/>
    <w:rsid w:val="00C3787F"/>
    <w:rsid w:val="00C4020C"/>
    <w:rsid w:val="00C41054"/>
    <w:rsid w:val="00C410D0"/>
    <w:rsid w:val="00C41AFE"/>
    <w:rsid w:val="00C41B0C"/>
    <w:rsid w:val="00C41D57"/>
    <w:rsid w:val="00C4215E"/>
    <w:rsid w:val="00C4228E"/>
    <w:rsid w:val="00C42B92"/>
    <w:rsid w:val="00C42C0B"/>
    <w:rsid w:val="00C42DF8"/>
    <w:rsid w:val="00C43287"/>
    <w:rsid w:val="00C4389D"/>
    <w:rsid w:val="00C43D96"/>
    <w:rsid w:val="00C444A1"/>
    <w:rsid w:val="00C44804"/>
    <w:rsid w:val="00C44870"/>
    <w:rsid w:val="00C44DD5"/>
    <w:rsid w:val="00C45089"/>
    <w:rsid w:val="00C45141"/>
    <w:rsid w:val="00C46548"/>
    <w:rsid w:val="00C47168"/>
    <w:rsid w:val="00C4760F"/>
    <w:rsid w:val="00C47E43"/>
    <w:rsid w:val="00C501EA"/>
    <w:rsid w:val="00C5050E"/>
    <w:rsid w:val="00C5053F"/>
    <w:rsid w:val="00C50710"/>
    <w:rsid w:val="00C51039"/>
    <w:rsid w:val="00C51688"/>
    <w:rsid w:val="00C5227D"/>
    <w:rsid w:val="00C524C3"/>
    <w:rsid w:val="00C52B1B"/>
    <w:rsid w:val="00C53C86"/>
    <w:rsid w:val="00C53F61"/>
    <w:rsid w:val="00C542D9"/>
    <w:rsid w:val="00C544DA"/>
    <w:rsid w:val="00C5465D"/>
    <w:rsid w:val="00C54CAF"/>
    <w:rsid w:val="00C55541"/>
    <w:rsid w:val="00C557BF"/>
    <w:rsid w:val="00C5588E"/>
    <w:rsid w:val="00C55A0D"/>
    <w:rsid w:val="00C55AA3"/>
    <w:rsid w:val="00C56118"/>
    <w:rsid w:val="00C5660A"/>
    <w:rsid w:val="00C56EA3"/>
    <w:rsid w:val="00C57021"/>
    <w:rsid w:val="00C570AE"/>
    <w:rsid w:val="00C57743"/>
    <w:rsid w:val="00C60BFE"/>
    <w:rsid w:val="00C60CE2"/>
    <w:rsid w:val="00C60E4A"/>
    <w:rsid w:val="00C61120"/>
    <w:rsid w:val="00C61C87"/>
    <w:rsid w:val="00C620E8"/>
    <w:rsid w:val="00C6354A"/>
    <w:rsid w:val="00C63831"/>
    <w:rsid w:val="00C64D06"/>
    <w:rsid w:val="00C6556C"/>
    <w:rsid w:val="00C65677"/>
    <w:rsid w:val="00C659B6"/>
    <w:rsid w:val="00C66297"/>
    <w:rsid w:val="00C6634E"/>
    <w:rsid w:val="00C66C76"/>
    <w:rsid w:val="00C6754C"/>
    <w:rsid w:val="00C67811"/>
    <w:rsid w:val="00C67908"/>
    <w:rsid w:val="00C67A06"/>
    <w:rsid w:val="00C67CFC"/>
    <w:rsid w:val="00C67E25"/>
    <w:rsid w:val="00C705D2"/>
    <w:rsid w:val="00C70E4A"/>
    <w:rsid w:val="00C714F6"/>
    <w:rsid w:val="00C716CC"/>
    <w:rsid w:val="00C7219A"/>
    <w:rsid w:val="00C724CE"/>
    <w:rsid w:val="00C72A46"/>
    <w:rsid w:val="00C74123"/>
    <w:rsid w:val="00C7466E"/>
    <w:rsid w:val="00C753C3"/>
    <w:rsid w:val="00C758EC"/>
    <w:rsid w:val="00C75B1C"/>
    <w:rsid w:val="00C75C70"/>
    <w:rsid w:val="00C761F0"/>
    <w:rsid w:val="00C76BC7"/>
    <w:rsid w:val="00C77926"/>
    <w:rsid w:val="00C8048D"/>
    <w:rsid w:val="00C8054F"/>
    <w:rsid w:val="00C81BEB"/>
    <w:rsid w:val="00C81D9A"/>
    <w:rsid w:val="00C81EF6"/>
    <w:rsid w:val="00C81F77"/>
    <w:rsid w:val="00C822F6"/>
    <w:rsid w:val="00C82479"/>
    <w:rsid w:val="00C8261B"/>
    <w:rsid w:val="00C83140"/>
    <w:rsid w:val="00C835D8"/>
    <w:rsid w:val="00C836F3"/>
    <w:rsid w:val="00C83873"/>
    <w:rsid w:val="00C83E8B"/>
    <w:rsid w:val="00C84BC0"/>
    <w:rsid w:val="00C84E04"/>
    <w:rsid w:val="00C85093"/>
    <w:rsid w:val="00C85362"/>
    <w:rsid w:val="00C855D2"/>
    <w:rsid w:val="00C86345"/>
    <w:rsid w:val="00C86428"/>
    <w:rsid w:val="00C8728E"/>
    <w:rsid w:val="00C872B6"/>
    <w:rsid w:val="00C87D63"/>
    <w:rsid w:val="00C901C5"/>
    <w:rsid w:val="00C9074D"/>
    <w:rsid w:val="00C90C25"/>
    <w:rsid w:val="00C9147E"/>
    <w:rsid w:val="00C914AE"/>
    <w:rsid w:val="00C9202A"/>
    <w:rsid w:val="00C92663"/>
    <w:rsid w:val="00C9275F"/>
    <w:rsid w:val="00C9287F"/>
    <w:rsid w:val="00C92AC0"/>
    <w:rsid w:val="00C93141"/>
    <w:rsid w:val="00C937D2"/>
    <w:rsid w:val="00C94549"/>
    <w:rsid w:val="00C94611"/>
    <w:rsid w:val="00C94896"/>
    <w:rsid w:val="00C95F27"/>
    <w:rsid w:val="00C96271"/>
    <w:rsid w:val="00C963B9"/>
    <w:rsid w:val="00C96AD4"/>
    <w:rsid w:val="00C96C47"/>
    <w:rsid w:val="00C973A8"/>
    <w:rsid w:val="00C97463"/>
    <w:rsid w:val="00C978DD"/>
    <w:rsid w:val="00CA0014"/>
    <w:rsid w:val="00CA07B7"/>
    <w:rsid w:val="00CA15B7"/>
    <w:rsid w:val="00CA20F9"/>
    <w:rsid w:val="00CA2647"/>
    <w:rsid w:val="00CA2773"/>
    <w:rsid w:val="00CA2AFC"/>
    <w:rsid w:val="00CA2F28"/>
    <w:rsid w:val="00CA370A"/>
    <w:rsid w:val="00CA3BF2"/>
    <w:rsid w:val="00CA3FB8"/>
    <w:rsid w:val="00CA40B8"/>
    <w:rsid w:val="00CA4137"/>
    <w:rsid w:val="00CA46CF"/>
    <w:rsid w:val="00CA48E9"/>
    <w:rsid w:val="00CA4E57"/>
    <w:rsid w:val="00CA52BA"/>
    <w:rsid w:val="00CA5C8F"/>
    <w:rsid w:val="00CA5DFA"/>
    <w:rsid w:val="00CA62DC"/>
    <w:rsid w:val="00CA6F1D"/>
    <w:rsid w:val="00CA780B"/>
    <w:rsid w:val="00CB05BD"/>
    <w:rsid w:val="00CB074C"/>
    <w:rsid w:val="00CB0805"/>
    <w:rsid w:val="00CB0BC6"/>
    <w:rsid w:val="00CB10E3"/>
    <w:rsid w:val="00CB1524"/>
    <w:rsid w:val="00CB199A"/>
    <w:rsid w:val="00CB247F"/>
    <w:rsid w:val="00CB275C"/>
    <w:rsid w:val="00CB3236"/>
    <w:rsid w:val="00CB324B"/>
    <w:rsid w:val="00CB32B8"/>
    <w:rsid w:val="00CB35F2"/>
    <w:rsid w:val="00CB3A2D"/>
    <w:rsid w:val="00CB3EE3"/>
    <w:rsid w:val="00CB4189"/>
    <w:rsid w:val="00CB41D9"/>
    <w:rsid w:val="00CB5084"/>
    <w:rsid w:val="00CB575B"/>
    <w:rsid w:val="00CB58E6"/>
    <w:rsid w:val="00CB641D"/>
    <w:rsid w:val="00CB6A10"/>
    <w:rsid w:val="00CB71D5"/>
    <w:rsid w:val="00CB73C9"/>
    <w:rsid w:val="00CB77AD"/>
    <w:rsid w:val="00CC00D7"/>
    <w:rsid w:val="00CC03D6"/>
    <w:rsid w:val="00CC0644"/>
    <w:rsid w:val="00CC07B7"/>
    <w:rsid w:val="00CC0D4A"/>
    <w:rsid w:val="00CC2E28"/>
    <w:rsid w:val="00CC3142"/>
    <w:rsid w:val="00CC32E8"/>
    <w:rsid w:val="00CC3531"/>
    <w:rsid w:val="00CC3809"/>
    <w:rsid w:val="00CC3D4B"/>
    <w:rsid w:val="00CC3DBC"/>
    <w:rsid w:val="00CC4355"/>
    <w:rsid w:val="00CC4C6D"/>
    <w:rsid w:val="00CC4D36"/>
    <w:rsid w:val="00CC4E16"/>
    <w:rsid w:val="00CC4E47"/>
    <w:rsid w:val="00CC5F22"/>
    <w:rsid w:val="00CC6548"/>
    <w:rsid w:val="00CC6637"/>
    <w:rsid w:val="00CC6A5A"/>
    <w:rsid w:val="00CC768C"/>
    <w:rsid w:val="00CC79C8"/>
    <w:rsid w:val="00CD0415"/>
    <w:rsid w:val="00CD0A9D"/>
    <w:rsid w:val="00CD1573"/>
    <w:rsid w:val="00CD27AB"/>
    <w:rsid w:val="00CD2B7A"/>
    <w:rsid w:val="00CD2FE1"/>
    <w:rsid w:val="00CD2FE3"/>
    <w:rsid w:val="00CD335C"/>
    <w:rsid w:val="00CD41DA"/>
    <w:rsid w:val="00CD432C"/>
    <w:rsid w:val="00CD47D5"/>
    <w:rsid w:val="00CD4979"/>
    <w:rsid w:val="00CD4F03"/>
    <w:rsid w:val="00CD5577"/>
    <w:rsid w:val="00CD574B"/>
    <w:rsid w:val="00CD60CD"/>
    <w:rsid w:val="00CD645A"/>
    <w:rsid w:val="00CD66CB"/>
    <w:rsid w:val="00CD6AD2"/>
    <w:rsid w:val="00CD6C44"/>
    <w:rsid w:val="00CD7494"/>
    <w:rsid w:val="00CD759D"/>
    <w:rsid w:val="00CD7C98"/>
    <w:rsid w:val="00CE0443"/>
    <w:rsid w:val="00CE04AD"/>
    <w:rsid w:val="00CE0525"/>
    <w:rsid w:val="00CE0600"/>
    <w:rsid w:val="00CE149A"/>
    <w:rsid w:val="00CE1B7A"/>
    <w:rsid w:val="00CE24D9"/>
    <w:rsid w:val="00CE28ED"/>
    <w:rsid w:val="00CE3D71"/>
    <w:rsid w:val="00CE4293"/>
    <w:rsid w:val="00CE496B"/>
    <w:rsid w:val="00CE49D1"/>
    <w:rsid w:val="00CE5C97"/>
    <w:rsid w:val="00CE62D6"/>
    <w:rsid w:val="00CE6DCB"/>
    <w:rsid w:val="00CE71F9"/>
    <w:rsid w:val="00CF0234"/>
    <w:rsid w:val="00CF03BF"/>
    <w:rsid w:val="00CF06E4"/>
    <w:rsid w:val="00CF09CB"/>
    <w:rsid w:val="00CF0B47"/>
    <w:rsid w:val="00CF1597"/>
    <w:rsid w:val="00CF22A2"/>
    <w:rsid w:val="00CF2871"/>
    <w:rsid w:val="00CF2AFA"/>
    <w:rsid w:val="00CF35F6"/>
    <w:rsid w:val="00CF3B62"/>
    <w:rsid w:val="00CF3C7C"/>
    <w:rsid w:val="00CF4D7F"/>
    <w:rsid w:val="00CF4F7A"/>
    <w:rsid w:val="00CF5BB7"/>
    <w:rsid w:val="00CF7325"/>
    <w:rsid w:val="00CF7912"/>
    <w:rsid w:val="00CF7B30"/>
    <w:rsid w:val="00D001E0"/>
    <w:rsid w:val="00D0057A"/>
    <w:rsid w:val="00D00642"/>
    <w:rsid w:val="00D0091C"/>
    <w:rsid w:val="00D01505"/>
    <w:rsid w:val="00D01B24"/>
    <w:rsid w:val="00D01D7E"/>
    <w:rsid w:val="00D02766"/>
    <w:rsid w:val="00D02B08"/>
    <w:rsid w:val="00D02EE3"/>
    <w:rsid w:val="00D037AC"/>
    <w:rsid w:val="00D05BE9"/>
    <w:rsid w:val="00D061B0"/>
    <w:rsid w:val="00D0630D"/>
    <w:rsid w:val="00D07040"/>
    <w:rsid w:val="00D071F3"/>
    <w:rsid w:val="00D075AE"/>
    <w:rsid w:val="00D0765C"/>
    <w:rsid w:val="00D07C14"/>
    <w:rsid w:val="00D103DE"/>
    <w:rsid w:val="00D1044C"/>
    <w:rsid w:val="00D1108E"/>
    <w:rsid w:val="00D11DDA"/>
    <w:rsid w:val="00D12675"/>
    <w:rsid w:val="00D12969"/>
    <w:rsid w:val="00D12E65"/>
    <w:rsid w:val="00D12F1D"/>
    <w:rsid w:val="00D139AC"/>
    <w:rsid w:val="00D139B2"/>
    <w:rsid w:val="00D13BD0"/>
    <w:rsid w:val="00D1463A"/>
    <w:rsid w:val="00D14802"/>
    <w:rsid w:val="00D14F6A"/>
    <w:rsid w:val="00D1525D"/>
    <w:rsid w:val="00D1531B"/>
    <w:rsid w:val="00D15D92"/>
    <w:rsid w:val="00D160CC"/>
    <w:rsid w:val="00D16251"/>
    <w:rsid w:val="00D162CA"/>
    <w:rsid w:val="00D16317"/>
    <w:rsid w:val="00D16CBE"/>
    <w:rsid w:val="00D17131"/>
    <w:rsid w:val="00D2084F"/>
    <w:rsid w:val="00D20E16"/>
    <w:rsid w:val="00D22C46"/>
    <w:rsid w:val="00D241E4"/>
    <w:rsid w:val="00D302EF"/>
    <w:rsid w:val="00D31191"/>
    <w:rsid w:val="00D311F3"/>
    <w:rsid w:val="00D31408"/>
    <w:rsid w:val="00D31728"/>
    <w:rsid w:val="00D32949"/>
    <w:rsid w:val="00D33FC9"/>
    <w:rsid w:val="00D3415E"/>
    <w:rsid w:val="00D34C11"/>
    <w:rsid w:val="00D35880"/>
    <w:rsid w:val="00D35971"/>
    <w:rsid w:val="00D35C47"/>
    <w:rsid w:val="00D35CDB"/>
    <w:rsid w:val="00D378CE"/>
    <w:rsid w:val="00D4004B"/>
    <w:rsid w:val="00D4047D"/>
    <w:rsid w:val="00D40AF9"/>
    <w:rsid w:val="00D40B9A"/>
    <w:rsid w:val="00D40DA8"/>
    <w:rsid w:val="00D40E79"/>
    <w:rsid w:val="00D416F7"/>
    <w:rsid w:val="00D416FA"/>
    <w:rsid w:val="00D42A9A"/>
    <w:rsid w:val="00D42F7B"/>
    <w:rsid w:val="00D4376C"/>
    <w:rsid w:val="00D43DC5"/>
    <w:rsid w:val="00D44354"/>
    <w:rsid w:val="00D4435E"/>
    <w:rsid w:val="00D445FE"/>
    <w:rsid w:val="00D44647"/>
    <w:rsid w:val="00D4481B"/>
    <w:rsid w:val="00D44C37"/>
    <w:rsid w:val="00D458D1"/>
    <w:rsid w:val="00D46739"/>
    <w:rsid w:val="00D4696B"/>
    <w:rsid w:val="00D46BBC"/>
    <w:rsid w:val="00D46E52"/>
    <w:rsid w:val="00D472B7"/>
    <w:rsid w:val="00D4779F"/>
    <w:rsid w:val="00D4799D"/>
    <w:rsid w:val="00D47ECD"/>
    <w:rsid w:val="00D50719"/>
    <w:rsid w:val="00D50F2C"/>
    <w:rsid w:val="00D51E5B"/>
    <w:rsid w:val="00D5205D"/>
    <w:rsid w:val="00D521C8"/>
    <w:rsid w:val="00D5243A"/>
    <w:rsid w:val="00D52713"/>
    <w:rsid w:val="00D527C6"/>
    <w:rsid w:val="00D53025"/>
    <w:rsid w:val="00D5328F"/>
    <w:rsid w:val="00D53621"/>
    <w:rsid w:val="00D538A9"/>
    <w:rsid w:val="00D53AAA"/>
    <w:rsid w:val="00D53B0F"/>
    <w:rsid w:val="00D5486E"/>
    <w:rsid w:val="00D548E8"/>
    <w:rsid w:val="00D549B8"/>
    <w:rsid w:val="00D54D09"/>
    <w:rsid w:val="00D54E1C"/>
    <w:rsid w:val="00D550E9"/>
    <w:rsid w:val="00D555CB"/>
    <w:rsid w:val="00D55F06"/>
    <w:rsid w:val="00D56F91"/>
    <w:rsid w:val="00D57004"/>
    <w:rsid w:val="00D5745B"/>
    <w:rsid w:val="00D57516"/>
    <w:rsid w:val="00D578D7"/>
    <w:rsid w:val="00D60057"/>
    <w:rsid w:val="00D602E5"/>
    <w:rsid w:val="00D60D89"/>
    <w:rsid w:val="00D61E31"/>
    <w:rsid w:val="00D62695"/>
    <w:rsid w:val="00D62CE9"/>
    <w:rsid w:val="00D63028"/>
    <w:rsid w:val="00D63F47"/>
    <w:rsid w:val="00D65D13"/>
    <w:rsid w:val="00D6663D"/>
    <w:rsid w:val="00D704ED"/>
    <w:rsid w:val="00D70853"/>
    <w:rsid w:val="00D70BC9"/>
    <w:rsid w:val="00D71482"/>
    <w:rsid w:val="00D717EC"/>
    <w:rsid w:val="00D71941"/>
    <w:rsid w:val="00D71B8C"/>
    <w:rsid w:val="00D71DB3"/>
    <w:rsid w:val="00D72659"/>
    <w:rsid w:val="00D729AB"/>
    <w:rsid w:val="00D72A50"/>
    <w:rsid w:val="00D72FA4"/>
    <w:rsid w:val="00D73576"/>
    <w:rsid w:val="00D73B26"/>
    <w:rsid w:val="00D74EFF"/>
    <w:rsid w:val="00D75282"/>
    <w:rsid w:val="00D753E1"/>
    <w:rsid w:val="00D7638F"/>
    <w:rsid w:val="00D7656A"/>
    <w:rsid w:val="00D766EB"/>
    <w:rsid w:val="00D76A30"/>
    <w:rsid w:val="00D76D78"/>
    <w:rsid w:val="00D7749B"/>
    <w:rsid w:val="00D77B0B"/>
    <w:rsid w:val="00D77D57"/>
    <w:rsid w:val="00D77F8D"/>
    <w:rsid w:val="00D80DC5"/>
    <w:rsid w:val="00D81A46"/>
    <w:rsid w:val="00D820C9"/>
    <w:rsid w:val="00D82644"/>
    <w:rsid w:val="00D82A57"/>
    <w:rsid w:val="00D8336A"/>
    <w:rsid w:val="00D833DE"/>
    <w:rsid w:val="00D83D38"/>
    <w:rsid w:val="00D83FB2"/>
    <w:rsid w:val="00D84DEE"/>
    <w:rsid w:val="00D8514B"/>
    <w:rsid w:val="00D851BD"/>
    <w:rsid w:val="00D8565C"/>
    <w:rsid w:val="00D858CA"/>
    <w:rsid w:val="00D86F06"/>
    <w:rsid w:val="00D870CC"/>
    <w:rsid w:val="00D87418"/>
    <w:rsid w:val="00D87500"/>
    <w:rsid w:val="00D875A0"/>
    <w:rsid w:val="00D87FE5"/>
    <w:rsid w:val="00D90BF4"/>
    <w:rsid w:val="00D90E9F"/>
    <w:rsid w:val="00D9134E"/>
    <w:rsid w:val="00D9212C"/>
    <w:rsid w:val="00D922F2"/>
    <w:rsid w:val="00D92398"/>
    <w:rsid w:val="00D92551"/>
    <w:rsid w:val="00D92C35"/>
    <w:rsid w:val="00D93364"/>
    <w:rsid w:val="00D93C0E"/>
    <w:rsid w:val="00D93F9C"/>
    <w:rsid w:val="00D945C5"/>
    <w:rsid w:val="00D948BB"/>
    <w:rsid w:val="00D95593"/>
    <w:rsid w:val="00D95631"/>
    <w:rsid w:val="00D95C66"/>
    <w:rsid w:val="00D96091"/>
    <w:rsid w:val="00D96106"/>
    <w:rsid w:val="00D9614F"/>
    <w:rsid w:val="00D964F1"/>
    <w:rsid w:val="00D97077"/>
    <w:rsid w:val="00D9719F"/>
    <w:rsid w:val="00D977AE"/>
    <w:rsid w:val="00D97A80"/>
    <w:rsid w:val="00D97C87"/>
    <w:rsid w:val="00D97D85"/>
    <w:rsid w:val="00D97DEB"/>
    <w:rsid w:val="00DA265A"/>
    <w:rsid w:val="00DA268A"/>
    <w:rsid w:val="00DA2FA4"/>
    <w:rsid w:val="00DA347D"/>
    <w:rsid w:val="00DA3AE6"/>
    <w:rsid w:val="00DA3D5D"/>
    <w:rsid w:val="00DA40CF"/>
    <w:rsid w:val="00DA4193"/>
    <w:rsid w:val="00DA4483"/>
    <w:rsid w:val="00DA5217"/>
    <w:rsid w:val="00DA554E"/>
    <w:rsid w:val="00DA65B3"/>
    <w:rsid w:val="00DA708A"/>
    <w:rsid w:val="00DB0441"/>
    <w:rsid w:val="00DB0635"/>
    <w:rsid w:val="00DB20B7"/>
    <w:rsid w:val="00DB26A6"/>
    <w:rsid w:val="00DB3F97"/>
    <w:rsid w:val="00DB47E0"/>
    <w:rsid w:val="00DB4845"/>
    <w:rsid w:val="00DB4855"/>
    <w:rsid w:val="00DB4934"/>
    <w:rsid w:val="00DB51F9"/>
    <w:rsid w:val="00DB5255"/>
    <w:rsid w:val="00DB60D3"/>
    <w:rsid w:val="00DB6230"/>
    <w:rsid w:val="00DB638A"/>
    <w:rsid w:val="00DB64D5"/>
    <w:rsid w:val="00DB6977"/>
    <w:rsid w:val="00DB701F"/>
    <w:rsid w:val="00DB76E3"/>
    <w:rsid w:val="00DB78A2"/>
    <w:rsid w:val="00DB7A4F"/>
    <w:rsid w:val="00DC0994"/>
    <w:rsid w:val="00DC0CA1"/>
    <w:rsid w:val="00DC189C"/>
    <w:rsid w:val="00DC1D1A"/>
    <w:rsid w:val="00DC1DDF"/>
    <w:rsid w:val="00DC1F05"/>
    <w:rsid w:val="00DC2011"/>
    <w:rsid w:val="00DC2A27"/>
    <w:rsid w:val="00DC2DF9"/>
    <w:rsid w:val="00DC3072"/>
    <w:rsid w:val="00DC3E65"/>
    <w:rsid w:val="00DC57CD"/>
    <w:rsid w:val="00DC5B33"/>
    <w:rsid w:val="00DC69CF"/>
    <w:rsid w:val="00DC6FC4"/>
    <w:rsid w:val="00DC79C1"/>
    <w:rsid w:val="00DC7FBB"/>
    <w:rsid w:val="00DD0CBA"/>
    <w:rsid w:val="00DD1A6E"/>
    <w:rsid w:val="00DD1A84"/>
    <w:rsid w:val="00DD1F63"/>
    <w:rsid w:val="00DD1FBB"/>
    <w:rsid w:val="00DD1FD2"/>
    <w:rsid w:val="00DD2176"/>
    <w:rsid w:val="00DD22AA"/>
    <w:rsid w:val="00DD29A9"/>
    <w:rsid w:val="00DD2AE4"/>
    <w:rsid w:val="00DD2BB5"/>
    <w:rsid w:val="00DD2F80"/>
    <w:rsid w:val="00DD338F"/>
    <w:rsid w:val="00DD33D3"/>
    <w:rsid w:val="00DD3A89"/>
    <w:rsid w:val="00DD3B12"/>
    <w:rsid w:val="00DD42D3"/>
    <w:rsid w:val="00DD4E64"/>
    <w:rsid w:val="00DD5B77"/>
    <w:rsid w:val="00DD61B2"/>
    <w:rsid w:val="00DD6360"/>
    <w:rsid w:val="00DD6CB0"/>
    <w:rsid w:val="00DD6F9C"/>
    <w:rsid w:val="00DD7578"/>
    <w:rsid w:val="00DD7763"/>
    <w:rsid w:val="00DD79E2"/>
    <w:rsid w:val="00DE05A1"/>
    <w:rsid w:val="00DE0825"/>
    <w:rsid w:val="00DE0929"/>
    <w:rsid w:val="00DE1520"/>
    <w:rsid w:val="00DE1740"/>
    <w:rsid w:val="00DE1F71"/>
    <w:rsid w:val="00DE2697"/>
    <w:rsid w:val="00DE2719"/>
    <w:rsid w:val="00DE29D4"/>
    <w:rsid w:val="00DE2FB4"/>
    <w:rsid w:val="00DE3699"/>
    <w:rsid w:val="00DE3B83"/>
    <w:rsid w:val="00DE4912"/>
    <w:rsid w:val="00DE4EB5"/>
    <w:rsid w:val="00DE5BE4"/>
    <w:rsid w:val="00DE71B4"/>
    <w:rsid w:val="00DE77C4"/>
    <w:rsid w:val="00DF0462"/>
    <w:rsid w:val="00DF07DF"/>
    <w:rsid w:val="00DF07F7"/>
    <w:rsid w:val="00DF09EB"/>
    <w:rsid w:val="00DF09FB"/>
    <w:rsid w:val="00DF0F95"/>
    <w:rsid w:val="00DF2A8E"/>
    <w:rsid w:val="00DF3202"/>
    <w:rsid w:val="00DF3F6D"/>
    <w:rsid w:val="00DF3F9A"/>
    <w:rsid w:val="00DF44A9"/>
    <w:rsid w:val="00DF4B03"/>
    <w:rsid w:val="00DF4B7A"/>
    <w:rsid w:val="00DF5199"/>
    <w:rsid w:val="00DF51CB"/>
    <w:rsid w:val="00DF57F1"/>
    <w:rsid w:val="00DF59C9"/>
    <w:rsid w:val="00DF5A4E"/>
    <w:rsid w:val="00DF5BCF"/>
    <w:rsid w:val="00DF6975"/>
    <w:rsid w:val="00DF6A28"/>
    <w:rsid w:val="00DF7679"/>
    <w:rsid w:val="00DF7847"/>
    <w:rsid w:val="00DF788D"/>
    <w:rsid w:val="00E01950"/>
    <w:rsid w:val="00E026AF"/>
    <w:rsid w:val="00E02F28"/>
    <w:rsid w:val="00E03268"/>
    <w:rsid w:val="00E047D7"/>
    <w:rsid w:val="00E04D6E"/>
    <w:rsid w:val="00E0568D"/>
    <w:rsid w:val="00E0584F"/>
    <w:rsid w:val="00E0598A"/>
    <w:rsid w:val="00E05BEE"/>
    <w:rsid w:val="00E05E66"/>
    <w:rsid w:val="00E06370"/>
    <w:rsid w:val="00E07387"/>
    <w:rsid w:val="00E073B5"/>
    <w:rsid w:val="00E07BF0"/>
    <w:rsid w:val="00E10486"/>
    <w:rsid w:val="00E10B44"/>
    <w:rsid w:val="00E10CAE"/>
    <w:rsid w:val="00E112CB"/>
    <w:rsid w:val="00E11C66"/>
    <w:rsid w:val="00E11C69"/>
    <w:rsid w:val="00E1265C"/>
    <w:rsid w:val="00E12C30"/>
    <w:rsid w:val="00E14296"/>
    <w:rsid w:val="00E151DE"/>
    <w:rsid w:val="00E15D8E"/>
    <w:rsid w:val="00E15F35"/>
    <w:rsid w:val="00E16805"/>
    <w:rsid w:val="00E16A91"/>
    <w:rsid w:val="00E16E34"/>
    <w:rsid w:val="00E171B8"/>
    <w:rsid w:val="00E17321"/>
    <w:rsid w:val="00E1739A"/>
    <w:rsid w:val="00E17627"/>
    <w:rsid w:val="00E17872"/>
    <w:rsid w:val="00E20561"/>
    <w:rsid w:val="00E20609"/>
    <w:rsid w:val="00E20653"/>
    <w:rsid w:val="00E206CC"/>
    <w:rsid w:val="00E206EA"/>
    <w:rsid w:val="00E207FA"/>
    <w:rsid w:val="00E21E0D"/>
    <w:rsid w:val="00E223B2"/>
    <w:rsid w:val="00E22934"/>
    <w:rsid w:val="00E22C55"/>
    <w:rsid w:val="00E23041"/>
    <w:rsid w:val="00E23BEC"/>
    <w:rsid w:val="00E2405A"/>
    <w:rsid w:val="00E240CA"/>
    <w:rsid w:val="00E24A07"/>
    <w:rsid w:val="00E24B30"/>
    <w:rsid w:val="00E24E62"/>
    <w:rsid w:val="00E253E8"/>
    <w:rsid w:val="00E25B71"/>
    <w:rsid w:val="00E26318"/>
    <w:rsid w:val="00E2684D"/>
    <w:rsid w:val="00E268E6"/>
    <w:rsid w:val="00E26CFF"/>
    <w:rsid w:val="00E270F6"/>
    <w:rsid w:val="00E274A9"/>
    <w:rsid w:val="00E27AEF"/>
    <w:rsid w:val="00E27DC6"/>
    <w:rsid w:val="00E300FC"/>
    <w:rsid w:val="00E307EF"/>
    <w:rsid w:val="00E3096B"/>
    <w:rsid w:val="00E30B68"/>
    <w:rsid w:val="00E315FE"/>
    <w:rsid w:val="00E31C18"/>
    <w:rsid w:val="00E32202"/>
    <w:rsid w:val="00E32559"/>
    <w:rsid w:val="00E327B5"/>
    <w:rsid w:val="00E32EBE"/>
    <w:rsid w:val="00E3346A"/>
    <w:rsid w:val="00E33611"/>
    <w:rsid w:val="00E33843"/>
    <w:rsid w:val="00E3388C"/>
    <w:rsid w:val="00E343B6"/>
    <w:rsid w:val="00E35613"/>
    <w:rsid w:val="00E35B2E"/>
    <w:rsid w:val="00E36B5B"/>
    <w:rsid w:val="00E36BB6"/>
    <w:rsid w:val="00E36D81"/>
    <w:rsid w:val="00E373E0"/>
    <w:rsid w:val="00E37489"/>
    <w:rsid w:val="00E37CF9"/>
    <w:rsid w:val="00E37F1C"/>
    <w:rsid w:val="00E40384"/>
    <w:rsid w:val="00E40C21"/>
    <w:rsid w:val="00E41427"/>
    <w:rsid w:val="00E4150B"/>
    <w:rsid w:val="00E423D8"/>
    <w:rsid w:val="00E42582"/>
    <w:rsid w:val="00E4312B"/>
    <w:rsid w:val="00E4367F"/>
    <w:rsid w:val="00E43BA8"/>
    <w:rsid w:val="00E445C1"/>
    <w:rsid w:val="00E4490B"/>
    <w:rsid w:val="00E44B61"/>
    <w:rsid w:val="00E44C05"/>
    <w:rsid w:val="00E4522A"/>
    <w:rsid w:val="00E4594C"/>
    <w:rsid w:val="00E47721"/>
    <w:rsid w:val="00E478F8"/>
    <w:rsid w:val="00E47B32"/>
    <w:rsid w:val="00E47E15"/>
    <w:rsid w:val="00E47FF7"/>
    <w:rsid w:val="00E512E4"/>
    <w:rsid w:val="00E51E7A"/>
    <w:rsid w:val="00E52C75"/>
    <w:rsid w:val="00E536DE"/>
    <w:rsid w:val="00E53C1F"/>
    <w:rsid w:val="00E53F00"/>
    <w:rsid w:val="00E5436D"/>
    <w:rsid w:val="00E54AF2"/>
    <w:rsid w:val="00E55476"/>
    <w:rsid w:val="00E5626D"/>
    <w:rsid w:val="00E564B9"/>
    <w:rsid w:val="00E569A7"/>
    <w:rsid w:val="00E57513"/>
    <w:rsid w:val="00E57D34"/>
    <w:rsid w:val="00E614DC"/>
    <w:rsid w:val="00E61E91"/>
    <w:rsid w:val="00E620E3"/>
    <w:rsid w:val="00E622A0"/>
    <w:rsid w:val="00E62417"/>
    <w:rsid w:val="00E626B8"/>
    <w:rsid w:val="00E6275F"/>
    <w:rsid w:val="00E62DDF"/>
    <w:rsid w:val="00E62F11"/>
    <w:rsid w:val="00E63F64"/>
    <w:rsid w:val="00E6484D"/>
    <w:rsid w:val="00E64A8A"/>
    <w:rsid w:val="00E64FF4"/>
    <w:rsid w:val="00E64FFE"/>
    <w:rsid w:val="00E6520E"/>
    <w:rsid w:val="00E65AD4"/>
    <w:rsid w:val="00E65AF8"/>
    <w:rsid w:val="00E66470"/>
    <w:rsid w:val="00E66B47"/>
    <w:rsid w:val="00E66CCF"/>
    <w:rsid w:val="00E66E53"/>
    <w:rsid w:val="00E67DF4"/>
    <w:rsid w:val="00E67F62"/>
    <w:rsid w:val="00E70144"/>
    <w:rsid w:val="00E702AC"/>
    <w:rsid w:val="00E70440"/>
    <w:rsid w:val="00E705B1"/>
    <w:rsid w:val="00E70871"/>
    <w:rsid w:val="00E70997"/>
    <w:rsid w:val="00E70BF5"/>
    <w:rsid w:val="00E70E7E"/>
    <w:rsid w:val="00E71574"/>
    <w:rsid w:val="00E71DC0"/>
    <w:rsid w:val="00E71EAE"/>
    <w:rsid w:val="00E73466"/>
    <w:rsid w:val="00E73648"/>
    <w:rsid w:val="00E73F71"/>
    <w:rsid w:val="00E74695"/>
    <w:rsid w:val="00E7571E"/>
    <w:rsid w:val="00E76DDE"/>
    <w:rsid w:val="00E77084"/>
    <w:rsid w:val="00E7765B"/>
    <w:rsid w:val="00E776BF"/>
    <w:rsid w:val="00E776F0"/>
    <w:rsid w:val="00E80061"/>
    <w:rsid w:val="00E800C5"/>
    <w:rsid w:val="00E8083A"/>
    <w:rsid w:val="00E8089F"/>
    <w:rsid w:val="00E8107A"/>
    <w:rsid w:val="00E813F3"/>
    <w:rsid w:val="00E819E2"/>
    <w:rsid w:val="00E81C63"/>
    <w:rsid w:val="00E81DC8"/>
    <w:rsid w:val="00E81DD4"/>
    <w:rsid w:val="00E82846"/>
    <w:rsid w:val="00E8309D"/>
    <w:rsid w:val="00E83364"/>
    <w:rsid w:val="00E835E9"/>
    <w:rsid w:val="00E8383D"/>
    <w:rsid w:val="00E83FE3"/>
    <w:rsid w:val="00E8439F"/>
    <w:rsid w:val="00E848A5"/>
    <w:rsid w:val="00E8512E"/>
    <w:rsid w:val="00E854ED"/>
    <w:rsid w:val="00E85E92"/>
    <w:rsid w:val="00E863F3"/>
    <w:rsid w:val="00E86FA7"/>
    <w:rsid w:val="00E87C75"/>
    <w:rsid w:val="00E9067A"/>
    <w:rsid w:val="00E90E07"/>
    <w:rsid w:val="00E914EA"/>
    <w:rsid w:val="00E91A82"/>
    <w:rsid w:val="00E91F11"/>
    <w:rsid w:val="00E92359"/>
    <w:rsid w:val="00E930E0"/>
    <w:rsid w:val="00E935E2"/>
    <w:rsid w:val="00E93C85"/>
    <w:rsid w:val="00E93FBF"/>
    <w:rsid w:val="00E94062"/>
    <w:rsid w:val="00E941EA"/>
    <w:rsid w:val="00E9427B"/>
    <w:rsid w:val="00E94DFE"/>
    <w:rsid w:val="00E95B2D"/>
    <w:rsid w:val="00E9637D"/>
    <w:rsid w:val="00E96E8E"/>
    <w:rsid w:val="00E972EA"/>
    <w:rsid w:val="00EA10C8"/>
    <w:rsid w:val="00EA18AF"/>
    <w:rsid w:val="00EA1D1C"/>
    <w:rsid w:val="00EA4441"/>
    <w:rsid w:val="00EA4766"/>
    <w:rsid w:val="00EA4BB2"/>
    <w:rsid w:val="00EA4DCD"/>
    <w:rsid w:val="00EA4E24"/>
    <w:rsid w:val="00EA4FC4"/>
    <w:rsid w:val="00EA53D7"/>
    <w:rsid w:val="00EA61D2"/>
    <w:rsid w:val="00EA687C"/>
    <w:rsid w:val="00EA695C"/>
    <w:rsid w:val="00EA6BBF"/>
    <w:rsid w:val="00EA76D1"/>
    <w:rsid w:val="00EB06C9"/>
    <w:rsid w:val="00EB0F72"/>
    <w:rsid w:val="00EB10BD"/>
    <w:rsid w:val="00EB2479"/>
    <w:rsid w:val="00EB2991"/>
    <w:rsid w:val="00EB2BF5"/>
    <w:rsid w:val="00EB3C1C"/>
    <w:rsid w:val="00EB3C7D"/>
    <w:rsid w:val="00EB4186"/>
    <w:rsid w:val="00EB4460"/>
    <w:rsid w:val="00EB4598"/>
    <w:rsid w:val="00EB4964"/>
    <w:rsid w:val="00EB5BF8"/>
    <w:rsid w:val="00EB7292"/>
    <w:rsid w:val="00EB73FD"/>
    <w:rsid w:val="00EC0366"/>
    <w:rsid w:val="00EC09CA"/>
    <w:rsid w:val="00EC13C9"/>
    <w:rsid w:val="00EC1FB4"/>
    <w:rsid w:val="00EC24C2"/>
    <w:rsid w:val="00EC2762"/>
    <w:rsid w:val="00EC2AA1"/>
    <w:rsid w:val="00EC3093"/>
    <w:rsid w:val="00EC38D7"/>
    <w:rsid w:val="00EC3CA5"/>
    <w:rsid w:val="00EC5088"/>
    <w:rsid w:val="00EC58AF"/>
    <w:rsid w:val="00EC6192"/>
    <w:rsid w:val="00EC61BC"/>
    <w:rsid w:val="00EC6A5B"/>
    <w:rsid w:val="00EC6C32"/>
    <w:rsid w:val="00EC6D2A"/>
    <w:rsid w:val="00EC6F00"/>
    <w:rsid w:val="00EC7681"/>
    <w:rsid w:val="00EC76FB"/>
    <w:rsid w:val="00EC795E"/>
    <w:rsid w:val="00EC7B96"/>
    <w:rsid w:val="00EC7F1E"/>
    <w:rsid w:val="00ED0587"/>
    <w:rsid w:val="00ED05A3"/>
    <w:rsid w:val="00ED0D78"/>
    <w:rsid w:val="00ED2438"/>
    <w:rsid w:val="00ED2F3C"/>
    <w:rsid w:val="00ED2F99"/>
    <w:rsid w:val="00ED2FF5"/>
    <w:rsid w:val="00ED32E6"/>
    <w:rsid w:val="00ED3E30"/>
    <w:rsid w:val="00ED4CBE"/>
    <w:rsid w:val="00ED4F33"/>
    <w:rsid w:val="00ED5C0C"/>
    <w:rsid w:val="00ED6453"/>
    <w:rsid w:val="00ED6837"/>
    <w:rsid w:val="00EE0C81"/>
    <w:rsid w:val="00EE0FDE"/>
    <w:rsid w:val="00EE16D9"/>
    <w:rsid w:val="00EE26D4"/>
    <w:rsid w:val="00EE2F3E"/>
    <w:rsid w:val="00EE34E3"/>
    <w:rsid w:val="00EE3D38"/>
    <w:rsid w:val="00EE43F0"/>
    <w:rsid w:val="00EE4F7A"/>
    <w:rsid w:val="00EE5B52"/>
    <w:rsid w:val="00EE5B9D"/>
    <w:rsid w:val="00EE6CF4"/>
    <w:rsid w:val="00EF0A5B"/>
    <w:rsid w:val="00EF1D04"/>
    <w:rsid w:val="00EF220B"/>
    <w:rsid w:val="00EF24DE"/>
    <w:rsid w:val="00EF2E20"/>
    <w:rsid w:val="00EF3036"/>
    <w:rsid w:val="00EF3C6C"/>
    <w:rsid w:val="00EF3EC0"/>
    <w:rsid w:val="00EF47D9"/>
    <w:rsid w:val="00EF4A5D"/>
    <w:rsid w:val="00EF4D02"/>
    <w:rsid w:val="00EF5428"/>
    <w:rsid w:val="00EF608D"/>
    <w:rsid w:val="00EF644F"/>
    <w:rsid w:val="00EF645A"/>
    <w:rsid w:val="00EF6B1E"/>
    <w:rsid w:val="00EF778D"/>
    <w:rsid w:val="00EF7ABB"/>
    <w:rsid w:val="00EF7B22"/>
    <w:rsid w:val="00EF7FF8"/>
    <w:rsid w:val="00F003FE"/>
    <w:rsid w:val="00F00B34"/>
    <w:rsid w:val="00F00DF2"/>
    <w:rsid w:val="00F010D3"/>
    <w:rsid w:val="00F01AB6"/>
    <w:rsid w:val="00F01B7C"/>
    <w:rsid w:val="00F01D7A"/>
    <w:rsid w:val="00F0214B"/>
    <w:rsid w:val="00F021F2"/>
    <w:rsid w:val="00F02C2D"/>
    <w:rsid w:val="00F03330"/>
    <w:rsid w:val="00F034A5"/>
    <w:rsid w:val="00F03E86"/>
    <w:rsid w:val="00F04718"/>
    <w:rsid w:val="00F04BD9"/>
    <w:rsid w:val="00F05327"/>
    <w:rsid w:val="00F07CEB"/>
    <w:rsid w:val="00F07DFB"/>
    <w:rsid w:val="00F10243"/>
    <w:rsid w:val="00F10338"/>
    <w:rsid w:val="00F10390"/>
    <w:rsid w:val="00F10B10"/>
    <w:rsid w:val="00F1105F"/>
    <w:rsid w:val="00F116E5"/>
    <w:rsid w:val="00F118EA"/>
    <w:rsid w:val="00F119CD"/>
    <w:rsid w:val="00F11A2F"/>
    <w:rsid w:val="00F11F0A"/>
    <w:rsid w:val="00F126A8"/>
    <w:rsid w:val="00F13397"/>
    <w:rsid w:val="00F13889"/>
    <w:rsid w:val="00F13A76"/>
    <w:rsid w:val="00F14949"/>
    <w:rsid w:val="00F1512C"/>
    <w:rsid w:val="00F15583"/>
    <w:rsid w:val="00F159B3"/>
    <w:rsid w:val="00F15EE2"/>
    <w:rsid w:val="00F15F48"/>
    <w:rsid w:val="00F16218"/>
    <w:rsid w:val="00F162CB"/>
    <w:rsid w:val="00F16400"/>
    <w:rsid w:val="00F16738"/>
    <w:rsid w:val="00F16C29"/>
    <w:rsid w:val="00F1731D"/>
    <w:rsid w:val="00F173AF"/>
    <w:rsid w:val="00F17610"/>
    <w:rsid w:val="00F17727"/>
    <w:rsid w:val="00F200C2"/>
    <w:rsid w:val="00F20432"/>
    <w:rsid w:val="00F2047D"/>
    <w:rsid w:val="00F2105F"/>
    <w:rsid w:val="00F227EF"/>
    <w:rsid w:val="00F22B5A"/>
    <w:rsid w:val="00F22B9A"/>
    <w:rsid w:val="00F22EE2"/>
    <w:rsid w:val="00F23158"/>
    <w:rsid w:val="00F239AC"/>
    <w:rsid w:val="00F23D25"/>
    <w:rsid w:val="00F2455E"/>
    <w:rsid w:val="00F25234"/>
    <w:rsid w:val="00F259B2"/>
    <w:rsid w:val="00F25C23"/>
    <w:rsid w:val="00F25F32"/>
    <w:rsid w:val="00F26502"/>
    <w:rsid w:val="00F267A1"/>
    <w:rsid w:val="00F26C71"/>
    <w:rsid w:val="00F26EDC"/>
    <w:rsid w:val="00F26F75"/>
    <w:rsid w:val="00F27650"/>
    <w:rsid w:val="00F27CB8"/>
    <w:rsid w:val="00F27EF1"/>
    <w:rsid w:val="00F30077"/>
    <w:rsid w:val="00F306B2"/>
    <w:rsid w:val="00F3077E"/>
    <w:rsid w:val="00F30AD8"/>
    <w:rsid w:val="00F315D7"/>
    <w:rsid w:val="00F3240E"/>
    <w:rsid w:val="00F32420"/>
    <w:rsid w:val="00F32A77"/>
    <w:rsid w:val="00F32FBD"/>
    <w:rsid w:val="00F3346F"/>
    <w:rsid w:val="00F33687"/>
    <w:rsid w:val="00F34032"/>
    <w:rsid w:val="00F3451E"/>
    <w:rsid w:val="00F34DA2"/>
    <w:rsid w:val="00F35B0C"/>
    <w:rsid w:val="00F35C43"/>
    <w:rsid w:val="00F35D0E"/>
    <w:rsid w:val="00F35ECC"/>
    <w:rsid w:val="00F360F5"/>
    <w:rsid w:val="00F363A1"/>
    <w:rsid w:val="00F36AA9"/>
    <w:rsid w:val="00F37F8B"/>
    <w:rsid w:val="00F40013"/>
    <w:rsid w:val="00F4011B"/>
    <w:rsid w:val="00F418A0"/>
    <w:rsid w:val="00F4221A"/>
    <w:rsid w:val="00F42298"/>
    <w:rsid w:val="00F423CD"/>
    <w:rsid w:val="00F423EB"/>
    <w:rsid w:val="00F42EC9"/>
    <w:rsid w:val="00F436A6"/>
    <w:rsid w:val="00F43A45"/>
    <w:rsid w:val="00F43EBE"/>
    <w:rsid w:val="00F44088"/>
    <w:rsid w:val="00F4444C"/>
    <w:rsid w:val="00F44B73"/>
    <w:rsid w:val="00F4509E"/>
    <w:rsid w:val="00F455A8"/>
    <w:rsid w:val="00F4596C"/>
    <w:rsid w:val="00F45C1C"/>
    <w:rsid w:val="00F45C7D"/>
    <w:rsid w:val="00F46FC9"/>
    <w:rsid w:val="00F4776C"/>
    <w:rsid w:val="00F47851"/>
    <w:rsid w:val="00F4792E"/>
    <w:rsid w:val="00F47CF2"/>
    <w:rsid w:val="00F50062"/>
    <w:rsid w:val="00F50311"/>
    <w:rsid w:val="00F5096C"/>
    <w:rsid w:val="00F50C15"/>
    <w:rsid w:val="00F51297"/>
    <w:rsid w:val="00F518D6"/>
    <w:rsid w:val="00F51A8F"/>
    <w:rsid w:val="00F51C4B"/>
    <w:rsid w:val="00F52039"/>
    <w:rsid w:val="00F526A2"/>
    <w:rsid w:val="00F52923"/>
    <w:rsid w:val="00F52997"/>
    <w:rsid w:val="00F53385"/>
    <w:rsid w:val="00F538AD"/>
    <w:rsid w:val="00F54393"/>
    <w:rsid w:val="00F54C7F"/>
    <w:rsid w:val="00F5532E"/>
    <w:rsid w:val="00F55368"/>
    <w:rsid w:val="00F5595C"/>
    <w:rsid w:val="00F5659D"/>
    <w:rsid w:val="00F566D6"/>
    <w:rsid w:val="00F5761C"/>
    <w:rsid w:val="00F601AE"/>
    <w:rsid w:val="00F6038F"/>
    <w:rsid w:val="00F603F8"/>
    <w:rsid w:val="00F604AE"/>
    <w:rsid w:val="00F6092E"/>
    <w:rsid w:val="00F60D24"/>
    <w:rsid w:val="00F60D9E"/>
    <w:rsid w:val="00F61ADC"/>
    <w:rsid w:val="00F61CEF"/>
    <w:rsid w:val="00F621DB"/>
    <w:rsid w:val="00F62351"/>
    <w:rsid w:val="00F623D0"/>
    <w:rsid w:val="00F6280F"/>
    <w:rsid w:val="00F62DE2"/>
    <w:rsid w:val="00F62DEF"/>
    <w:rsid w:val="00F63980"/>
    <w:rsid w:val="00F63BB4"/>
    <w:rsid w:val="00F63DD8"/>
    <w:rsid w:val="00F63DF8"/>
    <w:rsid w:val="00F6511F"/>
    <w:rsid w:val="00F6545B"/>
    <w:rsid w:val="00F6552B"/>
    <w:rsid w:val="00F6576E"/>
    <w:rsid w:val="00F66536"/>
    <w:rsid w:val="00F66833"/>
    <w:rsid w:val="00F679F8"/>
    <w:rsid w:val="00F67CCC"/>
    <w:rsid w:val="00F67E31"/>
    <w:rsid w:val="00F67F8C"/>
    <w:rsid w:val="00F7012D"/>
    <w:rsid w:val="00F705E5"/>
    <w:rsid w:val="00F71133"/>
    <w:rsid w:val="00F711B9"/>
    <w:rsid w:val="00F716CA"/>
    <w:rsid w:val="00F716CE"/>
    <w:rsid w:val="00F72ACD"/>
    <w:rsid w:val="00F72B78"/>
    <w:rsid w:val="00F72DB3"/>
    <w:rsid w:val="00F73829"/>
    <w:rsid w:val="00F73A98"/>
    <w:rsid w:val="00F7463C"/>
    <w:rsid w:val="00F74DB0"/>
    <w:rsid w:val="00F75DC7"/>
    <w:rsid w:val="00F763D5"/>
    <w:rsid w:val="00F768D1"/>
    <w:rsid w:val="00F76DE6"/>
    <w:rsid w:val="00F77309"/>
    <w:rsid w:val="00F80341"/>
    <w:rsid w:val="00F80AAE"/>
    <w:rsid w:val="00F81586"/>
    <w:rsid w:val="00F81E6B"/>
    <w:rsid w:val="00F82BBC"/>
    <w:rsid w:val="00F82CF3"/>
    <w:rsid w:val="00F844BA"/>
    <w:rsid w:val="00F84B2E"/>
    <w:rsid w:val="00F84B46"/>
    <w:rsid w:val="00F84F9E"/>
    <w:rsid w:val="00F85642"/>
    <w:rsid w:val="00F876B9"/>
    <w:rsid w:val="00F90587"/>
    <w:rsid w:val="00F905B8"/>
    <w:rsid w:val="00F910F1"/>
    <w:rsid w:val="00F91F6A"/>
    <w:rsid w:val="00F930D0"/>
    <w:rsid w:val="00F9348E"/>
    <w:rsid w:val="00F9447E"/>
    <w:rsid w:val="00F94BB7"/>
    <w:rsid w:val="00F94D8B"/>
    <w:rsid w:val="00F94D95"/>
    <w:rsid w:val="00F950BF"/>
    <w:rsid w:val="00F9563C"/>
    <w:rsid w:val="00F9610C"/>
    <w:rsid w:val="00F9656F"/>
    <w:rsid w:val="00F96620"/>
    <w:rsid w:val="00F96A4B"/>
    <w:rsid w:val="00F971A2"/>
    <w:rsid w:val="00F97335"/>
    <w:rsid w:val="00F974B7"/>
    <w:rsid w:val="00F9787B"/>
    <w:rsid w:val="00F979B4"/>
    <w:rsid w:val="00FA0085"/>
    <w:rsid w:val="00FA0DA0"/>
    <w:rsid w:val="00FA0E5E"/>
    <w:rsid w:val="00FA10D7"/>
    <w:rsid w:val="00FA19D6"/>
    <w:rsid w:val="00FA1EC6"/>
    <w:rsid w:val="00FA2001"/>
    <w:rsid w:val="00FA2643"/>
    <w:rsid w:val="00FA2B52"/>
    <w:rsid w:val="00FA3814"/>
    <w:rsid w:val="00FA4403"/>
    <w:rsid w:val="00FA46CC"/>
    <w:rsid w:val="00FA5197"/>
    <w:rsid w:val="00FA56B0"/>
    <w:rsid w:val="00FA56ED"/>
    <w:rsid w:val="00FA57D6"/>
    <w:rsid w:val="00FA6398"/>
    <w:rsid w:val="00FA6890"/>
    <w:rsid w:val="00FA727E"/>
    <w:rsid w:val="00FA74A7"/>
    <w:rsid w:val="00FB002B"/>
    <w:rsid w:val="00FB0082"/>
    <w:rsid w:val="00FB07A1"/>
    <w:rsid w:val="00FB0813"/>
    <w:rsid w:val="00FB0AC2"/>
    <w:rsid w:val="00FB0DA3"/>
    <w:rsid w:val="00FB158E"/>
    <w:rsid w:val="00FB1AF9"/>
    <w:rsid w:val="00FB1DC0"/>
    <w:rsid w:val="00FB2AD0"/>
    <w:rsid w:val="00FB2DDE"/>
    <w:rsid w:val="00FB37C5"/>
    <w:rsid w:val="00FB3887"/>
    <w:rsid w:val="00FB3AFC"/>
    <w:rsid w:val="00FB4C0E"/>
    <w:rsid w:val="00FB4E59"/>
    <w:rsid w:val="00FB500D"/>
    <w:rsid w:val="00FB54BF"/>
    <w:rsid w:val="00FB6ECB"/>
    <w:rsid w:val="00FB7256"/>
    <w:rsid w:val="00FB7619"/>
    <w:rsid w:val="00FB7B6D"/>
    <w:rsid w:val="00FC00A3"/>
    <w:rsid w:val="00FC0472"/>
    <w:rsid w:val="00FC060E"/>
    <w:rsid w:val="00FC069B"/>
    <w:rsid w:val="00FC185C"/>
    <w:rsid w:val="00FC3263"/>
    <w:rsid w:val="00FC3A8F"/>
    <w:rsid w:val="00FC43BB"/>
    <w:rsid w:val="00FC5301"/>
    <w:rsid w:val="00FC5334"/>
    <w:rsid w:val="00FC585E"/>
    <w:rsid w:val="00FC5933"/>
    <w:rsid w:val="00FC5A1A"/>
    <w:rsid w:val="00FC5A2F"/>
    <w:rsid w:val="00FC5A45"/>
    <w:rsid w:val="00FC68B7"/>
    <w:rsid w:val="00FC6C0A"/>
    <w:rsid w:val="00FC6C35"/>
    <w:rsid w:val="00FC6E37"/>
    <w:rsid w:val="00FC7D4A"/>
    <w:rsid w:val="00FD0247"/>
    <w:rsid w:val="00FD027D"/>
    <w:rsid w:val="00FD071A"/>
    <w:rsid w:val="00FD0B7C"/>
    <w:rsid w:val="00FD0F87"/>
    <w:rsid w:val="00FD11DD"/>
    <w:rsid w:val="00FD1673"/>
    <w:rsid w:val="00FD1D1C"/>
    <w:rsid w:val="00FD1E6B"/>
    <w:rsid w:val="00FD1EB7"/>
    <w:rsid w:val="00FD2329"/>
    <w:rsid w:val="00FD25C5"/>
    <w:rsid w:val="00FD32D4"/>
    <w:rsid w:val="00FD3713"/>
    <w:rsid w:val="00FD3A5D"/>
    <w:rsid w:val="00FD3EFB"/>
    <w:rsid w:val="00FD4305"/>
    <w:rsid w:val="00FD4687"/>
    <w:rsid w:val="00FD4E9A"/>
    <w:rsid w:val="00FD629E"/>
    <w:rsid w:val="00FD6FDA"/>
    <w:rsid w:val="00FD7665"/>
    <w:rsid w:val="00FD7CD9"/>
    <w:rsid w:val="00FE0208"/>
    <w:rsid w:val="00FE0679"/>
    <w:rsid w:val="00FE0DA4"/>
    <w:rsid w:val="00FE1125"/>
    <w:rsid w:val="00FE13EF"/>
    <w:rsid w:val="00FE14F8"/>
    <w:rsid w:val="00FE1527"/>
    <w:rsid w:val="00FE1929"/>
    <w:rsid w:val="00FE20C0"/>
    <w:rsid w:val="00FE2305"/>
    <w:rsid w:val="00FE295D"/>
    <w:rsid w:val="00FE2C80"/>
    <w:rsid w:val="00FE2CF0"/>
    <w:rsid w:val="00FE3173"/>
    <w:rsid w:val="00FE342C"/>
    <w:rsid w:val="00FE3E9F"/>
    <w:rsid w:val="00FE3FAF"/>
    <w:rsid w:val="00FE4333"/>
    <w:rsid w:val="00FE43B9"/>
    <w:rsid w:val="00FE4619"/>
    <w:rsid w:val="00FE47D3"/>
    <w:rsid w:val="00FE47FD"/>
    <w:rsid w:val="00FE4A00"/>
    <w:rsid w:val="00FE4C0E"/>
    <w:rsid w:val="00FE5366"/>
    <w:rsid w:val="00FE53BB"/>
    <w:rsid w:val="00FE5720"/>
    <w:rsid w:val="00FE5A89"/>
    <w:rsid w:val="00FE5C8E"/>
    <w:rsid w:val="00FE5CEA"/>
    <w:rsid w:val="00FE62FE"/>
    <w:rsid w:val="00FE6328"/>
    <w:rsid w:val="00FE7CB2"/>
    <w:rsid w:val="00FE7FE6"/>
    <w:rsid w:val="00FF018D"/>
    <w:rsid w:val="00FF02A4"/>
    <w:rsid w:val="00FF0F53"/>
    <w:rsid w:val="00FF113F"/>
    <w:rsid w:val="00FF1B94"/>
    <w:rsid w:val="00FF2953"/>
    <w:rsid w:val="00FF2B2F"/>
    <w:rsid w:val="00FF343D"/>
    <w:rsid w:val="00FF4752"/>
    <w:rsid w:val="00FF5C00"/>
    <w:rsid w:val="00FF5F35"/>
    <w:rsid w:val="00FF61FA"/>
    <w:rsid w:val="00FF75D2"/>
    <w:rsid w:val="00FF7E33"/>
    <w:rsid w:val="0170F866"/>
    <w:rsid w:val="0A948FC5"/>
    <w:rsid w:val="0AD460BE"/>
    <w:rsid w:val="0B3729BA"/>
    <w:rsid w:val="0E5A0FC4"/>
    <w:rsid w:val="0ED1F47D"/>
    <w:rsid w:val="12187EBF"/>
    <w:rsid w:val="135308BA"/>
    <w:rsid w:val="1685D33C"/>
    <w:rsid w:val="1C2E5BA3"/>
    <w:rsid w:val="1CCD00D2"/>
    <w:rsid w:val="1D0806E5"/>
    <w:rsid w:val="1D1A853C"/>
    <w:rsid w:val="23ED540F"/>
    <w:rsid w:val="242EF549"/>
    <w:rsid w:val="25A3F308"/>
    <w:rsid w:val="29C1CCD8"/>
    <w:rsid w:val="2C50D080"/>
    <w:rsid w:val="2DC7E8BE"/>
    <w:rsid w:val="2E8B9FFD"/>
    <w:rsid w:val="31130611"/>
    <w:rsid w:val="314B98B3"/>
    <w:rsid w:val="380A5E9A"/>
    <w:rsid w:val="39A92FE6"/>
    <w:rsid w:val="3A97D8F7"/>
    <w:rsid w:val="3D2D9BA4"/>
    <w:rsid w:val="3E6AB20B"/>
    <w:rsid w:val="3F15EB33"/>
    <w:rsid w:val="40D10A3F"/>
    <w:rsid w:val="40FD365E"/>
    <w:rsid w:val="42499D03"/>
    <w:rsid w:val="448A8514"/>
    <w:rsid w:val="46B91BA2"/>
    <w:rsid w:val="495B32CF"/>
    <w:rsid w:val="4C4E1B22"/>
    <w:rsid w:val="4E0EBAFB"/>
    <w:rsid w:val="50F91B05"/>
    <w:rsid w:val="54184E02"/>
    <w:rsid w:val="57E416D3"/>
    <w:rsid w:val="5BD89E84"/>
    <w:rsid w:val="61E3BDF2"/>
    <w:rsid w:val="63ECBF9C"/>
    <w:rsid w:val="657AA534"/>
    <w:rsid w:val="685288AB"/>
    <w:rsid w:val="6899A6A4"/>
    <w:rsid w:val="6F9CF6AF"/>
    <w:rsid w:val="7331D734"/>
    <w:rsid w:val="75CC944A"/>
    <w:rsid w:val="771F9B23"/>
    <w:rsid w:val="7842F5C2"/>
    <w:rsid w:val="79F58951"/>
    <w:rsid w:val="7B7DC629"/>
    <w:rsid w:val="7E8F5099"/>
    <w:rsid w:val="7F88D67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52B3A"/>
  <w15:chartTrackingRefBased/>
  <w15:docId w15:val="{65BD7592-EB69-45C4-AFA1-CF1BF5D9D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849"/>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qFormat/>
    <w:rsid w:val="00804D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autoRedefine/>
    <w:uiPriority w:val="9"/>
    <w:unhideWhenUsed/>
    <w:qFormat/>
    <w:rsid w:val="002424B0"/>
    <w:pPr>
      <w:keepNext/>
      <w:keepLines/>
      <w:spacing w:before="40" w:line="360" w:lineRule="auto"/>
      <w:jc w:val="both"/>
      <w:outlineLvl w:val="1"/>
    </w:pPr>
    <w:rPr>
      <w:rFonts w:asciiTheme="majorHAnsi" w:eastAsiaTheme="majorEastAsia" w:hAnsiTheme="majorHAnsi" w:cstheme="majorBidi"/>
      <w:b/>
      <w:bCs/>
      <w:color w:val="2F5496" w:themeColor="accent1" w:themeShade="BF"/>
      <w:sz w:val="32"/>
      <w:szCs w:val="26"/>
    </w:rPr>
  </w:style>
  <w:style w:type="paragraph" w:styleId="Ttulo3">
    <w:name w:val="heading 3"/>
    <w:basedOn w:val="Normal"/>
    <w:next w:val="Normal"/>
    <w:link w:val="Ttulo3Char"/>
    <w:uiPriority w:val="9"/>
    <w:semiHidden/>
    <w:unhideWhenUsed/>
    <w:qFormat/>
    <w:rsid w:val="00AD4339"/>
    <w:pPr>
      <w:keepNext/>
      <w:keepLines/>
      <w:spacing w:before="40"/>
      <w:outlineLvl w:val="2"/>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1739A"/>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E1739A"/>
  </w:style>
  <w:style w:type="paragraph" w:styleId="Rodap">
    <w:name w:val="footer"/>
    <w:basedOn w:val="Normal"/>
    <w:link w:val="RodapChar"/>
    <w:uiPriority w:val="99"/>
    <w:unhideWhenUsed/>
    <w:rsid w:val="00E1739A"/>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E1739A"/>
  </w:style>
  <w:style w:type="paragraph" w:styleId="Ttulo">
    <w:name w:val="Title"/>
    <w:basedOn w:val="Normal"/>
    <w:link w:val="TtuloChar"/>
    <w:uiPriority w:val="10"/>
    <w:qFormat/>
    <w:rsid w:val="00E1739A"/>
    <w:pPr>
      <w:widowControl w:val="0"/>
      <w:autoSpaceDE w:val="0"/>
      <w:autoSpaceDN w:val="0"/>
      <w:spacing w:before="83"/>
      <w:ind w:left="277" w:right="310"/>
      <w:jc w:val="center"/>
    </w:pPr>
    <w:rPr>
      <w:rFonts w:ascii="Arial" w:eastAsia="Arial" w:hAnsi="Arial" w:cs="Arial"/>
      <w:b/>
      <w:bCs/>
      <w:sz w:val="23"/>
      <w:szCs w:val="23"/>
      <w:lang w:val="pt-PT" w:eastAsia="en-US"/>
    </w:rPr>
  </w:style>
  <w:style w:type="character" w:customStyle="1" w:styleId="TtuloChar">
    <w:name w:val="Título Char"/>
    <w:basedOn w:val="Fontepargpadro"/>
    <w:link w:val="Ttulo"/>
    <w:uiPriority w:val="10"/>
    <w:rsid w:val="00E1739A"/>
    <w:rPr>
      <w:rFonts w:ascii="Arial" w:eastAsia="Arial" w:hAnsi="Arial" w:cs="Arial"/>
      <w:b/>
      <w:bCs/>
      <w:sz w:val="23"/>
      <w:szCs w:val="23"/>
      <w:lang w:val="pt-PT"/>
    </w:rPr>
  </w:style>
  <w:style w:type="paragraph" w:customStyle="1" w:styleId="Default">
    <w:name w:val="Default"/>
    <w:rsid w:val="00E1739A"/>
    <w:pPr>
      <w:autoSpaceDE w:val="0"/>
      <w:autoSpaceDN w:val="0"/>
      <w:adjustRightInd w:val="0"/>
      <w:spacing w:after="0" w:line="240" w:lineRule="auto"/>
    </w:pPr>
    <w:rPr>
      <w:rFonts w:ascii="Arial" w:eastAsia="Times New Roman" w:hAnsi="Arial" w:cs="Arial"/>
      <w:color w:val="000000"/>
      <w:sz w:val="24"/>
      <w:szCs w:val="24"/>
      <w:lang w:eastAsia="pt-BR"/>
    </w:rPr>
  </w:style>
  <w:style w:type="table" w:styleId="Tabelacomgrade">
    <w:name w:val="Table Grid"/>
    <w:basedOn w:val="Tabelanormal"/>
    <w:uiPriority w:val="39"/>
    <w:rsid w:val="00E1739A"/>
    <w:pPr>
      <w:spacing w:after="0" w:line="240" w:lineRule="auto"/>
    </w:pPr>
    <w:tblPr/>
  </w:style>
  <w:style w:type="paragraph" w:styleId="PargrafodaLista">
    <w:name w:val="List Paragraph"/>
    <w:basedOn w:val="Normal"/>
    <w:uiPriority w:val="34"/>
    <w:qFormat/>
    <w:rsid w:val="00E1739A"/>
    <w:pPr>
      <w:ind w:left="720"/>
      <w:contextualSpacing/>
    </w:pPr>
  </w:style>
  <w:style w:type="character" w:styleId="Refdecomentrio">
    <w:name w:val="annotation reference"/>
    <w:basedOn w:val="Fontepargpadro"/>
    <w:uiPriority w:val="99"/>
    <w:semiHidden/>
    <w:unhideWhenUsed/>
    <w:rsid w:val="008D319D"/>
    <w:rPr>
      <w:sz w:val="16"/>
      <w:szCs w:val="16"/>
    </w:rPr>
  </w:style>
  <w:style w:type="paragraph" w:styleId="Textodecomentrio">
    <w:name w:val="annotation text"/>
    <w:basedOn w:val="Normal"/>
    <w:link w:val="TextodecomentrioChar"/>
    <w:uiPriority w:val="99"/>
    <w:unhideWhenUsed/>
    <w:rsid w:val="008D319D"/>
    <w:rPr>
      <w:sz w:val="20"/>
      <w:szCs w:val="20"/>
    </w:rPr>
  </w:style>
  <w:style w:type="character" w:customStyle="1" w:styleId="TextodecomentrioChar">
    <w:name w:val="Texto de comentário Char"/>
    <w:basedOn w:val="Fontepargpadro"/>
    <w:link w:val="Textodecomentrio"/>
    <w:uiPriority w:val="99"/>
    <w:rsid w:val="008D319D"/>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8D319D"/>
    <w:rPr>
      <w:b/>
      <w:bCs/>
    </w:rPr>
  </w:style>
  <w:style w:type="character" w:customStyle="1" w:styleId="AssuntodocomentrioChar">
    <w:name w:val="Assunto do comentário Char"/>
    <w:basedOn w:val="TextodecomentrioChar"/>
    <w:link w:val="Assuntodocomentrio"/>
    <w:uiPriority w:val="99"/>
    <w:semiHidden/>
    <w:rsid w:val="008D319D"/>
    <w:rPr>
      <w:rFonts w:ascii="Times New Roman" w:eastAsia="Times New Roman" w:hAnsi="Times New Roman" w:cs="Times New Roman"/>
      <w:b/>
      <w:bCs/>
      <w:sz w:val="20"/>
      <w:szCs w:val="20"/>
      <w:lang w:eastAsia="pt-BR"/>
    </w:rPr>
  </w:style>
  <w:style w:type="paragraph" w:styleId="Textodenotaderodap">
    <w:name w:val="footnote text"/>
    <w:basedOn w:val="Normal"/>
    <w:link w:val="TextodenotaderodapChar"/>
    <w:uiPriority w:val="99"/>
    <w:semiHidden/>
    <w:unhideWhenUsed/>
    <w:rsid w:val="004F1658"/>
    <w:rPr>
      <w:sz w:val="20"/>
      <w:szCs w:val="20"/>
    </w:rPr>
  </w:style>
  <w:style w:type="character" w:customStyle="1" w:styleId="TextodenotaderodapChar">
    <w:name w:val="Texto de nota de rodapé Char"/>
    <w:basedOn w:val="Fontepargpadro"/>
    <w:link w:val="Textodenotaderodap"/>
    <w:uiPriority w:val="99"/>
    <w:semiHidden/>
    <w:rsid w:val="004F1658"/>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semiHidden/>
    <w:unhideWhenUsed/>
    <w:rsid w:val="004F1658"/>
    <w:rPr>
      <w:vertAlign w:val="superscript"/>
    </w:rPr>
  </w:style>
  <w:style w:type="character" w:styleId="Hyperlink">
    <w:name w:val="Hyperlink"/>
    <w:basedOn w:val="Fontepargpadro"/>
    <w:uiPriority w:val="99"/>
    <w:unhideWhenUsed/>
    <w:rsid w:val="00337F4F"/>
    <w:rPr>
      <w:color w:val="0563C1" w:themeColor="hyperlink"/>
      <w:u w:val="single"/>
    </w:rPr>
  </w:style>
  <w:style w:type="character" w:styleId="MenoPendente">
    <w:name w:val="Unresolved Mention"/>
    <w:basedOn w:val="Fontepargpadro"/>
    <w:uiPriority w:val="99"/>
    <w:semiHidden/>
    <w:unhideWhenUsed/>
    <w:rsid w:val="00337F4F"/>
    <w:rPr>
      <w:color w:val="605E5C"/>
      <w:shd w:val="clear" w:color="auto" w:fill="E1DFDD"/>
    </w:rPr>
  </w:style>
  <w:style w:type="character" w:styleId="HiperlinkVisitado">
    <w:name w:val="FollowedHyperlink"/>
    <w:basedOn w:val="Fontepargpadro"/>
    <w:uiPriority w:val="99"/>
    <w:semiHidden/>
    <w:unhideWhenUsed/>
    <w:rsid w:val="0053087B"/>
    <w:rPr>
      <w:color w:val="954F72" w:themeColor="followedHyperlink"/>
      <w:u w:val="single"/>
    </w:rPr>
  </w:style>
  <w:style w:type="paragraph" w:styleId="Textodebalo">
    <w:name w:val="Balloon Text"/>
    <w:basedOn w:val="Normal"/>
    <w:link w:val="TextodebaloChar"/>
    <w:uiPriority w:val="99"/>
    <w:semiHidden/>
    <w:unhideWhenUsed/>
    <w:rsid w:val="00F94BB7"/>
    <w:rPr>
      <w:rFonts w:ascii="Segoe UI" w:hAnsi="Segoe UI" w:cs="Segoe UI"/>
      <w:sz w:val="18"/>
      <w:szCs w:val="18"/>
    </w:rPr>
  </w:style>
  <w:style w:type="character" w:customStyle="1" w:styleId="TextodebaloChar">
    <w:name w:val="Texto de balão Char"/>
    <w:basedOn w:val="Fontepargpadro"/>
    <w:link w:val="Textodebalo"/>
    <w:uiPriority w:val="99"/>
    <w:semiHidden/>
    <w:rsid w:val="00F94BB7"/>
    <w:rPr>
      <w:rFonts w:ascii="Segoe UI" w:eastAsia="Times New Roman" w:hAnsi="Segoe UI" w:cs="Segoe UI"/>
      <w:sz w:val="18"/>
      <w:szCs w:val="18"/>
      <w:lang w:eastAsia="pt-BR"/>
    </w:rPr>
  </w:style>
  <w:style w:type="paragraph" w:styleId="Reviso">
    <w:name w:val="Revision"/>
    <w:hidden/>
    <w:uiPriority w:val="99"/>
    <w:semiHidden/>
    <w:rsid w:val="00D549B8"/>
    <w:pPr>
      <w:spacing w:after="0" w:line="240" w:lineRule="auto"/>
    </w:pPr>
    <w:rPr>
      <w:rFonts w:ascii="Times New Roman" w:eastAsia="Times New Roman" w:hAnsi="Times New Roman" w:cs="Times New Roman"/>
      <w:sz w:val="24"/>
      <w:szCs w:val="24"/>
      <w:lang w:eastAsia="pt-BR"/>
    </w:rPr>
  </w:style>
  <w:style w:type="paragraph" w:styleId="Corpodetexto">
    <w:name w:val="Body Text"/>
    <w:basedOn w:val="Normal"/>
    <w:link w:val="CorpodetextoChar"/>
    <w:rsid w:val="00FD11DD"/>
    <w:pPr>
      <w:autoSpaceDE w:val="0"/>
      <w:autoSpaceDN w:val="0"/>
      <w:adjustRightInd w:val="0"/>
      <w:jc w:val="both"/>
    </w:pPr>
    <w:rPr>
      <w:rFonts w:ascii="TimesNewRoman" w:hAnsi="TimesNewRoman"/>
      <w:sz w:val="19"/>
      <w:szCs w:val="19"/>
    </w:rPr>
  </w:style>
  <w:style w:type="character" w:customStyle="1" w:styleId="CorpodetextoChar">
    <w:name w:val="Corpo de texto Char"/>
    <w:basedOn w:val="Fontepargpadro"/>
    <w:link w:val="Corpodetexto"/>
    <w:rsid w:val="00FD11DD"/>
    <w:rPr>
      <w:rFonts w:ascii="TimesNewRoman" w:eastAsia="Times New Roman" w:hAnsi="TimesNewRoman" w:cs="Times New Roman"/>
      <w:sz w:val="19"/>
      <w:szCs w:val="19"/>
      <w:lang w:eastAsia="pt-BR"/>
    </w:rPr>
  </w:style>
  <w:style w:type="character" w:customStyle="1" w:styleId="Ttulo1Char">
    <w:name w:val="Título 1 Char"/>
    <w:basedOn w:val="Fontepargpadro"/>
    <w:link w:val="Ttulo1"/>
    <w:rsid w:val="00804D29"/>
    <w:rPr>
      <w:rFonts w:asciiTheme="majorHAnsi" w:eastAsiaTheme="majorEastAsia" w:hAnsiTheme="majorHAnsi" w:cstheme="majorBidi"/>
      <w:color w:val="2F5496" w:themeColor="accent1" w:themeShade="BF"/>
      <w:sz w:val="32"/>
      <w:szCs w:val="32"/>
      <w:lang w:eastAsia="pt-BR"/>
    </w:rPr>
  </w:style>
  <w:style w:type="character" w:customStyle="1" w:styleId="citation-25">
    <w:name w:val="citation-25"/>
    <w:basedOn w:val="Fontepargpadro"/>
    <w:rsid w:val="00804D29"/>
  </w:style>
  <w:style w:type="character" w:customStyle="1" w:styleId="Ttulo2Char">
    <w:name w:val="Título 2 Char"/>
    <w:basedOn w:val="Fontepargpadro"/>
    <w:link w:val="Ttulo2"/>
    <w:uiPriority w:val="9"/>
    <w:rsid w:val="002424B0"/>
    <w:rPr>
      <w:rFonts w:asciiTheme="majorHAnsi" w:eastAsiaTheme="majorEastAsia" w:hAnsiTheme="majorHAnsi" w:cstheme="majorBidi"/>
      <w:b/>
      <w:bCs/>
      <w:color w:val="2F5496" w:themeColor="accent1" w:themeShade="BF"/>
      <w:sz w:val="32"/>
      <w:szCs w:val="26"/>
      <w:lang w:eastAsia="pt-BR"/>
    </w:rPr>
  </w:style>
  <w:style w:type="table" w:styleId="TabeladeGrade4-nfase1">
    <w:name w:val="Grid Table 4 Accent 1"/>
    <w:basedOn w:val="Tabelanormal"/>
    <w:uiPriority w:val="49"/>
    <w:rsid w:val="00EF645A"/>
    <w:pPr>
      <w:spacing w:after="0" w:line="240" w:lineRule="auto"/>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style>
  <w:style w:type="character" w:customStyle="1" w:styleId="citation-116">
    <w:name w:val="citation-116"/>
    <w:basedOn w:val="Fontepargpadro"/>
    <w:rsid w:val="00C53C86"/>
  </w:style>
  <w:style w:type="character" w:customStyle="1" w:styleId="citation-115">
    <w:name w:val="citation-115"/>
    <w:basedOn w:val="Fontepargpadro"/>
    <w:rsid w:val="00C53C86"/>
  </w:style>
  <w:style w:type="character" w:customStyle="1" w:styleId="citation-114">
    <w:name w:val="citation-114"/>
    <w:basedOn w:val="Fontepargpadro"/>
    <w:rsid w:val="00C53C86"/>
  </w:style>
  <w:style w:type="character" w:customStyle="1" w:styleId="citation-113">
    <w:name w:val="citation-113"/>
    <w:basedOn w:val="Fontepargpadro"/>
    <w:rsid w:val="00C53C86"/>
  </w:style>
  <w:style w:type="character" w:customStyle="1" w:styleId="citation-111">
    <w:name w:val="citation-111"/>
    <w:basedOn w:val="Fontepargpadro"/>
    <w:rsid w:val="00C53C86"/>
  </w:style>
  <w:style w:type="character" w:customStyle="1" w:styleId="citation-109">
    <w:name w:val="citation-109"/>
    <w:basedOn w:val="Fontepargpadro"/>
    <w:rsid w:val="00C53C86"/>
  </w:style>
  <w:style w:type="paragraph" w:styleId="NormalWeb">
    <w:name w:val="Normal (Web)"/>
    <w:basedOn w:val="Normal"/>
    <w:uiPriority w:val="99"/>
    <w:unhideWhenUsed/>
    <w:rsid w:val="004C3099"/>
    <w:pPr>
      <w:spacing w:before="100" w:beforeAutospacing="1" w:after="100" w:afterAutospacing="1"/>
    </w:pPr>
  </w:style>
  <w:style w:type="character" w:customStyle="1" w:styleId="citation-257">
    <w:name w:val="citation-257"/>
    <w:basedOn w:val="Fontepargpadro"/>
    <w:rsid w:val="004C3099"/>
  </w:style>
  <w:style w:type="character" w:customStyle="1" w:styleId="citation-256">
    <w:name w:val="citation-256"/>
    <w:basedOn w:val="Fontepargpadro"/>
    <w:rsid w:val="006B7374"/>
  </w:style>
  <w:style w:type="character" w:customStyle="1" w:styleId="citation-255">
    <w:name w:val="citation-255"/>
    <w:basedOn w:val="Fontepargpadro"/>
    <w:rsid w:val="006B7374"/>
  </w:style>
  <w:style w:type="character" w:customStyle="1" w:styleId="citation-254">
    <w:name w:val="citation-254"/>
    <w:basedOn w:val="Fontepargpadro"/>
    <w:rsid w:val="006B7374"/>
  </w:style>
  <w:style w:type="character" w:customStyle="1" w:styleId="citation-253">
    <w:name w:val="citation-253"/>
    <w:basedOn w:val="Fontepargpadro"/>
    <w:rsid w:val="006B7374"/>
  </w:style>
  <w:style w:type="character" w:customStyle="1" w:styleId="citation-27">
    <w:name w:val="citation-27"/>
    <w:basedOn w:val="Fontepargpadro"/>
    <w:rsid w:val="00940138"/>
  </w:style>
  <w:style w:type="character" w:customStyle="1" w:styleId="citation-26">
    <w:name w:val="citation-26"/>
    <w:basedOn w:val="Fontepargpadro"/>
    <w:rsid w:val="00940138"/>
  </w:style>
  <w:style w:type="character" w:customStyle="1" w:styleId="citation-24">
    <w:name w:val="citation-24"/>
    <w:basedOn w:val="Fontepargpadro"/>
    <w:rsid w:val="00940138"/>
  </w:style>
  <w:style w:type="character" w:customStyle="1" w:styleId="citation-23">
    <w:name w:val="citation-23"/>
    <w:basedOn w:val="Fontepargpadro"/>
    <w:rsid w:val="00940138"/>
  </w:style>
  <w:style w:type="character" w:customStyle="1" w:styleId="citation-22">
    <w:name w:val="citation-22"/>
    <w:basedOn w:val="Fontepargpadro"/>
    <w:rsid w:val="00940138"/>
  </w:style>
  <w:style w:type="character" w:customStyle="1" w:styleId="citation-21">
    <w:name w:val="citation-21"/>
    <w:basedOn w:val="Fontepargpadro"/>
    <w:rsid w:val="00940138"/>
  </w:style>
  <w:style w:type="character" w:customStyle="1" w:styleId="citation-20">
    <w:name w:val="citation-20"/>
    <w:basedOn w:val="Fontepargpadro"/>
    <w:rsid w:val="00940138"/>
  </w:style>
  <w:style w:type="character" w:customStyle="1" w:styleId="citation-19">
    <w:name w:val="citation-19"/>
    <w:basedOn w:val="Fontepargpadro"/>
    <w:rsid w:val="00940138"/>
  </w:style>
  <w:style w:type="character" w:customStyle="1" w:styleId="citation-18">
    <w:name w:val="citation-18"/>
    <w:basedOn w:val="Fontepargpadro"/>
    <w:rsid w:val="00940138"/>
  </w:style>
  <w:style w:type="character" w:customStyle="1" w:styleId="citation-17">
    <w:name w:val="citation-17"/>
    <w:basedOn w:val="Fontepargpadro"/>
    <w:rsid w:val="00940138"/>
  </w:style>
  <w:style w:type="character" w:customStyle="1" w:styleId="citation-16">
    <w:name w:val="citation-16"/>
    <w:basedOn w:val="Fontepargpadro"/>
    <w:rsid w:val="00940138"/>
  </w:style>
  <w:style w:type="character" w:customStyle="1" w:styleId="citation-15">
    <w:name w:val="citation-15"/>
    <w:basedOn w:val="Fontepargpadro"/>
    <w:rsid w:val="00940138"/>
  </w:style>
  <w:style w:type="character" w:customStyle="1" w:styleId="citation-14">
    <w:name w:val="citation-14"/>
    <w:basedOn w:val="Fontepargpadro"/>
    <w:rsid w:val="00940138"/>
  </w:style>
  <w:style w:type="character" w:customStyle="1" w:styleId="citation-13">
    <w:name w:val="citation-13"/>
    <w:basedOn w:val="Fontepargpadro"/>
    <w:rsid w:val="00940138"/>
  </w:style>
  <w:style w:type="character" w:customStyle="1" w:styleId="citation-12">
    <w:name w:val="citation-12"/>
    <w:basedOn w:val="Fontepargpadro"/>
    <w:rsid w:val="00940138"/>
  </w:style>
  <w:style w:type="character" w:customStyle="1" w:styleId="citation-11">
    <w:name w:val="citation-11"/>
    <w:basedOn w:val="Fontepargpadro"/>
    <w:rsid w:val="00940138"/>
  </w:style>
  <w:style w:type="character" w:customStyle="1" w:styleId="citation-10">
    <w:name w:val="citation-10"/>
    <w:basedOn w:val="Fontepargpadro"/>
    <w:rsid w:val="00B854EB"/>
  </w:style>
  <w:style w:type="character" w:customStyle="1" w:styleId="citation-9">
    <w:name w:val="citation-9"/>
    <w:basedOn w:val="Fontepargpadro"/>
    <w:rsid w:val="00B854EB"/>
  </w:style>
  <w:style w:type="character" w:customStyle="1" w:styleId="citation-8">
    <w:name w:val="citation-8"/>
    <w:basedOn w:val="Fontepargpadro"/>
    <w:rsid w:val="00B854EB"/>
  </w:style>
  <w:style w:type="character" w:customStyle="1" w:styleId="citation-7">
    <w:name w:val="citation-7"/>
    <w:basedOn w:val="Fontepargpadro"/>
    <w:rsid w:val="00B854EB"/>
  </w:style>
  <w:style w:type="character" w:customStyle="1" w:styleId="citation-102">
    <w:name w:val="citation-102"/>
    <w:basedOn w:val="Fontepargpadro"/>
    <w:rsid w:val="00F32A77"/>
  </w:style>
  <w:style w:type="character" w:customStyle="1" w:styleId="citation-101">
    <w:name w:val="citation-101"/>
    <w:basedOn w:val="Fontepargpadro"/>
    <w:rsid w:val="00F32A77"/>
  </w:style>
  <w:style w:type="character" w:customStyle="1" w:styleId="citation-98">
    <w:name w:val="citation-98"/>
    <w:basedOn w:val="Fontepargpadro"/>
    <w:rsid w:val="00F32A77"/>
  </w:style>
  <w:style w:type="character" w:customStyle="1" w:styleId="citation-147">
    <w:name w:val="citation-147"/>
    <w:basedOn w:val="Fontepargpadro"/>
    <w:rsid w:val="003B75D2"/>
  </w:style>
  <w:style w:type="character" w:customStyle="1" w:styleId="citation-146">
    <w:name w:val="citation-146"/>
    <w:basedOn w:val="Fontepargpadro"/>
    <w:rsid w:val="003B75D2"/>
  </w:style>
  <w:style w:type="character" w:customStyle="1" w:styleId="citation-145">
    <w:name w:val="citation-145"/>
    <w:basedOn w:val="Fontepargpadro"/>
    <w:rsid w:val="003B75D2"/>
  </w:style>
  <w:style w:type="character" w:customStyle="1" w:styleId="citation-144">
    <w:name w:val="citation-144"/>
    <w:basedOn w:val="Fontepargpadro"/>
    <w:rsid w:val="003B75D2"/>
  </w:style>
  <w:style w:type="character" w:customStyle="1" w:styleId="citation-142">
    <w:name w:val="citation-142"/>
    <w:basedOn w:val="Fontepargpadro"/>
    <w:rsid w:val="0094668A"/>
  </w:style>
  <w:style w:type="character" w:customStyle="1" w:styleId="citation-141">
    <w:name w:val="citation-141"/>
    <w:basedOn w:val="Fontepargpadro"/>
    <w:rsid w:val="0094668A"/>
  </w:style>
  <w:style w:type="character" w:customStyle="1" w:styleId="Ttulo3Char">
    <w:name w:val="Título 3 Char"/>
    <w:basedOn w:val="Fontepargpadro"/>
    <w:link w:val="Ttulo3"/>
    <w:uiPriority w:val="9"/>
    <w:semiHidden/>
    <w:rsid w:val="00AD4339"/>
    <w:rPr>
      <w:rFonts w:asciiTheme="majorHAnsi" w:eastAsiaTheme="majorEastAsia" w:hAnsiTheme="majorHAnsi" w:cstheme="majorBidi"/>
      <w:color w:val="1F3763" w:themeColor="accent1" w:themeShade="7F"/>
      <w:sz w:val="24"/>
      <w:szCs w:val="24"/>
      <w:lang w:eastAsia="pt-BR"/>
    </w:rPr>
  </w:style>
  <w:style w:type="character" w:customStyle="1" w:styleId="citation-105">
    <w:name w:val="citation-105"/>
    <w:basedOn w:val="Fontepargpadro"/>
    <w:rsid w:val="00352FBD"/>
  </w:style>
  <w:style w:type="character" w:customStyle="1" w:styleId="normaltextrun">
    <w:name w:val="normaltextrun"/>
    <w:basedOn w:val="Fontepargpadro"/>
    <w:rsid w:val="00557E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68592">
      <w:bodyDiv w:val="1"/>
      <w:marLeft w:val="0"/>
      <w:marRight w:val="0"/>
      <w:marTop w:val="0"/>
      <w:marBottom w:val="0"/>
      <w:divBdr>
        <w:top w:val="none" w:sz="0" w:space="0" w:color="auto"/>
        <w:left w:val="none" w:sz="0" w:space="0" w:color="auto"/>
        <w:bottom w:val="none" w:sz="0" w:space="0" w:color="auto"/>
        <w:right w:val="none" w:sz="0" w:space="0" w:color="auto"/>
      </w:divBdr>
      <w:divsChild>
        <w:div w:id="1021933840">
          <w:marLeft w:val="0"/>
          <w:marRight w:val="0"/>
          <w:marTop w:val="0"/>
          <w:marBottom w:val="0"/>
          <w:divBdr>
            <w:top w:val="none" w:sz="0" w:space="0" w:color="auto"/>
            <w:left w:val="none" w:sz="0" w:space="0" w:color="auto"/>
            <w:bottom w:val="none" w:sz="0" w:space="0" w:color="auto"/>
            <w:right w:val="none" w:sz="0" w:space="0" w:color="auto"/>
          </w:divBdr>
          <w:divsChild>
            <w:div w:id="283853350">
              <w:marLeft w:val="0"/>
              <w:marRight w:val="0"/>
              <w:marTop w:val="0"/>
              <w:marBottom w:val="0"/>
              <w:divBdr>
                <w:top w:val="none" w:sz="0" w:space="0" w:color="auto"/>
                <w:left w:val="none" w:sz="0" w:space="0" w:color="auto"/>
                <w:bottom w:val="none" w:sz="0" w:space="0" w:color="auto"/>
                <w:right w:val="none" w:sz="0" w:space="0" w:color="auto"/>
              </w:divBdr>
              <w:divsChild>
                <w:div w:id="1662461605">
                  <w:marLeft w:val="0"/>
                  <w:marRight w:val="0"/>
                  <w:marTop w:val="0"/>
                  <w:marBottom w:val="0"/>
                  <w:divBdr>
                    <w:top w:val="none" w:sz="0" w:space="0" w:color="auto"/>
                    <w:left w:val="none" w:sz="0" w:space="0" w:color="auto"/>
                    <w:bottom w:val="none" w:sz="0" w:space="0" w:color="auto"/>
                    <w:right w:val="none" w:sz="0" w:space="0" w:color="auto"/>
                  </w:divBdr>
                  <w:divsChild>
                    <w:div w:id="1381662351">
                      <w:marLeft w:val="0"/>
                      <w:marRight w:val="0"/>
                      <w:marTop w:val="0"/>
                      <w:marBottom w:val="0"/>
                      <w:divBdr>
                        <w:top w:val="none" w:sz="0" w:space="0" w:color="auto"/>
                        <w:left w:val="none" w:sz="0" w:space="0" w:color="auto"/>
                        <w:bottom w:val="none" w:sz="0" w:space="0" w:color="auto"/>
                        <w:right w:val="none" w:sz="0" w:space="0" w:color="auto"/>
                      </w:divBdr>
                      <w:divsChild>
                        <w:div w:id="1083724341">
                          <w:marLeft w:val="0"/>
                          <w:marRight w:val="0"/>
                          <w:marTop w:val="0"/>
                          <w:marBottom w:val="0"/>
                          <w:divBdr>
                            <w:top w:val="none" w:sz="0" w:space="0" w:color="auto"/>
                            <w:left w:val="none" w:sz="0" w:space="0" w:color="auto"/>
                            <w:bottom w:val="none" w:sz="0" w:space="0" w:color="auto"/>
                            <w:right w:val="none" w:sz="0" w:space="0" w:color="auto"/>
                          </w:divBdr>
                          <w:divsChild>
                            <w:div w:id="1210994515">
                              <w:marLeft w:val="0"/>
                              <w:marRight w:val="0"/>
                              <w:marTop w:val="0"/>
                              <w:marBottom w:val="0"/>
                              <w:divBdr>
                                <w:top w:val="none" w:sz="0" w:space="0" w:color="auto"/>
                                <w:left w:val="none" w:sz="0" w:space="0" w:color="auto"/>
                                <w:bottom w:val="none" w:sz="0" w:space="0" w:color="auto"/>
                                <w:right w:val="none" w:sz="0" w:space="0" w:color="auto"/>
                              </w:divBdr>
                              <w:divsChild>
                                <w:div w:id="2036616533">
                                  <w:marLeft w:val="0"/>
                                  <w:marRight w:val="0"/>
                                  <w:marTop w:val="0"/>
                                  <w:marBottom w:val="0"/>
                                  <w:divBdr>
                                    <w:top w:val="none" w:sz="0" w:space="0" w:color="auto"/>
                                    <w:left w:val="none" w:sz="0" w:space="0" w:color="auto"/>
                                    <w:bottom w:val="none" w:sz="0" w:space="0" w:color="auto"/>
                                    <w:right w:val="none" w:sz="0" w:space="0" w:color="auto"/>
                                  </w:divBdr>
                                  <w:divsChild>
                                    <w:div w:id="461850085">
                                      <w:marLeft w:val="0"/>
                                      <w:marRight w:val="0"/>
                                      <w:marTop w:val="0"/>
                                      <w:marBottom w:val="0"/>
                                      <w:divBdr>
                                        <w:top w:val="none" w:sz="0" w:space="0" w:color="auto"/>
                                        <w:left w:val="none" w:sz="0" w:space="0" w:color="auto"/>
                                        <w:bottom w:val="none" w:sz="0" w:space="0" w:color="auto"/>
                                        <w:right w:val="none" w:sz="0" w:space="0" w:color="auto"/>
                                      </w:divBdr>
                                      <w:divsChild>
                                        <w:div w:id="1769538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090528">
      <w:bodyDiv w:val="1"/>
      <w:marLeft w:val="0"/>
      <w:marRight w:val="0"/>
      <w:marTop w:val="0"/>
      <w:marBottom w:val="0"/>
      <w:divBdr>
        <w:top w:val="none" w:sz="0" w:space="0" w:color="auto"/>
        <w:left w:val="none" w:sz="0" w:space="0" w:color="auto"/>
        <w:bottom w:val="none" w:sz="0" w:space="0" w:color="auto"/>
        <w:right w:val="none" w:sz="0" w:space="0" w:color="auto"/>
      </w:divBdr>
    </w:div>
    <w:div w:id="88813105">
      <w:bodyDiv w:val="1"/>
      <w:marLeft w:val="0"/>
      <w:marRight w:val="0"/>
      <w:marTop w:val="0"/>
      <w:marBottom w:val="0"/>
      <w:divBdr>
        <w:top w:val="none" w:sz="0" w:space="0" w:color="auto"/>
        <w:left w:val="none" w:sz="0" w:space="0" w:color="auto"/>
        <w:bottom w:val="none" w:sz="0" w:space="0" w:color="auto"/>
        <w:right w:val="none" w:sz="0" w:space="0" w:color="auto"/>
      </w:divBdr>
      <w:divsChild>
        <w:div w:id="1834955302">
          <w:marLeft w:val="0"/>
          <w:marRight w:val="0"/>
          <w:marTop w:val="0"/>
          <w:marBottom w:val="0"/>
          <w:divBdr>
            <w:top w:val="none" w:sz="0" w:space="0" w:color="auto"/>
            <w:left w:val="none" w:sz="0" w:space="0" w:color="auto"/>
            <w:bottom w:val="none" w:sz="0" w:space="0" w:color="auto"/>
            <w:right w:val="none" w:sz="0" w:space="0" w:color="auto"/>
          </w:divBdr>
          <w:divsChild>
            <w:div w:id="382411768">
              <w:marLeft w:val="0"/>
              <w:marRight w:val="0"/>
              <w:marTop w:val="0"/>
              <w:marBottom w:val="0"/>
              <w:divBdr>
                <w:top w:val="none" w:sz="0" w:space="0" w:color="auto"/>
                <w:left w:val="none" w:sz="0" w:space="0" w:color="auto"/>
                <w:bottom w:val="none" w:sz="0" w:space="0" w:color="auto"/>
                <w:right w:val="none" w:sz="0" w:space="0" w:color="auto"/>
              </w:divBdr>
              <w:divsChild>
                <w:div w:id="1077283337">
                  <w:marLeft w:val="0"/>
                  <w:marRight w:val="0"/>
                  <w:marTop w:val="0"/>
                  <w:marBottom w:val="0"/>
                  <w:divBdr>
                    <w:top w:val="none" w:sz="0" w:space="0" w:color="auto"/>
                    <w:left w:val="none" w:sz="0" w:space="0" w:color="auto"/>
                    <w:bottom w:val="none" w:sz="0" w:space="0" w:color="auto"/>
                    <w:right w:val="none" w:sz="0" w:space="0" w:color="auto"/>
                  </w:divBdr>
                  <w:divsChild>
                    <w:div w:id="1981114183">
                      <w:marLeft w:val="0"/>
                      <w:marRight w:val="0"/>
                      <w:marTop w:val="0"/>
                      <w:marBottom w:val="0"/>
                      <w:divBdr>
                        <w:top w:val="none" w:sz="0" w:space="0" w:color="auto"/>
                        <w:left w:val="none" w:sz="0" w:space="0" w:color="auto"/>
                        <w:bottom w:val="none" w:sz="0" w:space="0" w:color="auto"/>
                        <w:right w:val="none" w:sz="0" w:space="0" w:color="auto"/>
                      </w:divBdr>
                      <w:divsChild>
                        <w:div w:id="422992915">
                          <w:marLeft w:val="0"/>
                          <w:marRight w:val="0"/>
                          <w:marTop w:val="0"/>
                          <w:marBottom w:val="0"/>
                          <w:divBdr>
                            <w:top w:val="none" w:sz="0" w:space="0" w:color="auto"/>
                            <w:left w:val="none" w:sz="0" w:space="0" w:color="auto"/>
                            <w:bottom w:val="none" w:sz="0" w:space="0" w:color="auto"/>
                            <w:right w:val="none" w:sz="0" w:space="0" w:color="auto"/>
                          </w:divBdr>
                          <w:divsChild>
                            <w:div w:id="1740981100">
                              <w:marLeft w:val="0"/>
                              <w:marRight w:val="0"/>
                              <w:marTop w:val="0"/>
                              <w:marBottom w:val="0"/>
                              <w:divBdr>
                                <w:top w:val="none" w:sz="0" w:space="0" w:color="auto"/>
                                <w:left w:val="none" w:sz="0" w:space="0" w:color="auto"/>
                                <w:bottom w:val="none" w:sz="0" w:space="0" w:color="auto"/>
                                <w:right w:val="none" w:sz="0" w:space="0" w:color="auto"/>
                              </w:divBdr>
                              <w:divsChild>
                                <w:div w:id="1328292305">
                                  <w:marLeft w:val="0"/>
                                  <w:marRight w:val="0"/>
                                  <w:marTop w:val="0"/>
                                  <w:marBottom w:val="0"/>
                                  <w:divBdr>
                                    <w:top w:val="none" w:sz="0" w:space="0" w:color="auto"/>
                                    <w:left w:val="none" w:sz="0" w:space="0" w:color="auto"/>
                                    <w:bottom w:val="none" w:sz="0" w:space="0" w:color="auto"/>
                                    <w:right w:val="none" w:sz="0" w:space="0" w:color="auto"/>
                                  </w:divBdr>
                                  <w:divsChild>
                                    <w:div w:id="670110743">
                                      <w:marLeft w:val="0"/>
                                      <w:marRight w:val="0"/>
                                      <w:marTop w:val="0"/>
                                      <w:marBottom w:val="0"/>
                                      <w:divBdr>
                                        <w:top w:val="none" w:sz="0" w:space="0" w:color="auto"/>
                                        <w:left w:val="none" w:sz="0" w:space="0" w:color="auto"/>
                                        <w:bottom w:val="none" w:sz="0" w:space="0" w:color="auto"/>
                                        <w:right w:val="none" w:sz="0" w:space="0" w:color="auto"/>
                                      </w:divBdr>
                                      <w:divsChild>
                                        <w:div w:id="2089575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309723">
      <w:bodyDiv w:val="1"/>
      <w:marLeft w:val="0"/>
      <w:marRight w:val="0"/>
      <w:marTop w:val="0"/>
      <w:marBottom w:val="0"/>
      <w:divBdr>
        <w:top w:val="none" w:sz="0" w:space="0" w:color="auto"/>
        <w:left w:val="none" w:sz="0" w:space="0" w:color="auto"/>
        <w:bottom w:val="none" w:sz="0" w:space="0" w:color="auto"/>
        <w:right w:val="none" w:sz="0" w:space="0" w:color="auto"/>
      </w:divBdr>
      <w:divsChild>
        <w:div w:id="162625456">
          <w:marLeft w:val="0"/>
          <w:marRight w:val="0"/>
          <w:marTop w:val="0"/>
          <w:marBottom w:val="0"/>
          <w:divBdr>
            <w:top w:val="none" w:sz="0" w:space="0" w:color="auto"/>
            <w:left w:val="none" w:sz="0" w:space="0" w:color="auto"/>
            <w:bottom w:val="none" w:sz="0" w:space="0" w:color="auto"/>
            <w:right w:val="none" w:sz="0" w:space="0" w:color="auto"/>
          </w:divBdr>
          <w:divsChild>
            <w:div w:id="687412996">
              <w:marLeft w:val="0"/>
              <w:marRight w:val="0"/>
              <w:marTop w:val="0"/>
              <w:marBottom w:val="0"/>
              <w:divBdr>
                <w:top w:val="none" w:sz="0" w:space="0" w:color="auto"/>
                <w:left w:val="none" w:sz="0" w:space="0" w:color="auto"/>
                <w:bottom w:val="none" w:sz="0" w:space="0" w:color="auto"/>
                <w:right w:val="none" w:sz="0" w:space="0" w:color="auto"/>
              </w:divBdr>
              <w:divsChild>
                <w:div w:id="446434259">
                  <w:marLeft w:val="0"/>
                  <w:marRight w:val="0"/>
                  <w:marTop w:val="0"/>
                  <w:marBottom w:val="0"/>
                  <w:divBdr>
                    <w:top w:val="none" w:sz="0" w:space="0" w:color="auto"/>
                    <w:left w:val="none" w:sz="0" w:space="0" w:color="auto"/>
                    <w:bottom w:val="none" w:sz="0" w:space="0" w:color="auto"/>
                    <w:right w:val="none" w:sz="0" w:space="0" w:color="auto"/>
                  </w:divBdr>
                  <w:divsChild>
                    <w:div w:id="1991325287">
                      <w:marLeft w:val="0"/>
                      <w:marRight w:val="0"/>
                      <w:marTop w:val="0"/>
                      <w:marBottom w:val="0"/>
                      <w:divBdr>
                        <w:top w:val="none" w:sz="0" w:space="0" w:color="auto"/>
                        <w:left w:val="none" w:sz="0" w:space="0" w:color="auto"/>
                        <w:bottom w:val="none" w:sz="0" w:space="0" w:color="auto"/>
                        <w:right w:val="none" w:sz="0" w:space="0" w:color="auto"/>
                      </w:divBdr>
                      <w:divsChild>
                        <w:div w:id="288752750">
                          <w:marLeft w:val="0"/>
                          <w:marRight w:val="0"/>
                          <w:marTop w:val="0"/>
                          <w:marBottom w:val="0"/>
                          <w:divBdr>
                            <w:top w:val="none" w:sz="0" w:space="0" w:color="auto"/>
                            <w:left w:val="none" w:sz="0" w:space="0" w:color="auto"/>
                            <w:bottom w:val="none" w:sz="0" w:space="0" w:color="auto"/>
                            <w:right w:val="none" w:sz="0" w:space="0" w:color="auto"/>
                          </w:divBdr>
                          <w:divsChild>
                            <w:div w:id="1510099583">
                              <w:marLeft w:val="0"/>
                              <w:marRight w:val="0"/>
                              <w:marTop w:val="0"/>
                              <w:marBottom w:val="0"/>
                              <w:divBdr>
                                <w:top w:val="none" w:sz="0" w:space="0" w:color="auto"/>
                                <w:left w:val="none" w:sz="0" w:space="0" w:color="auto"/>
                                <w:bottom w:val="none" w:sz="0" w:space="0" w:color="auto"/>
                                <w:right w:val="none" w:sz="0" w:space="0" w:color="auto"/>
                              </w:divBdr>
                              <w:divsChild>
                                <w:div w:id="1004825813">
                                  <w:marLeft w:val="0"/>
                                  <w:marRight w:val="0"/>
                                  <w:marTop w:val="0"/>
                                  <w:marBottom w:val="0"/>
                                  <w:divBdr>
                                    <w:top w:val="none" w:sz="0" w:space="0" w:color="auto"/>
                                    <w:left w:val="none" w:sz="0" w:space="0" w:color="auto"/>
                                    <w:bottom w:val="none" w:sz="0" w:space="0" w:color="auto"/>
                                    <w:right w:val="none" w:sz="0" w:space="0" w:color="auto"/>
                                  </w:divBdr>
                                  <w:divsChild>
                                    <w:div w:id="193331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073359">
          <w:marLeft w:val="0"/>
          <w:marRight w:val="0"/>
          <w:marTop w:val="0"/>
          <w:marBottom w:val="0"/>
          <w:divBdr>
            <w:top w:val="none" w:sz="0" w:space="0" w:color="auto"/>
            <w:left w:val="none" w:sz="0" w:space="0" w:color="auto"/>
            <w:bottom w:val="none" w:sz="0" w:space="0" w:color="auto"/>
            <w:right w:val="none" w:sz="0" w:space="0" w:color="auto"/>
          </w:divBdr>
        </w:div>
      </w:divsChild>
    </w:div>
    <w:div w:id="144443940">
      <w:bodyDiv w:val="1"/>
      <w:marLeft w:val="0"/>
      <w:marRight w:val="0"/>
      <w:marTop w:val="0"/>
      <w:marBottom w:val="0"/>
      <w:divBdr>
        <w:top w:val="none" w:sz="0" w:space="0" w:color="auto"/>
        <w:left w:val="none" w:sz="0" w:space="0" w:color="auto"/>
        <w:bottom w:val="none" w:sz="0" w:space="0" w:color="auto"/>
        <w:right w:val="none" w:sz="0" w:space="0" w:color="auto"/>
      </w:divBdr>
    </w:div>
    <w:div w:id="209534294">
      <w:bodyDiv w:val="1"/>
      <w:marLeft w:val="0"/>
      <w:marRight w:val="0"/>
      <w:marTop w:val="0"/>
      <w:marBottom w:val="0"/>
      <w:divBdr>
        <w:top w:val="none" w:sz="0" w:space="0" w:color="auto"/>
        <w:left w:val="none" w:sz="0" w:space="0" w:color="auto"/>
        <w:bottom w:val="none" w:sz="0" w:space="0" w:color="auto"/>
        <w:right w:val="none" w:sz="0" w:space="0" w:color="auto"/>
      </w:divBdr>
      <w:divsChild>
        <w:div w:id="2087026133">
          <w:marLeft w:val="0"/>
          <w:marRight w:val="0"/>
          <w:marTop w:val="0"/>
          <w:marBottom w:val="0"/>
          <w:divBdr>
            <w:top w:val="none" w:sz="0" w:space="0" w:color="auto"/>
            <w:left w:val="none" w:sz="0" w:space="0" w:color="auto"/>
            <w:bottom w:val="none" w:sz="0" w:space="0" w:color="auto"/>
            <w:right w:val="none" w:sz="0" w:space="0" w:color="auto"/>
          </w:divBdr>
        </w:div>
      </w:divsChild>
    </w:div>
    <w:div w:id="250703770">
      <w:bodyDiv w:val="1"/>
      <w:marLeft w:val="0"/>
      <w:marRight w:val="0"/>
      <w:marTop w:val="0"/>
      <w:marBottom w:val="0"/>
      <w:divBdr>
        <w:top w:val="none" w:sz="0" w:space="0" w:color="auto"/>
        <w:left w:val="none" w:sz="0" w:space="0" w:color="auto"/>
        <w:bottom w:val="none" w:sz="0" w:space="0" w:color="auto"/>
        <w:right w:val="none" w:sz="0" w:space="0" w:color="auto"/>
      </w:divBdr>
    </w:div>
    <w:div w:id="337663655">
      <w:bodyDiv w:val="1"/>
      <w:marLeft w:val="0"/>
      <w:marRight w:val="0"/>
      <w:marTop w:val="0"/>
      <w:marBottom w:val="0"/>
      <w:divBdr>
        <w:top w:val="none" w:sz="0" w:space="0" w:color="auto"/>
        <w:left w:val="none" w:sz="0" w:space="0" w:color="auto"/>
        <w:bottom w:val="none" w:sz="0" w:space="0" w:color="auto"/>
        <w:right w:val="none" w:sz="0" w:space="0" w:color="auto"/>
      </w:divBdr>
    </w:div>
    <w:div w:id="377508523">
      <w:bodyDiv w:val="1"/>
      <w:marLeft w:val="0"/>
      <w:marRight w:val="0"/>
      <w:marTop w:val="0"/>
      <w:marBottom w:val="0"/>
      <w:divBdr>
        <w:top w:val="none" w:sz="0" w:space="0" w:color="auto"/>
        <w:left w:val="none" w:sz="0" w:space="0" w:color="auto"/>
        <w:bottom w:val="none" w:sz="0" w:space="0" w:color="auto"/>
        <w:right w:val="none" w:sz="0" w:space="0" w:color="auto"/>
      </w:divBdr>
    </w:div>
    <w:div w:id="387195513">
      <w:bodyDiv w:val="1"/>
      <w:marLeft w:val="0"/>
      <w:marRight w:val="0"/>
      <w:marTop w:val="0"/>
      <w:marBottom w:val="0"/>
      <w:divBdr>
        <w:top w:val="none" w:sz="0" w:space="0" w:color="auto"/>
        <w:left w:val="none" w:sz="0" w:space="0" w:color="auto"/>
        <w:bottom w:val="none" w:sz="0" w:space="0" w:color="auto"/>
        <w:right w:val="none" w:sz="0" w:space="0" w:color="auto"/>
      </w:divBdr>
    </w:div>
    <w:div w:id="432358608">
      <w:bodyDiv w:val="1"/>
      <w:marLeft w:val="0"/>
      <w:marRight w:val="0"/>
      <w:marTop w:val="0"/>
      <w:marBottom w:val="0"/>
      <w:divBdr>
        <w:top w:val="none" w:sz="0" w:space="0" w:color="auto"/>
        <w:left w:val="none" w:sz="0" w:space="0" w:color="auto"/>
        <w:bottom w:val="none" w:sz="0" w:space="0" w:color="auto"/>
        <w:right w:val="none" w:sz="0" w:space="0" w:color="auto"/>
      </w:divBdr>
    </w:div>
    <w:div w:id="448549133">
      <w:bodyDiv w:val="1"/>
      <w:marLeft w:val="0"/>
      <w:marRight w:val="0"/>
      <w:marTop w:val="0"/>
      <w:marBottom w:val="0"/>
      <w:divBdr>
        <w:top w:val="none" w:sz="0" w:space="0" w:color="auto"/>
        <w:left w:val="none" w:sz="0" w:space="0" w:color="auto"/>
        <w:bottom w:val="none" w:sz="0" w:space="0" w:color="auto"/>
        <w:right w:val="none" w:sz="0" w:space="0" w:color="auto"/>
      </w:divBdr>
    </w:div>
    <w:div w:id="489947680">
      <w:bodyDiv w:val="1"/>
      <w:marLeft w:val="0"/>
      <w:marRight w:val="0"/>
      <w:marTop w:val="0"/>
      <w:marBottom w:val="0"/>
      <w:divBdr>
        <w:top w:val="none" w:sz="0" w:space="0" w:color="auto"/>
        <w:left w:val="none" w:sz="0" w:space="0" w:color="auto"/>
        <w:bottom w:val="none" w:sz="0" w:space="0" w:color="auto"/>
        <w:right w:val="none" w:sz="0" w:space="0" w:color="auto"/>
      </w:divBdr>
    </w:div>
    <w:div w:id="541867320">
      <w:bodyDiv w:val="1"/>
      <w:marLeft w:val="0"/>
      <w:marRight w:val="0"/>
      <w:marTop w:val="0"/>
      <w:marBottom w:val="0"/>
      <w:divBdr>
        <w:top w:val="none" w:sz="0" w:space="0" w:color="auto"/>
        <w:left w:val="none" w:sz="0" w:space="0" w:color="auto"/>
        <w:bottom w:val="none" w:sz="0" w:space="0" w:color="auto"/>
        <w:right w:val="none" w:sz="0" w:space="0" w:color="auto"/>
      </w:divBdr>
    </w:div>
    <w:div w:id="674502087">
      <w:bodyDiv w:val="1"/>
      <w:marLeft w:val="0"/>
      <w:marRight w:val="0"/>
      <w:marTop w:val="0"/>
      <w:marBottom w:val="0"/>
      <w:divBdr>
        <w:top w:val="none" w:sz="0" w:space="0" w:color="auto"/>
        <w:left w:val="none" w:sz="0" w:space="0" w:color="auto"/>
        <w:bottom w:val="none" w:sz="0" w:space="0" w:color="auto"/>
        <w:right w:val="none" w:sz="0" w:space="0" w:color="auto"/>
      </w:divBdr>
    </w:div>
    <w:div w:id="695236211">
      <w:bodyDiv w:val="1"/>
      <w:marLeft w:val="0"/>
      <w:marRight w:val="0"/>
      <w:marTop w:val="0"/>
      <w:marBottom w:val="0"/>
      <w:divBdr>
        <w:top w:val="none" w:sz="0" w:space="0" w:color="auto"/>
        <w:left w:val="none" w:sz="0" w:space="0" w:color="auto"/>
        <w:bottom w:val="none" w:sz="0" w:space="0" w:color="auto"/>
        <w:right w:val="none" w:sz="0" w:space="0" w:color="auto"/>
      </w:divBdr>
    </w:div>
    <w:div w:id="729577972">
      <w:bodyDiv w:val="1"/>
      <w:marLeft w:val="0"/>
      <w:marRight w:val="0"/>
      <w:marTop w:val="0"/>
      <w:marBottom w:val="0"/>
      <w:divBdr>
        <w:top w:val="none" w:sz="0" w:space="0" w:color="auto"/>
        <w:left w:val="none" w:sz="0" w:space="0" w:color="auto"/>
        <w:bottom w:val="none" w:sz="0" w:space="0" w:color="auto"/>
        <w:right w:val="none" w:sz="0" w:space="0" w:color="auto"/>
      </w:divBdr>
    </w:div>
    <w:div w:id="778990886">
      <w:bodyDiv w:val="1"/>
      <w:marLeft w:val="0"/>
      <w:marRight w:val="0"/>
      <w:marTop w:val="0"/>
      <w:marBottom w:val="0"/>
      <w:divBdr>
        <w:top w:val="none" w:sz="0" w:space="0" w:color="auto"/>
        <w:left w:val="none" w:sz="0" w:space="0" w:color="auto"/>
        <w:bottom w:val="none" w:sz="0" w:space="0" w:color="auto"/>
        <w:right w:val="none" w:sz="0" w:space="0" w:color="auto"/>
      </w:divBdr>
    </w:div>
    <w:div w:id="779494731">
      <w:bodyDiv w:val="1"/>
      <w:marLeft w:val="0"/>
      <w:marRight w:val="0"/>
      <w:marTop w:val="0"/>
      <w:marBottom w:val="0"/>
      <w:divBdr>
        <w:top w:val="none" w:sz="0" w:space="0" w:color="auto"/>
        <w:left w:val="none" w:sz="0" w:space="0" w:color="auto"/>
        <w:bottom w:val="none" w:sz="0" w:space="0" w:color="auto"/>
        <w:right w:val="none" w:sz="0" w:space="0" w:color="auto"/>
      </w:divBdr>
    </w:div>
    <w:div w:id="800735794">
      <w:bodyDiv w:val="1"/>
      <w:marLeft w:val="0"/>
      <w:marRight w:val="0"/>
      <w:marTop w:val="0"/>
      <w:marBottom w:val="0"/>
      <w:divBdr>
        <w:top w:val="none" w:sz="0" w:space="0" w:color="auto"/>
        <w:left w:val="none" w:sz="0" w:space="0" w:color="auto"/>
        <w:bottom w:val="none" w:sz="0" w:space="0" w:color="auto"/>
        <w:right w:val="none" w:sz="0" w:space="0" w:color="auto"/>
      </w:divBdr>
    </w:div>
    <w:div w:id="802238979">
      <w:bodyDiv w:val="1"/>
      <w:marLeft w:val="0"/>
      <w:marRight w:val="0"/>
      <w:marTop w:val="0"/>
      <w:marBottom w:val="0"/>
      <w:divBdr>
        <w:top w:val="none" w:sz="0" w:space="0" w:color="auto"/>
        <w:left w:val="none" w:sz="0" w:space="0" w:color="auto"/>
        <w:bottom w:val="none" w:sz="0" w:space="0" w:color="auto"/>
        <w:right w:val="none" w:sz="0" w:space="0" w:color="auto"/>
      </w:divBdr>
    </w:div>
    <w:div w:id="804087266">
      <w:bodyDiv w:val="1"/>
      <w:marLeft w:val="0"/>
      <w:marRight w:val="0"/>
      <w:marTop w:val="0"/>
      <w:marBottom w:val="0"/>
      <w:divBdr>
        <w:top w:val="none" w:sz="0" w:space="0" w:color="auto"/>
        <w:left w:val="none" w:sz="0" w:space="0" w:color="auto"/>
        <w:bottom w:val="none" w:sz="0" w:space="0" w:color="auto"/>
        <w:right w:val="none" w:sz="0" w:space="0" w:color="auto"/>
      </w:divBdr>
    </w:div>
    <w:div w:id="922959041">
      <w:bodyDiv w:val="1"/>
      <w:marLeft w:val="0"/>
      <w:marRight w:val="0"/>
      <w:marTop w:val="0"/>
      <w:marBottom w:val="0"/>
      <w:divBdr>
        <w:top w:val="none" w:sz="0" w:space="0" w:color="auto"/>
        <w:left w:val="none" w:sz="0" w:space="0" w:color="auto"/>
        <w:bottom w:val="none" w:sz="0" w:space="0" w:color="auto"/>
        <w:right w:val="none" w:sz="0" w:space="0" w:color="auto"/>
      </w:divBdr>
    </w:div>
    <w:div w:id="955406197">
      <w:bodyDiv w:val="1"/>
      <w:marLeft w:val="0"/>
      <w:marRight w:val="0"/>
      <w:marTop w:val="0"/>
      <w:marBottom w:val="0"/>
      <w:divBdr>
        <w:top w:val="none" w:sz="0" w:space="0" w:color="auto"/>
        <w:left w:val="none" w:sz="0" w:space="0" w:color="auto"/>
        <w:bottom w:val="none" w:sz="0" w:space="0" w:color="auto"/>
        <w:right w:val="none" w:sz="0" w:space="0" w:color="auto"/>
      </w:divBdr>
    </w:div>
    <w:div w:id="1002968631">
      <w:bodyDiv w:val="1"/>
      <w:marLeft w:val="0"/>
      <w:marRight w:val="0"/>
      <w:marTop w:val="0"/>
      <w:marBottom w:val="0"/>
      <w:divBdr>
        <w:top w:val="none" w:sz="0" w:space="0" w:color="auto"/>
        <w:left w:val="none" w:sz="0" w:space="0" w:color="auto"/>
        <w:bottom w:val="none" w:sz="0" w:space="0" w:color="auto"/>
        <w:right w:val="none" w:sz="0" w:space="0" w:color="auto"/>
      </w:divBdr>
    </w:div>
    <w:div w:id="1021777776">
      <w:bodyDiv w:val="1"/>
      <w:marLeft w:val="0"/>
      <w:marRight w:val="0"/>
      <w:marTop w:val="0"/>
      <w:marBottom w:val="0"/>
      <w:divBdr>
        <w:top w:val="none" w:sz="0" w:space="0" w:color="auto"/>
        <w:left w:val="none" w:sz="0" w:space="0" w:color="auto"/>
        <w:bottom w:val="none" w:sz="0" w:space="0" w:color="auto"/>
        <w:right w:val="none" w:sz="0" w:space="0" w:color="auto"/>
      </w:divBdr>
    </w:div>
    <w:div w:id="1036543804">
      <w:bodyDiv w:val="1"/>
      <w:marLeft w:val="0"/>
      <w:marRight w:val="0"/>
      <w:marTop w:val="0"/>
      <w:marBottom w:val="0"/>
      <w:divBdr>
        <w:top w:val="none" w:sz="0" w:space="0" w:color="auto"/>
        <w:left w:val="none" w:sz="0" w:space="0" w:color="auto"/>
        <w:bottom w:val="none" w:sz="0" w:space="0" w:color="auto"/>
        <w:right w:val="none" w:sz="0" w:space="0" w:color="auto"/>
      </w:divBdr>
    </w:div>
    <w:div w:id="1064793577">
      <w:bodyDiv w:val="1"/>
      <w:marLeft w:val="0"/>
      <w:marRight w:val="0"/>
      <w:marTop w:val="0"/>
      <w:marBottom w:val="0"/>
      <w:divBdr>
        <w:top w:val="none" w:sz="0" w:space="0" w:color="auto"/>
        <w:left w:val="none" w:sz="0" w:space="0" w:color="auto"/>
        <w:bottom w:val="none" w:sz="0" w:space="0" w:color="auto"/>
        <w:right w:val="none" w:sz="0" w:space="0" w:color="auto"/>
      </w:divBdr>
      <w:divsChild>
        <w:div w:id="1506553214">
          <w:marLeft w:val="0"/>
          <w:marRight w:val="0"/>
          <w:marTop w:val="0"/>
          <w:marBottom w:val="0"/>
          <w:divBdr>
            <w:top w:val="none" w:sz="0" w:space="0" w:color="auto"/>
            <w:left w:val="none" w:sz="0" w:space="0" w:color="auto"/>
            <w:bottom w:val="none" w:sz="0" w:space="0" w:color="auto"/>
            <w:right w:val="none" w:sz="0" w:space="0" w:color="auto"/>
          </w:divBdr>
        </w:div>
      </w:divsChild>
    </w:div>
    <w:div w:id="1120339435">
      <w:bodyDiv w:val="1"/>
      <w:marLeft w:val="0"/>
      <w:marRight w:val="0"/>
      <w:marTop w:val="0"/>
      <w:marBottom w:val="0"/>
      <w:divBdr>
        <w:top w:val="none" w:sz="0" w:space="0" w:color="auto"/>
        <w:left w:val="none" w:sz="0" w:space="0" w:color="auto"/>
        <w:bottom w:val="none" w:sz="0" w:space="0" w:color="auto"/>
        <w:right w:val="none" w:sz="0" w:space="0" w:color="auto"/>
      </w:divBdr>
    </w:div>
    <w:div w:id="1245801905">
      <w:bodyDiv w:val="1"/>
      <w:marLeft w:val="0"/>
      <w:marRight w:val="0"/>
      <w:marTop w:val="0"/>
      <w:marBottom w:val="0"/>
      <w:divBdr>
        <w:top w:val="none" w:sz="0" w:space="0" w:color="auto"/>
        <w:left w:val="none" w:sz="0" w:space="0" w:color="auto"/>
        <w:bottom w:val="none" w:sz="0" w:space="0" w:color="auto"/>
        <w:right w:val="none" w:sz="0" w:space="0" w:color="auto"/>
      </w:divBdr>
    </w:div>
    <w:div w:id="1278368052">
      <w:bodyDiv w:val="1"/>
      <w:marLeft w:val="0"/>
      <w:marRight w:val="0"/>
      <w:marTop w:val="0"/>
      <w:marBottom w:val="0"/>
      <w:divBdr>
        <w:top w:val="none" w:sz="0" w:space="0" w:color="auto"/>
        <w:left w:val="none" w:sz="0" w:space="0" w:color="auto"/>
        <w:bottom w:val="none" w:sz="0" w:space="0" w:color="auto"/>
        <w:right w:val="none" w:sz="0" w:space="0" w:color="auto"/>
      </w:divBdr>
    </w:div>
    <w:div w:id="1330985381">
      <w:bodyDiv w:val="1"/>
      <w:marLeft w:val="0"/>
      <w:marRight w:val="0"/>
      <w:marTop w:val="0"/>
      <w:marBottom w:val="0"/>
      <w:divBdr>
        <w:top w:val="none" w:sz="0" w:space="0" w:color="auto"/>
        <w:left w:val="none" w:sz="0" w:space="0" w:color="auto"/>
        <w:bottom w:val="none" w:sz="0" w:space="0" w:color="auto"/>
        <w:right w:val="none" w:sz="0" w:space="0" w:color="auto"/>
      </w:divBdr>
    </w:div>
    <w:div w:id="1332181186">
      <w:bodyDiv w:val="1"/>
      <w:marLeft w:val="0"/>
      <w:marRight w:val="0"/>
      <w:marTop w:val="0"/>
      <w:marBottom w:val="0"/>
      <w:divBdr>
        <w:top w:val="none" w:sz="0" w:space="0" w:color="auto"/>
        <w:left w:val="none" w:sz="0" w:space="0" w:color="auto"/>
        <w:bottom w:val="none" w:sz="0" w:space="0" w:color="auto"/>
        <w:right w:val="none" w:sz="0" w:space="0" w:color="auto"/>
      </w:divBdr>
      <w:divsChild>
        <w:div w:id="517156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4649438">
      <w:bodyDiv w:val="1"/>
      <w:marLeft w:val="0"/>
      <w:marRight w:val="0"/>
      <w:marTop w:val="0"/>
      <w:marBottom w:val="0"/>
      <w:divBdr>
        <w:top w:val="none" w:sz="0" w:space="0" w:color="auto"/>
        <w:left w:val="none" w:sz="0" w:space="0" w:color="auto"/>
        <w:bottom w:val="none" w:sz="0" w:space="0" w:color="auto"/>
        <w:right w:val="none" w:sz="0" w:space="0" w:color="auto"/>
      </w:divBdr>
    </w:div>
    <w:div w:id="1471902537">
      <w:bodyDiv w:val="1"/>
      <w:marLeft w:val="0"/>
      <w:marRight w:val="0"/>
      <w:marTop w:val="0"/>
      <w:marBottom w:val="0"/>
      <w:divBdr>
        <w:top w:val="none" w:sz="0" w:space="0" w:color="auto"/>
        <w:left w:val="none" w:sz="0" w:space="0" w:color="auto"/>
        <w:bottom w:val="none" w:sz="0" w:space="0" w:color="auto"/>
        <w:right w:val="none" w:sz="0" w:space="0" w:color="auto"/>
      </w:divBdr>
    </w:div>
    <w:div w:id="1483155434">
      <w:bodyDiv w:val="1"/>
      <w:marLeft w:val="0"/>
      <w:marRight w:val="0"/>
      <w:marTop w:val="0"/>
      <w:marBottom w:val="0"/>
      <w:divBdr>
        <w:top w:val="none" w:sz="0" w:space="0" w:color="auto"/>
        <w:left w:val="none" w:sz="0" w:space="0" w:color="auto"/>
        <w:bottom w:val="none" w:sz="0" w:space="0" w:color="auto"/>
        <w:right w:val="none" w:sz="0" w:space="0" w:color="auto"/>
      </w:divBdr>
    </w:div>
    <w:div w:id="1484352442">
      <w:bodyDiv w:val="1"/>
      <w:marLeft w:val="0"/>
      <w:marRight w:val="0"/>
      <w:marTop w:val="0"/>
      <w:marBottom w:val="0"/>
      <w:divBdr>
        <w:top w:val="none" w:sz="0" w:space="0" w:color="auto"/>
        <w:left w:val="none" w:sz="0" w:space="0" w:color="auto"/>
        <w:bottom w:val="none" w:sz="0" w:space="0" w:color="auto"/>
        <w:right w:val="none" w:sz="0" w:space="0" w:color="auto"/>
      </w:divBdr>
    </w:div>
    <w:div w:id="1514341282">
      <w:bodyDiv w:val="1"/>
      <w:marLeft w:val="0"/>
      <w:marRight w:val="0"/>
      <w:marTop w:val="0"/>
      <w:marBottom w:val="0"/>
      <w:divBdr>
        <w:top w:val="none" w:sz="0" w:space="0" w:color="auto"/>
        <w:left w:val="none" w:sz="0" w:space="0" w:color="auto"/>
        <w:bottom w:val="none" w:sz="0" w:space="0" w:color="auto"/>
        <w:right w:val="none" w:sz="0" w:space="0" w:color="auto"/>
      </w:divBdr>
      <w:divsChild>
        <w:div w:id="1340812387">
          <w:marLeft w:val="0"/>
          <w:marRight w:val="0"/>
          <w:marTop w:val="0"/>
          <w:marBottom w:val="0"/>
          <w:divBdr>
            <w:top w:val="none" w:sz="0" w:space="0" w:color="auto"/>
            <w:left w:val="none" w:sz="0" w:space="0" w:color="auto"/>
            <w:bottom w:val="none" w:sz="0" w:space="0" w:color="auto"/>
            <w:right w:val="none" w:sz="0" w:space="0" w:color="auto"/>
          </w:divBdr>
          <w:divsChild>
            <w:div w:id="130175708">
              <w:marLeft w:val="0"/>
              <w:marRight w:val="0"/>
              <w:marTop w:val="0"/>
              <w:marBottom w:val="0"/>
              <w:divBdr>
                <w:top w:val="none" w:sz="0" w:space="0" w:color="auto"/>
                <w:left w:val="none" w:sz="0" w:space="0" w:color="auto"/>
                <w:bottom w:val="none" w:sz="0" w:space="0" w:color="auto"/>
                <w:right w:val="none" w:sz="0" w:space="0" w:color="auto"/>
              </w:divBdr>
              <w:divsChild>
                <w:div w:id="93477517">
                  <w:marLeft w:val="0"/>
                  <w:marRight w:val="0"/>
                  <w:marTop w:val="0"/>
                  <w:marBottom w:val="0"/>
                  <w:divBdr>
                    <w:top w:val="none" w:sz="0" w:space="0" w:color="auto"/>
                    <w:left w:val="none" w:sz="0" w:space="0" w:color="auto"/>
                    <w:bottom w:val="none" w:sz="0" w:space="0" w:color="auto"/>
                    <w:right w:val="none" w:sz="0" w:space="0" w:color="auto"/>
                  </w:divBdr>
                  <w:divsChild>
                    <w:div w:id="1269659286">
                      <w:marLeft w:val="0"/>
                      <w:marRight w:val="0"/>
                      <w:marTop w:val="0"/>
                      <w:marBottom w:val="0"/>
                      <w:divBdr>
                        <w:top w:val="none" w:sz="0" w:space="0" w:color="auto"/>
                        <w:left w:val="none" w:sz="0" w:space="0" w:color="auto"/>
                        <w:bottom w:val="none" w:sz="0" w:space="0" w:color="auto"/>
                        <w:right w:val="none" w:sz="0" w:space="0" w:color="auto"/>
                      </w:divBdr>
                      <w:divsChild>
                        <w:div w:id="427047188">
                          <w:marLeft w:val="0"/>
                          <w:marRight w:val="0"/>
                          <w:marTop w:val="0"/>
                          <w:marBottom w:val="0"/>
                          <w:divBdr>
                            <w:top w:val="none" w:sz="0" w:space="0" w:color="auto"/>
                            <w:left w:val="none" w:sz="0" w:space="0" w:color="auto"/>
                            <w:bottom w:val="none" w:sz="0" w:space="0" w:color="auto"/>
                            <w:right w:val="none" w:sz="0" w:space="0" w:color="auto"/>
                          </w:divBdr>
                          <w:divsChild>
                            <w:div w:id="1680694139">
                              <w:marLeft w:val="0"/>
                              <w:marRight w:val="0"/>
                              <w:marTop w:val="0"/>
                              <w:marBottom w:val="0"/>
                              <w:divBdr>
                                <w:top w:val="none" w:sz="0" w:space="0" w:color="auto"/>
                                <w:left w:val="none" w:sz="0" w:space="0" w:color="auto"/>
                                <w:bottom w:val="none" w:sz="0" w:space="0" w:color="auto"/>
                                <w:right w:val="none" w:sz="0" w:space="0" w:color="auto"/>
                              </w:divBdr>
                              <w:divsChild>
                                <w:div w:id="161501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729886">
      <w:bodyDiv w:val="1"/>
      <w:marLeft w:val="0"/>
      <w:marRight w:val="0"/>
      <w:marTop w:val="0"/>
      <w:marBottom w:val="0"/>
      <w:divBdr>
        <w:top w:val="none" w:sz="0" w:space="0" w:color="auto"/>
        <w:left w:val="none" w:sz="0" w:space="0" w:color="auto"/>
        <w:bottom w:val="none" w:sz="0" w:space="0" w:color="auto"/>
        <w:right w:val="none" w:sz="0" w:space="0" w:color="auto"/>
      </w:divBdr>
      <w:divsChild>
        <w:div w:id="986323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941538">
      <w:bodyDiv w:val="1"/>
      <w:marLeft w:val="0"/>
      <w:marRight w:val="0"/>
      <w:marTop w:val="0"/>
      <w:marBottom w:val="0"/>
      <w:divBdr>
        <w:top w:val="none" w:sz="0" w:space="0" w:color="auto"/>
        <w:left w:val="none" w:sz="0" w:space="0" w:color="auto"/>
        <w:bottom w:val="none" w:sz="0" w:space="0" w:color="auto"/>
        <w:right w:val="none" w:sz="0" w:space="0" w:color="auto"/>
      </w:divBdr>
      <w:divsChild>
        <w:div w:id="29651585">
          <w:marLeft w:val="0"/>
          <w:marRight w:val="0"/>
          <w:marTop w:val="0"/>
          <w:marBottom w:val="0"/>
          <w:divBdr>
            <w:top w:val="none" w:sz="0" w:space="0" w:color="auto"/>
            <w:left w:val="none" w:sz="0" w:space="0" w:color="auto"/>
            <w:bottom w:val="none" w:sz="0" w:space="0" w:color="auto"/>
            <w:right w:val="none" w:sz="0" w:space="0" w:color="auto"/>
          </w:divBdr>
        </w:div>
      </w:divsChild>
    </w:div>
    <w:div w:id="1705864378">
      <w:bodyDiv w:val="1"/>
      <w:marLeft w:val="0"/>
      <w:marRight w:val="0"/>
      <w:marTop w:val="0"/>
      <w:marBottom w:val="0"/>
      <w:divBdr>
        <w:top w:val="none" w:sz="0" w:space="0" w:color="auto"/>
        <w:left w:val="none" w:sz="0" w:space="0" w:color="auto"/>
        <w:bottom w:val="none" w:sz="0" w:space="0" w:color="auto"/>
        <w:right w:val="none" w:sz="0" w:space="0" w:color="auto"/>
      </w:divBdr>
    </w:div>
    <w:div w:id="1733499894">
      <w:bodyDiv w:val="1"/>
      <w:marLeft w:val="0"/>
      <w:marRight w:val="0"/>
      <w:marTop w:val="0"/>
      <w:marBottom w:val="0"/>
      <w:divBdr>
        <w:top w:val="none" w:sz="0" w:space="0" w:color="auto"/>
        <w:left w:val="none" w:sz="0" w:space="0" w:color="auto"/>
        <w:bottom w:val="none" w:sz="0" w:space="0" w:color="auto"/>
        <w:right w:val="none" w:sz="0" w:space="0" w:color="auto"/>
      </w:divBdr>
    </w:div>
    <w:div w:id="1755541409">
      <w:bodyDiv w:val="1"/>
      <w:marLeft w:val="0"/>
      <w:marRight w:val="0"/>
      <w:marTop w:val="0"/>
      <w:marBottom w:val="0"/>
      <w:divBdr>
        <w:top w:val="none" w:sz="0" w:space="0" w:color="auto"/>
        <w:left w:val="none" w:sz="0" w:space="0" w:color="auto"/>
        <w:bottom w:val="none" w:sz="0" w:space="0" w:color="auto"/>
        <w:right w:val="none" w:sz="0" w:space="0" w:color="auto"/>
      </w:divBdr>
    </w:div>
    <w:div w:id="1805541037">
      <w:bodyDiv w:val="1"/>
      <w:marLeft w:val="0"/>
      <w:marRight w:val="0"/>
      <w:marTop w:val="0"/>
      <w:marBottom w:val="0"/>
      <w:divBdr>
        <w:top w:val="none" w:sz="0" w:space="0" w:color="auto"/>
        <w:left w:val="none" w:sz="0" w:space="0" w:color="auto"/>
        <w:bottom w:val="none" w:sz="0" w:space="0" w:color="auto"/>
        <w:right w:val="none" w:sz="0" w:space="0" w:color="auto"/>
      </w:divBdr>
    </w:div>
    <w:div w:id="1815949068">
      <w:bodyDiv w:val="1"/>
      <w:marLeft w:val="0"/>
      <w:marRight w:val="0"/>
      <w:marTop w:val="0"/>
      <w:marBottom w:val="0"/>
      <w:divBdr>
        <w:top w:val="none" w:sz="0" w:space="0" w:color="auto"/>
        <w:left w:val="none" w:sz="0" w:space="0" w:color="auto"/>
        <w:bottom w:val="none" w:sz="0" w:space="0" w:color="auto"/>
        <w:right w:val="none" w:sz="0" w:space="0" w:color="auto"/>
      </w:divBdr>
    </w:div>
    <w:div w:id="1857231558">
      <w:bodyDiv w:val="1"/>
      <w:marLeft w:val="0"/>
      <w:marRight w:val="0"/>
      <w:marTop w:val="0"/>
      <w:marBottom w:val="0"/>
      <w:divBdr>
        <w:top w:val="none" w:sz="0" w:space="0" w:color="auto"/>
        <w:left w:val="none" w:sz="0" w:space="0" w:color="auto"/>
        <w:bottom w:val="none" w:sz="0" w:space="0" w:color="auto"/>
        <w:right w:val="none" w:sz="0" w:space="0" w:color="auto"/>
      </w:divBdr>
    </w:div>
    <w:div w:id="1922716250">
      <w:bodyDiv w:val="1"/>
      <w:marLeft w:val="0"/>
      <w:marRight w:val="0"/>
      <w:marTop w:val="0"/>
      <w:marBottom w:val="0"/>
      <w:divBdr>
        <w:top w:val="none" w:sz="0" w:space="0" w:color="auto"/>
        <w:left w:val="none" w:sz="0" w:space="0" w:color="auto"/>
        <w:bottom w:val="none" w:sz="0" w:space="0" w:color="auto"/>
        <w:right w:val="none" w:sz="0" w:space="0" w:color="auto"/>
      </w:divBdr>
    </w:div>
    <w:div w:id="1930036469">
      <w:bodyDiv w:val="1"/>
      <w:marLeft w:val="0"/>
      <w:marRight w:val="0"/>
      <w:marTop w:val="0"/>
      <w:marBottom w:val="0"/>
      <w:divBdr>
        <w:top w:val="none" w:sz="0" w:space="0" w:color="auto"/>
        <w:left w:val="none" w:sz="0" w:space="0" w:color="auto"/>
        <w:bottom w:val="none" w:sz="0" w:space="0" w:color="auto"/>
        <w:right w:val="none" w:sz="0" w:space="0" w:color="auto"/>
      </w:divBdr>
      <w:divsChild>
        <w:div w:id="1424300977">
          <w:marLeft w:val="0"/>
          <w:marRight w:val="0"/>
          <w:marTop w:val="0"/>
          <w:marBottom w:val="0"/>
          <w:divBdr>
            <w:top w:val="none" w:sz="0" w:space="0" w:color="auto"/>
            <w:left w:val="none" w:sz="0" w:space="0" w:color="auto"/>
            <w:bottom w:val="none" w:sz="0" w:space="0" w:color="auto"/>
            <w:right w:val="none" w:sz="0" w:space="0" w:color="auto"/>
          </w:divBdr>
          <w:divsChild>
            <w:div w:id="1960185722">
              <w:marLeft w:val="0"/>
              <w:marRight w:val="0"/>
              <w:marTop w:val="0"/>
              <w:marBottom w:val="0"/>
              <w:divBdr>
                <w:top w:val="none" w:sz="0" w:space="0" w:color="auto"/>
                <w:left w:val="none" w:sz="0" w:space="0" w:color="auto"/>
                <w:bottom w:val="none" w:sz="0" w:space="0" w:color="auto"/>
                <w:right w:val="none" w:sz="0" w:space="0" w:color="auto"/>
              </w:divBdr>
              <w:divsChild>
                <w:div w:id="415832082">
                  <w:marLeft w:val="0"/>
                  <w:marRight w:val="0"/>
                  <w:marTop w:val="0"/>
                  <w:marBottom w:val="0"/>
                  <w:divBdr>
                    <w:top w:val="none" w:sz="0" w:space="0" w:color="auto"/>
                    <w:left w:val="none" w:sz="0" w:space="0" w:color="auto"/>
                    <w:bottom w:val="none" w:sz="0" w:space="0" w:color="auto"/>
                    <w:right w:val="none" w:sz="0" w:space="0" w:color="auto"/>
                  </w:divBdr>
                  <w:divsChild>
                    <w:div w:id="140386854">
                      <w:marLeft w:val="0"/>
                      <w:marRight w:val="0"/>
                      <w:marTop w:val="0"/>
                      <w:marBottom w:val="0"/>
                      <w:divBdr>
                        <w:top w:val="none" w:sz="0" w:space="0" w:color="auto"/>
                        <w:left w:val="none" w:sz="0" w:space="0" w:color="auto"/>
                        <w:bottom w:val="none" w:sz="0" w:space="0" w:color="auto"/>
                        <w:right w:val="none" w:sz="0" w:space="0" w:color="auto"/>
                      </w:divBdr>
                      <w:divsChild>
                        <w:div w:id="332420396">
                          <w:marLeft w:val="0"/>
                          <w:marRight w:val="0"/>
                          <w:marTop w:val="0"/>
                          <w:marBottom w:val="0"/>
                          <w:divBdr>
                            <w:top w:val="none" w:sz="0" w:space="0" w:color="auto"/>
                            <w:left w:val="none" w:sz="0" w:space="0" w:color="auto"/>
                            <w:bottom w:val="none" w:sz="0" w:space="0" w:color="auto"/>
                            <w:right w:val="none" w:sz="0" w:space="0" w:color="auto"/>
                          </w:divBdr>
                          <w:divsChild>
                            <w:div w:id="1095513456">
                              <w:marLeft w:val="0"/>
                              <w:marRight w:val="0"/>
                              <w:marTop w:val="0"/>
                              <w:marBottom w:val="0"/>
                              <w:divBdr>
                                <w:top w:val="none" w:sz="0" w:space="0" w:color="auto"/>
                                <w:left w:val="none" w:sz="0" w:space="0" w:color="auto"/>
                                <w:bottom w:val="none" w:sz="0" w:space="0" w:color="auto"/>
                                <w:right w:val="none" w:sz="0" w:space="0" w:color="auto"/>
                              </w:divBdr>
                              <w:divsChild>
                                <w:div w:id="112556903">
                                  <w:marLeft w:val="0"/>
                                  <w:marRight w:val="0"/>
                                  <w:marTop w:val="0"/>
                                  <w:marBottom w:val="0"/>
                                  <w:divBdr>
                                    <w:top w:val="none" w:sz="0" w:space="0" w:color="auto"/>
                                    <w:left w:val="none" w:sz="0" w:space="0" w:color="auto"/>
                                    <w:bottom w:val="none" w:sz="0" w:space="0" w:color="auto"/>
                                    <w:right w:val="none" w:sz="0" w:space="0" w:color="auto"/>
                                  </w:divBdr>
                                  <w:divsChild>
                                    <w:div w:id="36636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9101351">
          <w:marLeft w:val="0"/>
          <w:marRight w:val="0"/>
          <w:marTop w:val="0"/>
          <w:marBottom w:val="0"/>
          <w:divBdr>
            <w:top w:val="none" w:sz="0" w:space="0" w:color="auto"/>
            <w:left w:val="none" w:sz="0" w:space="0" w:color="auto"/>
            <w:bottom w:val="none" w:sz="0" w:space="0" w:color="auto"/>
            <w:right w:val="none" w:sz="0" w:space="0" w:color="auto"/>
          </w:divBdr>
        </w:div>
      </w:divsChild>
    </w:div>
    <w:div w:id="2019770672">
      <w:bodyDiv w:val="1"/>
      <w:marLeft w:val="0"/>
      <w:marRight w:val="0"/>
      <w:marTop w:val="0"/>
      <w:marBottom w:val="0"/>
      <w:divBdr>
        <w:top w:val="none" w:sz="0" w:space="0" w:color="auto"/>
        <w:left w:val="none" w:sz="0" w:space="0" w:color="auto"/>
        <w:bottom w:val="none" w:sz="0" w:space="0" w:color="auto"/>
        <w:right w:val="none" w:sz="0" w:space="0" w:color="auto"/>
      </w:divBdr>
    </w:div>
    <w:div w:id="2029090734">
      <w:bodyDiv w:val="1"/>
      <w:marLeft w:val="0"/>
      <w:marRight w:val="0"/>
      <w:marTop w:val="0"/>
      <w:marBottom w:val="0"/>
      <w:divBdr>
        <w:top w:val="none" w:sz="0" w:space="0" w:color="auto"/>
        <w:left w:val="none" w:sz="0" w:space="0" w:color="auto"/>
        <w:bottom w:val="none" w:sz="0" w:space="0" w:color="auto"/>
        <w:right w:val="none" w:sz="0" w:space="0" w:color="auto"/>
      </w:divBdr>
    </w:div>
    <w:div w:id="2073696974">
      <w:bodyDiv w:val="1"/>
      <w:marLeft w:val="0"/>
      <w:marRight w:val="0"/>
      <w:marTop w:val="0"/>
      <w:marBottom w:val="0"/>
      <w:divBdr>
        <w:top w:val="none" w:sz="0" w:space="0" w:color="auto"/>
        <w:left w:val="none" w:sz="0" w:space="0" w:color="auto"/>
        <w:bottom w:val="none" w:sz="0" w:space="0" w:color="auto"/>
        <w:right w:val="none" w:sz="0" w:space="0" w:color="auto"/>
      </w:divBdr>
    </w:div>
    <w:div w:id="2091542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FDBC2031823944CAE7A47B474980AF9" ma:contentTypeVersion="11" ma:contentTypeDescription="Crie um novo documento." ma:contentTypeScope="" ma:versionID="855b8a9cb39ccb1a7b580d7bd67e6c38">
  <xsd:schema xmlns:xsd="http://www.w3.org/2001/XMLSchema" xmlns:xs="http://www.w3.org/2001/XMLSchema" xmlns:p="http://schemas.microsoft.com/office/2006/metadata/properties" xmlns:ns2="725921e2-8998-4eb1-9fb8-0a15db1010ad" xmlns:ns3="92c5a728-2296-426d-baf2-0ff787f497e1" targetNamespace="http://schemas.microsoft.com/office/2006/metadata/properties" ma:root="true" ma:fieldsID="1d1296c8fba1412a6f6c28c7bf1b5c6f" ns2:_="" ns3:_="">
    <xsd:import namespace="725921e2-8998-4eb1-9fb8-0a15db1010ad"/>
    <xsd:import namespace="92c5a728-2296-426d-baf2-0ff787f497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5921e2-8998-4eb1-9fb8-0a15db1010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b94074d8-97da-4deb-a367-6d65a6a9ab5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c5a728-2296-426d-baf2-0ff787f497e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5f72d34-8b74-44f7-91a5-e89f3854a116}" ma:internalName="TaxCatchAll" ma:showField="CatchAllData" ma:web="92c5a728-2296-426d-baf2-0ff787f497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c5a728-2296-426d-baf2-0ff787f497e1" xsi:nil="true"/>
    <lcf76f155ced4ddcb4097134ff3c332f xmlns="725921e2-8998-4eb1-9fb8-0a15db1010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3B699C-58A5-4E30-B28D-A0EBD2730770}">
  <ds:schemaRefs>
    <ds:schemaRef ds:uri="http://schemas.openxmlformats.org/officeDocument/2006/bibliography"/>
  </ds:schemaRefs>
</ds:datastoreItem>
</file>

<file path=customXml/itemProps2.xml><?xml version="1.0" encoding="utf-8"?>
<ds:datastoreItem xmlns:ds="http://schemas.openxmlformats.org/officeDocument/2006/customXml" ds:itemID="{7A7A7FD6-6C0C-4048-ACD6-4408BAE703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5921e2-8998-4eb1-9fb8-0a15db1010ad"/>
    <ds:schemaRef ds:uri="92c5a728-2296-426d-baf2-0ff787f497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CE5C4D-344E-4B9A-BACC-B692E5F42C94}">
  <ds:schemaRefs>
    <ds:schemaRef ds:uri="http://schemas.microsoft.com/sharepoint/v3/contenttype/forms"/>
  </ds:schemaRefs>
</ds:datastoreItem>
</file>

<file path=customXml/itemProps4.xml><?xml version="1.0" encoding="utf-8"?>
<ds:datastoreItem xmlns:ds="http://schemas.openxmlformats.org/officeDocument/2006/customXml" ds:itemID="{FBFA4F3B-2708-4731-A0D3-85F4C0631F4E}">
  <ds:schemaRefs>
    <ds:schemaRef ds:uri="http://schemas.microsoft.com/office/2006/metadata/properties"/>
    <ds:schemaRef ds:uri="http://schemas.microsoft.com/office/infopath/2007/PartnerControls"/>
    <ds:schemaRef ds:uri="92c5a728-2296-426d-baf2-0ff787f497e1"/>
    <ds:schemaRef ds:uri="725921e2-8998-4eb1-9fb8-0a15db1010ad"/>
  </ds:schemaRefs>
</ds:datastoreItem>
</file>

<file path=docProps/app.xml><?xml version="1.0" encoding="utf-8"?>
<Properties xmlns="http://schemas.openxmlformats.org/officeDocument/2006/extended-properties" xmlns:vt="http://schemas.openxmlformats.org/officeDocument/2006/docPropsVTypes">
  <Template>Normal.dotm</Template>
  <TotalTime>5897</TotalTime>
  <Pages>9</Pages>
  <Words>3801</Words>
  <Characters>24389</Characters>
  <Application>Microsoft Office Word</Application>
  <DocSecurity>0</DocSecurity>
  <Lines>903</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27992</CharactersWithSpaces>
  <SharedDoc>false</SharedDoc>
  <HLinks>
    <vt:vector size="372" baseType="variant">
      <vt:variant>
        <vt:i4>3801138</vt:i4>
      </vt:variant>
      <vt:variant>
        <vt:i4>183</vt:i4>
      </vt:variant>
      <vt:variant>
        <vt:i4>0</vt:i4>
      </vt:variant>
      <vt:variant>
        <vt:i4>5</vt:i4>
      </vt:variant>
      <vt:variant>
        <vt:lpwstr>https://www.cisecurity.org/controls</vt:lpwstr>
      </vt:variant>
      <vt:variant>
        <vt:lpwstr/>
      </vt:variant>
      <vt:variant>
        <vt:i4>7077994</vt:i4>
      </vt:variant>
      <vt:variant>
        <vt:i4>180</vt:i4>
      </vt:variant>
      <vt:variant>
        <vt:i4>0</vt:i4>
      </vt:variant>
      <vt:variant>
        <vt:i4>5</vt:i4>
      </vt:variant>
      <vt:variant>
        <vt:lpwstr>https://www.planalto.gov.br/ccivil_03/_ato2015-2018/2018/lei/l13709.htm</vt:lpwstr>
      </vt:variant>
      <vt:variant>
        <vt:lpwstr/>
      </vt:variant>
      <vt:variant>
        <vt:i4>6422634</vt:i4>
      </vt:variant>
      <vt:variant>
        <vt:i4>177</vt:i4>
      </vt:variant>
      <vt:variant>
        <vt:i4>0</vt:i4>
      </vt:variant>
      <vt:variant>
        <vt:i4>5</vt:i4>
      </vt:variant>
      <vt:variant>
        <vt:lpwstr>https://www.planalto.gov.br/ccivil_03/_ato2011-2014/2011/lei/l12527.htm</vt:lpwstr>
      </vt:variant>
      <vt:variant>
        <vt:lpwstr/>
      </vt:variant>
      <vt:variant>
        <vt:i4>7077994</vt:i4>
      </vt:variant>
      <vt:variant>
        <vt:i4>174</vt:i4>
      </vt:variant>
      <vt:variant>
        <vt:i4>0</vt:i4>
      </vt:variant>
      <vt:variant>
        <vt:i4>5</vt:i4>
      </vt:variant>
      <vt:variant>
        <vt:lpwstr>https://www.planalto.gov.br/ccivil_03/_ato2015-2018/2018/lei/l13709.htm</vt:lpwstr>
      </vt:variant>
      <vt:variant>
        <vt:lpwstr/>
      </vt:variant>
      <vt:variant>
        <vt:i4>3801138</vt:i4>
      </vt:variant>
      <vt:variant>
        <vt:i4>171</vt:i4>
      </vt:variant>
      <vt:variant>
        <vt:i4>0</vt:i4>
      </vt:variant>
      <vt:variant>
        <vt:i4>5</vt:i4>
      </vt:variant>
      <vt:variant>
        <vt:lpwstr>https://www.cisecurity.org/controls</vt:lpwstr>
      </vt:variant>
      <vt:variant>
        <vt:lpwstr/>
      </vt:variant>
      <vt:variant>
        <vt:i4>7077994</vt:i4>
      </vt:variant>
      <vt:variant>
        <vt:i4>168</vt:i4>
      </vt:variant>
      <vt:variant>
        <vt:i4>0</vt:i4>
      </vt:variant>
      <vt:variant>
        <vt:i4>5</vt:i4>
      </vt:variant>
      <vt:variant>
        <vt:lpwstr>https://www.planalto.gov.br/ccivil_03/_ato2015-2018/2018/lei/l13709.htm</vt:lpwstr>
      </vt:variant>
      <vt:variant>
        <vt:lpwstr/>
      </vt:variant>
      <vt:variant>
        <vt:i4>6422634</vt:i4>
      </vt:variant>
      <vt:variant>
        <vt:i4>165</vt:i4>
      </vt:variant>
      <vt:variant>
        <vt:i4>0</vt:i4>
      </vt:variant>
      <vt:variant>
        <vt:i4>5</vt:i4>
      </vt:variant>
      <vt:variant>
        <vt:lpwstr>https://www.planalto.gov.br/ccivil_03/_ato2011-2014/2011/lei/l12527.htm</vt:lpwstr>
      </vt:variant>
      <vt:variant>
        <vt:lpwstr/>
      </vt:variant>
      <vt:variant>
        <vt:i4>3211381</vt:i4>
      </vt:variant>
      <vt:variant>
        <vt:i4>162</vt:i4>
      </vt:variant>
      <vt:variant>
        <vt:i4>0</vt:i4>
      </vt:variant>
      <vt:variant>
        <vt:i4>5</vt:i4>
      </vt:variant>
      <vt:variant>
        <vt:lpwstr>https://www.cnmp.mp.br/portal/images/CALJ/resolucoes/Resoluo-n-294d.pdf</vt:lpwstr>
      </vt:variant>
      <vt:variant>
        <vt:lpwstr/>
      </vt:variant>
      <vt:variant>
        <vt:i4>3604597</vt:i4>
      </vt:variant>
      <vt:variant>
        <vt:i4>159</vt:i4>
      </vt:variant>
      <vt:variant>
        <vt:i4>0</vt:i4>
      </vt:variant>
      <vt:variant>
        <vt:i4>5</vt:i4>
      </vt:variant>
      <vt:variant>
        <vt:lpwstr>https://www.tjrj.jus.br/documents/10136/0/resolucao-tjoe-28-2022-estrategia_si_pjerj.pdf/b7113e47-b697-a7f5-afd8-e41df0b52bbd?t=1666287585082</vt:lpwstr>
      </vt:variant>
      <vt:variant>
        <vt:lpwstr/>
      </vt:variant>
      <vt:variant>
        <vt:i4>1769557</vt:i4>
      </vt:variant>
      <vt:variant>
        <vt:i4>156</vt:i4>
      </vt:variant>
      <vt:variant>
        <vt:i4>0</vt:i4>
      </vt:variant>
      <vt:variant>
        <vt:i4>5</vt:i4>
      </vt:variant>
      <vt:variant>
        <vt:lpwstr>https://learn.cisecurity.org/cis-controls-download-v8</vt:lpwstr>
      </vt:variant>
      <vt:variant>
        <vt:lpwstr/>
      </vt:variant>
      <vt:variant>
        <vt:i4>2752639</vt:i4>
      </vt:variant>
      <vt:variant>
        <vt:i4>153</vt:i4>
      </vt:variant>
      <vt:variant>
        <vt:i4>0</vt:i4>
      </vt:variant>
      <vt:variant>
        <vt:i4>5</vt:i4>
      </vt:variant>
      <vt:variant>
        <vt:lpwstr>https://www.planalto.gov.br/ccivil_03/_ato2015-2018/2018/lei/l13709.htm</vt:lpwstr>
      </vt:variant>
      <vt:variant>
        <vt:lpwstr>art47</vt:lpwstr>
      </vt:variant>
      <vt:variant>
        <vt:i4>2752639</vt:i4>
      </vt:variant>
      <vt:variant>
        <vt:i4>150</vt:i4>
      </vt:variant>
      <vt:variant>
        <vt:i4>0</vt:i4>
      </vt:variant>
      <vt:variant>
        <vt:i4>5</vt:i4>
      </vt:variant>
      <vt:variant>
        <vt:lpwstr>https://www.planalto.gov.br/ccivil_03/_ato2015-2018/2018/lei/l13709.htm</vt:lpwstr>
      </vt:variant>
      <vt:variant>
        <vt:lpwstr>art46</vt:lpwstr>
      </vt:variant>
      <vt:variant>
        <vt:i4>7209071</vt:i4>
      </vt:variant>
      <vt:variant>
        <vt:i4>147</vt:i4>
      </vt:variant>
      <vt:variant>
        <vt:i4>0</vt:i4>
      </vt:variant>
      <vt:variant>
        <vt:i4>5</vt:i4>
      </vt:variant>
      <vt:variant>
        <vt:lpwstr>https://www.planalto.gov.br/ccivil_03/_ato2019-2022/2021/lei/l14133.htm</vt:lpwstr>
      </vt:variant>
      <vt:variant>
        <vt:lpwstr/>
      </vt:variant>
      <vt:variant>
        <vt:i4>3211381</vt:i4>
      </vt:variant>
      <vt:variant>
        <vt:i4>144</vt:i4>
      </vt:variant>
      <vt:variant>
        <vt:i4>0</vt:i4>
      </vt:variant>
      <vt:variant>
        <vt:i4>5</vt:i4>
      </vt:variant>
      <vt:variant>
        <vt:lpwstr>https://www.cnmp.mp.br/portal/images/CALJ/resolucoes/Resoluo-n-294d.pdf</vt:lpwstr>
      </vt:variant>
      <vt:variant>
        <vt:lpwstr/>
      </vt:variant>
      <vt:variant>
        <vt:i4>3604597</vt:i4>
      </vt:variant>
      <vt:variant>
        <vt:i4>141</vt:i4>
      </vt:variant>
      <vt:variant>
        <vt:i4>0</vt:i4>
      </vt:variant>
      <vt:variant>
        <vt:i4>5</vt:i4>
      </vt:variant>
      <vt:variant>
        <vt:lpwstr>https://www.tjrj.jus.br/documents/10136/0/resolucao-tjoe-28-2022-estrategia_si_pjerj.pdf/b7113e47-b697-a7f5-afd8-e41df0b52bbd?t=1666287585082</vt:lpwstr>
      </vt:variant>
      <vt:variant>
        <vt:lpwstr/>
      </vt:variant>
      <vt:variant>
        <vt:i4>5701662</vt:i4>
      </vt:variant>
      <vt:variant>
        <vt:i4>138</vt:i4>
      </vt:variant>
      <vt:variant>
        <vt:i4>0</vt:i4>
      </vt:variant>
      <vt:variant>
        <vt:i4>5</vt:i4>
      </vt:variant>
      <vt:variant>
        <vt:lpwstr>https://www.rj.gov.br/proderj/sites/default/files/Arquivos_IN/Anexo_Unico___Manual_de_Seguranca_da_Informacao___editado___gestao_atualizada %281%29.pdf</vt:lpwstr>
      </vt:variant>
      <vt:variant>
        <vt:lpwstr/>
      </vt:variant>
      <vt:variant>
        <vt:i4>1769557</vt:i4>
      </vt:variant>
      <vt:variant>
        <vt:i4>135</vt:i4>
      </vt:variant>
      <vt:variant>
        <vt:i4>0</vt:i4>
      </vt:variant>
      <vt:variant>
        <vt:i4>5</vt:i4>
      </vt:variant>
      <vt:variant>
        <vt:lpwstr>https://learn.cisecurity.org/cis-controls-download-v8</vt:lpwstr>
      </vt:variant>
      <vt:variant>
        <vt:lpwstr/>
      </vt:variant>
      <vt:variant>
        <vt:i4>1769557</vt:i4>
      </vt:variant>
      <vt:variant>
        <vt:i4>132</vt:i4>
      </vt:variant>
      <vt:variant>
        <vt:i4>0</vt:i4>
      </vt:variant>
      <vt:variant>
        <vt:i4>5</vt:i4>
      </vt:variant>
      <vt:variant>
        <vt:lpwstr>https://learn.cisecurity.org/cis-controls-download-v8</vt:lpwstr>
      </vt:variant>
      <vt:variant>
        <vt:lpwstr/>
      </vt:variant>
      <vt:variant>
        <vt:i4>1769557</vt:i4>
      </vt:variant>
      <vt:variant>
        <vt:i4>129</vt:i4>
      </vt:variant>
      <vt:variant>
        <vt:i4>0</vt:i4>
      </vt:variant>
      <vt:variant>
        <vt:i4>5</vt:i4>
      </vt:variant>
      <vt:variant>
        <vt:lpwstr>https://learn.cisecurity.org/cis-controls-download-v8</vt:lpwstr>
      </vt:variant>
      <vt:variant>
        <vt:lpwstr/>
      </vt:variant>
      <vt:variant>
        <vt:i4>1769557</vt:i4>
      </vt:variant>
      <vt:variant>
        <vt:i4>126</vt:i4>
      </vt:variant>
      <vt:variant>
        <vt:i4>0</vt:i4>
      </vt:variant>
      <vt:variant>
        <vt:i4>5</vt:i4>
      </vt:variant>
      <vt:variant>
        <vt:lpwstr>https://learn.cisecurity.org/cis-controls-download-v8</vt:lpwstr>
      </vt:variant>
      <vt:variant>
        <vt:lpwstr/>
      </vt:variant>
      <vt:variant>
        <vt:i4>1769557</vt:i4>
      </vt:variant>
      <vt:variant>
        <vt:i4>123</vt:i4>
      </vt:variant>
      <vt:variant>
        <vt:i4>0</vt:i4>
      </vt:variant>
      <vt:variant>
        <vt:i4>5</vt:i4>
      </vt:variant>
      <vt:variant>
        <vt:lpwstr>https://learn.cisecurity.org/cis-controls-download-v8</vt:lpwstr>
      </vt:variant>
      <vt:variant>
        <vt:lpwstr/>
      </vt:variant>
      <vt:variant>
        <vt:i4>1769557</vt:i4>
      </vt:variant>
      <vt:variant>
        <vt:i4>120</vt:i4>
      </vt:variant>
      <vt:variant>
        <vt:i4>0</vt:i4>
      </vt:variant>
      <vt:variant>
        <vt:i4>5</vt:i4>
      </vt:variant>
      <vt:variant>
        <vt:lpwstr>https://learn.cisecurity.org/cis-controls-download-v8</vt:lpwstr>
      </vt:variant>
      <vt:variant>
        <vt:lpwstr/>
      </vt:variant>
      <vt:variant>
        <vt:i4>1769557</vt:i4>
      </vt:variant>
      <vt:variant>
        <vt:i4>117</vt:i4>
      </vt:variant>
      <vt:variant>
        <vt:i4>0</vt:i4>
      </vt:variant>
      <vt:variant>
        <vt:i4>5</vt:i4>
      </vt:variant>
      <vt:variant>
        <vt:lpwstr>https://learn.cisecurity.org/cis-controls-download-v8</vt:lpwstr>
      </vt:variant>
      <vt:variant>
        <vt:lpwstr/>
      </vt:variant>
      <vt:variant>
        <vt:i4>1769557</vt:i4>
      </vt:variant>
      <vt:variant>
        <vt:i4>114</vt:i4>
      </vt:variant>
      <vt:variant>
        <vt:i4>0</vt:i4>
      </vt:variant>
      <vt:variant>
        <vt:i4>5</vt:i4>
      </vt:variant>
      <vt:variant>
        <vt:lpwstr>https://learn.cisecurity.org/cis-controls-download-v8</vt:lpwstr>
      </vt:variant>
      <vt:variant>
        <vt:lpwstr/>
      </vt:variant>
      <vt:variant>
        <vt:i4>2752639</vt:i4>
      </vt:variant>
      <vt:variant>
        <vt:i4>111</vt:i4>
      </vt:variant>
      <vt:variant>
        <vt:i4>0</vt:i4>
      </vt:variant>
      <vt:variant>
        <vt:i4>5</vt:i4>
      </vt:variant>
      <vt:variant>
        <vt:lpwstr>https://www.planalto.gov.br/ccivil_03/_ato2015-2018/2018/lei/l13709.htm</vt:lpwstr>
      </vt:variant>
      <vt:variant>
        <vt:lpwstr>art47</vt:lpwstr>
      </vt:variant>
      <vt:variant>
        <vt:i4>2752639</vt:i4>
      </vt:variant>
      <vt:variant>
        <vt:i4>108</vt:i4>
      </vt:variant>
      <vt:variant>
        <vt:i4>0</vt:i4>
      </vt:variant>
      <vt:variant>
        <vt:i4>5</vt:i4>
      </vt:variant>
      <vt:variant>
        <vt:lpwstr>https://www.planalto.gov.br/ccivil_03/_ato2015-2018/2018/lei/l13709.htm</vt:lpwstr>
      </vt:variant>
      <vt:variant>
        <vt:lpwstr>art46</vt:lpwstr>
      </vt:variant>
      <vt:variant>
        <vt:i4>7209071</vt:i4>
      </vt:variant>
      <vt:variant>
        <vt:i4>105</vt:i4>
      </vt:variant>
      <vt:variant>
        <vt:i4>0</vt:i4>
      </vt:variant>
      <vt:variant>
        <vt:i4>5</vt:i4>
      </vt:variant>
      <vt:variant>
        <vt:lpwstr>https://www.planalto.gov.br/ccivil_03/_ato2019-2022/2021/lei/l14133.htm</vt:lpwstr>
      </vt:variant>
      <vt:variant>
        <vt:lpwstr/>
      </vt:variant>
      <vt:variant>
        <vt:i4>3211381</vt:i4>
      </vt:variant>
      <vt:variant>
        <vt:i4>102</vt:i4>
      </vt:variant>
      <vt:variant>
        <vt:i4>0</vt:i4>
      </vt:variant>
      <vt:variant>
        <vt:i4>5</vt:i4>
      </vt:variant>
      <vt:variant>
        <vt:lpwstr>https://www.cnmp.mp.br/portal/images/CALJ/resolucoes/Resoluo-n-294d.pdf</vt:lpwstr>
      </vt:variant>
      <vt:variant>
        <vt:lpwstr/>
      </vt:variant>
      <vt:variant>
        <vt:i4>3604597</vt:i4>
      </vt:variant>
      <vt:variant>
        <vt:i4>99</vt:i4>
      </vt:variant>
      <vt:variant>
        <vt:i4>0</vt:i4>
      </vt:variant>
      <vt:variant>
        <vt:i4>5</vt:i4>
      </vt:variant>
      <vt:variant>
        <vt:lpwstr>https://www.tjrj.jus.br/documents/10136/0/resolucao-tjoe-28-2022-estrategia_si_pjerj.pdf/b7113e47-b697-a7f5-afd8-e41df0b52bbd?t=1666287585082</vt:lpwstr>
      </vt:variant>
      <vt:variant>
        <vt:lpwstr/>
      </vt:variant>
      <vt:variant>
        <vt:i4>5701662</vt:i4>
      </vt:variant>
      <vt:variant>
        <vt:i4>96</vt:i4>
      </vt:variant>
      <vt:variant>
        <vt:i4>0</vt:i4>
      </vt:variant>
      <vt:variant>
        <vt:i4>5</vt:i4>
      </vt:variant>
      <vt:variant>
        <vt:lpwstr>https://www.rj.gov.br/proderj/sites/default/files/Arquivos_IN/Anexo_Unico___Manual_de_Seguranca_da_Informacao___editado___gestao_atualizada %281%29.pdf</vt:lpwstr>
      </vt:variant>
      <vt:variant>
        <vt:lpwstr/>
      </vt:variant>
      <vt:variant>
        <vt:i4>1769557</vt:i4>
      </vt:variant>
      <vt:variant>
        <vt:i4>93</vt:i4>
      </vt:variant>
      <vt:variant>
        <vt:i4>0</vt:i4>
      </vt:variant>
      <vt:variant>
        <vt:i4>5</vt:i4>
      </vt:variant>
      <vt:variant>
        <vt:lpwstr>https://learn.cisecurity.org/cis-controls-download-v8</vt:lpwstr>
      </vt:variant>
      <vt:variant>
        <vt:lpwstr/>
      </vt:variant>
      <vt:variant>
        <vt:i4>2752639</vt:i4>
      </vt:variant>
      <vt:variant>
        <vt:i4>90</vt:i4>
      </vt:variant>
      <vt:variant>
        <vt:i4>0</vt:i4>
      </vt:variant>
      <vt:variant>
        <vt:i4>5</vt:i4>
      </vt:variant>
      <vt:variant>
        <vt:lpwstr>https://www.planalto.gov.br/ccivil_03/_ato2015-2018/2018/lei/l13709.htm</vt:lpwstr>
      </vt:variant>
      <vt:variant>
        <vt:lpwstr>art47</vt:lpwstr>
      </vt:variant>
      <vt:variant>
        <vt:i4>2752639</vt:i4>
      </vt:variant>
      <vt:variant>
        <vt:i4>87</vt:i4>
      </vt:variant>
      <vt:variant>
        <vt:i4>0</vt:i4>
      </vt:variant>
      <vt:variant>
        <vt:i4>5</vt:i4>
      </vt:variant>
      <vt:variant>
        <vt:lpwstr>https://www.planalto.gov.br/ccivil_03/_ato2015-2018/2018/lei/l13709.htm</vt:lpwstr>
      </vt:variant>
      <vt:variant>
        <vt:lpwstr>art46</vt:lpwstr>
      </vt:variant>
      <vt:variant>
        <vt:i4>7209071</vt:i4>
      </vt:variant>
      <vt:variant>
        <vt:i4>84</vt:i4>
      </vt:variant>
      <vt:variant>
        <vt:i4>0</vt:i4>
      </vt:variant>
      <vt:variant>
        <vt:i4>5</vt:i4>
      </vt:variant>
      <vt:variant>
        <vt:lpwstr>https://www.planalto.gov.br/ccivil_03/_ato2019-2022/2021/lei/l14133.htm</vt:lpwstr>
      </vt:variant>
      <vt:variant>
        <vt:lpwstr/>
      </vt:variant>
      <vt:variant>
        <vt:i4>3211381</vt:i4>
      </vt:variant>
      <vt:variant>
        <vt:i4>81</vt:i4>
      </vt:variant>
      <vt:variant>
        <vt:i4>0</vt:i4>
      </vt:variant>
      <vt:variant>
        <vt:i4>5</vt:i4>
      </vt:variant>
      <vt:variant>
        <vt:lpwstr>https://www.cnmp.mp.br/portal/images/CALJ/resolucoes/Resoluo-n-294d.pdf</vt:lpwstr>
      </vt:variant>
      <vt:variant>
        <vt:lpwstr/>
      </vt:variant>
      <vt:variant>
        <vt:i4>3604597</vt:i4>
      </vt:variant>
      <vt:variant>
        <vt:i4>78</vt:i4>
      </vt:variant>
      <vt:variant>
        <vt:i4>0</vt:i4>
      </vt:variant>
      <vt:variant>
        <vt:i4>5</vt:i4>
      </vt:variant>
      <vt:variant>
        <vt:lpwstr>https://www.tjrj.jus.br/documents/10136/0/resolucao-tjoe-28-2022-estrategia_si_pjerj.pdf/b7113e47-b697-a7f5-afd8-e41df0b52bbd?t=1666287585082</vt:lpwstr>
      </vt:variant>
      <vt:variant>
        <vt:lpwstr/>
      </vt:variant>
      <vt:variant>
        <vt:i4>5701662</vt:i4>
      </vt:variant>
      <vt:variant>
        <vt:i4>75</vt:i4>
      </vt:variant>
      <vt:variant>
        <vt:i4>0</vt:i4>
      </vt:variant>
      <vt:variant>
        <vt:i4>5</vt:i4>
      </vt:variant>
      <vt:variant>
        <vt:lpwstr>https://www.rj.gov.br/proderj/sites/default/files/Arquivos_IN/Anexo_Unico___Manual_de_Seguranca_da_Informacao___editado___gestao_atualizada %281%29.pdf</vt:lpwstr>
      </vt:variant>
      <vt:variant>
        <vt:lpwstr/>
      </vt:variant>
      <vt:variant>
        <vt:i4>1769557</vt:i4>
      </vt:variant>
      <vt:variant>
        <vt:i4>72</vt:i4>
      </vt:variant>
      <vt:variant>
        <vt:i4>0</vt:i4>
      </vt:variant>
      <vt:variant>
        <vt:i4>5</vt:i4>
      </vt:variant>
      <vt:variant>
        <vt:lpwstr>https://learn.cisecurity.org/cis-controls-download-v8</vt:lpwstr>
      </vt:variant>
      <vt:variant>
        <vt:lpwstr/>
      </vt:variant>
      <vt:variant>
        <vt:i4>2752639</vt:i4>
      </vt:variant>
      <vt:variant>
        <vt:i4>69</vt:i4>
      </vt:variant>
      <vt:variant>
        <vt:i4>0</vt:i4>
      </vt:variant>
      <vt:variant>
        <vt:i4>5</vt:i4>
      </vt:variant>
      <vt:variant>
        <vt:lpwstr>https://www.planalto.gov.br/ccivil_03/_ato2015-2018/2018/lei/l13709.htm</vt:lpwstr>
      </vt:variant>
      <vt:variant>
        <vt:lpwstr>art47</vt:lpwstr>
      </vt:variant>
      <vt:variant>
        <vt:i4>2752639</vt:i4>
      </vt:variant>
      <vt:variant>
        <vt:i4>66</vt:i4>
      </vt:variant>
      <vt:variant>
        <vt:i4>0</vt:i4>
      </vt:variant>
      <vt:variant>
        <vt:i4>5</vt:i4>
      </vt:variant>
      <vt:variant>
        <vt:lpwstr>https://www.planalto.gov.br/ccivil_03/_ato2015-2018/2018/lei/l13709.htm</vt:lpwstr>
      </vt:variant>
      <vt:variant>
        <vt:lpwstr>art46</vt:lpwstr>
      </vt:variant>
      <vt:variant>
        <vt:i4>7209071</vt:i4>
      </vt:variant>
      <vt:variant>
        <vt:i4>63</vt:i4>
      </vt:variant>
      <vt:variant>
        <vt:i4>0</vt:i4>
      </vt:variant>
      <vt:variant>
        <vt:i4>5</vt:i4>
      </vt:variant>
      <vt:variant>
        <vt:lpwstr>https://www.planalto.gov.br/ccivil_03/_ato2019-2022/2021/lei/l14133.htm</vt:lpwstr>
      </vt:variant>
      <vt:variant>
        <vt:lpwstr/>
      </vt:variant>
      <vt:variant>
        <vt:i4>3211381</vt:i4>
      </vt:variant>
      <vt:variant>
        <vt:i4>60</vt:i4>
      </vt:variant>
      <vt:variant>
        <vt:i4>0</vt:i4>
      </vt:variant>
      <vt:variant>
        <vt:i4>5</vt:i4>
      </vt:variant>
      <vt:variant>
        <vt:lpwstr>https://www.cnmp.mp.br/portal/images/CALJ/resolucoes/Resoluo-n-294d.pdf</vt:lpwstr>
      </vt:variant>
      <vt:variant>
        <vt:lpwstr/>
      </vt:variant>
      <vt:variant>
        <vt:i4>3604597</vt:i4>
      </vt:variant>
      <vt:variant>
        <vt:i4>57</vt:i4>
      </vt:variant>
      <vt:variant>
        <vt:i4>0</vt:i4>
      </vt:variant>
      <vt:variant>
        <vt:i4>5</vt:i4>
      </vt:variant>
      <vt:variant>
        <vt:lpwstr>https://www.tjrj.jus.br/documents/10136/0/resolucao-tjoe-28-2022-estrategia_si_pjerj.pdf/b7113e47-b697-a7f5-afd8-e41df0b52bbd?t=1666287585082</vt:lpwstr>
      </vt:variant>
      <vt:variant>
        <vt:lpwstr/>
      </vt:variant>
      <vt:variant>
        <vt:i4>5701662</vt:i4>
      </vt:variant>
      <vt:variant>
        <vt:i4>54</vt:i4>
      </vt:variant>
      <vt:variant>
        <vt:i4>0</vt:i4>
      </vt:variant>
      <vt:variant>
        <vt:i4>5</vt:i4>
      </vt:variant>
      <vt:variant>
        <vt:lpwstr>https://www.rj.gov.br/proderj/sites/default/files/Arquivos_IN/Anexo_Unico___Manual_de_Seguranca_da_Informacao___editado___gestao_atualizada %281%29.pdf</vt:lpwstr>
      </vt:variant>
      <vt:variant>
        <vt:lpwstr/>
      </vt:variant>
      <vt:variant>
        <vt:i4>1769557</vt:i4>
      </vt:variant>
      <vt:variant>
        <vt:i4>51</vt:i4>
      </vt:variant>
      <vt:variant>
        <vt:i4>0</vt:i4>
      </vt:variant>
      <vt:variant>
        <vt:i4>5</vt:i4>
      </vt:variant>
      <vt:variant>
        <vt:lpwstr>https://learn.cisecurity.org/cis-controls-download-v8</vt:lpwstr>
      </vt:variant>
      <vt:variant>
        <vt:lpwstr/>
      </vt:variant>
      <vt:variant>
        <vt:i4>2752639</vt:i4>
      </vt:variant>
      <vt:variant>
        <vt:i4>48</vt:i4>
      </vt:variant>
      <vt:variant>
        <vt:i4>0</vt:i4>
      </vt:variant>
      <vt:variant>
        <vt:i4>5</vt:i4>
      </vt:variant>
      <vt:variant>
        <vt:lpwstr>https://www.planalto.gov.br/ccivil_03/_ato2015-2018/2018/lei/l13709.htm</vt:lpwstr>
      </vt:variant>
      <vt:variant>
        <vt:lpwstr>art47</vt:lpwstr>
      </vt:variant>
      <vt:variant>
        <vt:i4>2752639</vt:i4>
      </vt:variant>
      <vt:variant>
        <vt:i4>45</vt:i4>
      </vt:variant>
      <vt:variant>
        <vt:i4>0</vt:i4>
      </vt:variant>
      <vt:variant>
        <vt:i4>5</vt:i4>
      </vt:variant>
      <vt:variant>
        <vt:lpwstr>https://www.planalto.gov.br/ccivil_03/_ato2015-2018/2018/lei/l13709.htm</vt:lpwstr>
      </vt:variant>
      <vt:variant>
        <vt:lpwstr>art46</vt:lpwstr>
      </vt:variant>
      <vt:variant>
        <vt:i4>7209071</vt:i4>
      </vt:variant>
      <vt:variant>
        <vt:i4>42</vt:i4>
      </vt:variant>
      <vt:variant>
        <vt:i4>0</vt:i4>
      </vt:variant>
      <vt:variant>
        <vt:i4>5</vt:i4>
      </vt:variant>
      <vt:variant>
        <vt:lpwstr>https://www.planalto.gov.br/ccivil_03/_ato2019-2022/2021/lei/l14133.htm</vt:lpwstr>
      </vt:variant>
      <vt:variant>
        <vt:lpwstr/>
      </vt:variant>
      <vt:variant>
        <vt:i4>3211381</vt:i4>
      </vt:variant>
      <vt:variant>
        <vt:i4>39</vt:i4>
      </vt:variant>
      <vt:variant>
        <vt:i4>0</vt:i4>
      </vt:variant>
      <vt:variant>
        <vt:i4>5</vt:i4>
      </vt:variant>
      <vt:variant>
        <vt:lpwstr>https://www.cnmp.mp.br/portal/images/CALJ/resolucoes/Resoluo-n-294d.pdf</vt:lpwstr>
      </vt:variant>
      <vt:variant>
        <vt:lpwstr/>
      </vt:variant>
      <vt:variant>
        <vt:i4>3604597</vt:i4>
      </vt:variant>
      <vt:variant>
        <vt:i4>36</vt:i4>
      </vt:variant>
      <vt:variant>
        <vt:i4>0</vt:i4>
      </vt:variant>
      <vt:variant>
        <vt:i4>5</vt:i4>
      </vt:variant>
      <vt:variant>
        <vt:lpwstr>https://www.tjrj.jus.br/documents/10136/0/resolucao-tjoe-28-2022-estrategia_si_pjerj.pdf/b7113e47-b697-a7f5-afd8-e41df0b52bbd?t=1666287585082</vt:lpwstr>
      </vt:variant>
      <vt:variant>
        <vt:lpwstr/>
      </vt:variant>
      <vt:variant>
        <vt:i4>5701662</vt:i4>
      </vt:variant>
      <vt:variant>
        <vt:i4>33</vt:i4>
      </vt:variant>
      <vt:variant>
        <vt:i4>0</vt:i4>
      </vt:variant>
      <vt:variant>
        <vt:i4>5</vt:i4>
      </vt:variant>
      <vt:variant>
        <vt:lpwstr>https://www.rj.gov.br/proderj/sites/default/files/Arquivos_IN/Anexo_Unico___Manual_de_Seguranca_da_Informacao___editado___gestao_atualizada %281%29.pdf</vt:lpwstr>
      </vt:variant>
      <vt:variant>
        <vt:lpwstr/>
      </vt:variant>
      <vt:variant>
        <vt:i4>1769557</vt:i4>
      </vt:variant>
      <vt:variant>
        <vt:i4>30</vt:i4>
      </vt:variant>
      <vt:variant>
        <vt:i4>0</vt:i4>
      </vt:variant>
      <vt:variant>
        <vt:i4>5</vt:i4>
      </vt:variant>
      <vt:variant>
        <vt:lpwstr>https://learn.cisecurity.org/cis-controls-download-v8</vt:lpwstr>
      </vt:variant>
      <vt:variant>
        <vt:lpwstr/>
      </vt:variant>
      <vt:variant>
        <vt:i4>2752639</vt:i4>
      </vt:variant>
      <vt:variant>
        <vt:i4>27</vt:i4>
      </vt:variant>
      <vt:variant>
        <vt:i4>0</vt:i4>
      </vt:variant>
      <vt:variant>
        <vt:i4>5</vt:i4>
      </vt:variant>
      <vt:variant>
        <vt:lpwstr>https://www.planalto.gov.br/ccivil_03/_ato2015-2018/2018/lei/l13709.htm</vt:lpwstr>
      </vt:variant>
      <vt:variant>
        <vt:lpwstr>art47</vt:lpwstr>
      </vt:variant>
      <vt:variant>
        <vt:i4>2752639</vt:i4>
      </vt:variant>
      <vt:variant>
        <vt:i4>24</vt:i4>
      </vt:variant>
      <vt:variant>
        <vt:i4>0</vt:i4>
      </vt:variant>
      <vt:variant>
        <vt:i4>5</vt:i4>
      </vt:variant>
      <vt:variant>
        <vt:lpwstr>https://www.planalto.gov.br/ccivil_03/_ato2015-2018/2018/lei/l13709.htm</vt:lpwstr>
      </vt:variant>
      <vt:variant>
        <vt:lpwstr>art46</vt:lpwstr>
      </vt:variant>
      <vt:variant>
        <vt:i4>7209071</vt:i4>
      </vt:variant>
      <vt:variant>
        <vt:i4>21</vt:i4>
      </vt:variant>
      <vt:variant>
        <vt:i4>0</vt:i4>
      </vt:variant>
      <vt:variant>
        <vt:i4>5</vt:i4>
      </vt:variant>
      <vt:variant>
        <vt:lpwstr>https://www.planalto.gov.br/ccivil_03/_ato2019-2022/2021/lei/l14133.htm</vt:lpwstr>
      </vt:variant>
      <vt:variant>
        <vt:lpwstr/>
      </vt:variant>
      <vt:variant>
        <vt:i4>3211381</vt:i4>
      </vt:variant>
      <vt:variant>
        <vt:i4>18</vt:i4>
      </vt:variant>
      <vt:variant>
        <vt:i4>0</vt:i4>
      </vt:variant>
      <vt:variant>
        <vt:i4>5</vt:i4>
      </vt:variant>
      <vt:variant>
        <vt:lpwstr>https://www.cnmp.mp.br/portal/images/CALJ/resolucoes/Resoluo-n-294d.pdf</vt:lpwstr>
      </vt:variant>
      <vt:variant>
        <vt:lpwstr/>
      </vt:variant>
      <vt:variant>
        <vt:i4>3604597</vt:i4>
      </vt:variant>
      <vt:variant>
        <vt:i4>15</vt:i4>
      </vt:variant>
      <vt:variant>
        <vt:i4>0</vt:i4>
      </vt:variant>
      <vt:variant>
        <vt:i4>5</vt:i4>
      </vt:variant>
      <vt:variant>
        <vt:lpwstr>https://www.tjrj.jus.br/documents/10136/0/resolucao-tjoe-28-2022-estrategia_si_pjerj.pdf/b7113e47-b697-a7f5-afd8-e41df0b52bbd?t=1666287585082</vt:lpwstr>
      </vt:variant>
      <vt:variant>
        <vt:lpwstr/>
      </vt:variant>
      <vt:variant>
        <vt:i4>5701662</vt:i4>
      </vt:variant>
      <vt:variant>
        <vt:i4>12</vt:i4>
      </vt:variant>
      <vt:variant>
        <vt:i4>0</vt:i4>
      </vt:variant>
      <vt:variant>
        <vt:i4>5</vt:i4>
      </vt:variant>
      <vt:variant>
        <vt:lpwstr>https://www.rj.gov.br/proderj/sites/default/files/Arquivos_IN/Anexo_Unico___Manual_de_Seguranca_da_Informacao___editado___gestao_atualizada %281%29.pdf</vt:lpwstr>
      </vt:variant>
      <vt:variant>
        <vt:lpwstr/>
      </vt:variant>
      <vt:variant>
        <vt:i4>1769557</vt:i4>
      </vt:variant>
      <vt:variant>
        <vt:i4>9</vt:i4>
      </vt:variant>
      <vt:variant>
        <vt:i4>0</vt:i4>
      </vt:variant>
      <vt:variant>
        <vt:i4>5</vt:i4>
      </vt:variant>
      <vt:variant>
        <vt:lpwstr>https://learn.cisecurity.org/cis-controls-download-v8</vt:lpwstr>
      </vt:variant>
      <vt:variant>
        <vt:lpwstr/>
      </vt:variant>
      <vt:variant>
        <vt:i4>2752639</vt:i4>
      </vt:variant>
      <vt:variant>
        <vt:i4>6</vt:i4>
      </vt:variant>
      <vt:variant>
        <vt:i4>0</vt:i4>
      </vt:variant>
      <vt:variant>
        <vt:i4>5</vt:i4>
      </vt:variant>
      <vt:variant>
        <vt:lpwstr>https://www.planalto.gov.br/ccivil_03/_ato2015-2018/2018/lei/l13709.htm</vt:lpwstr>
      </vt:variant>
      <vt:variant>
        <vt:lpwstr>art47</vt:lpwstr>
      </vt:variant>
      <vt:variant>
        <vt:i4>2752639</vt:i4>
      </vt:variant>
      <vt:variant>
        <vt:i4>3</vt:i4>
      </vt:variant>
      <vt:variant>
        <vt:i4>0</vt:i4>
      </vt:variant>
      <vt:variant>
        <vt:i4>5</vt:i4>
      </vt:variant>
      <vt:variant>
        <vt:lpwstr>https://www.planalto.gov.br/ccivil_03/_ato2015-2018/2018/lei/l13709.htm</vt:lpwstr>
      </vt:variant>
      <vt:variant>
        <vt:lpwstr>art46</vt:lpwstr>
      </vt:variant>
      <vt:variant>
        <vt:i4>7209071</vt:i4>
      </vt:variant>
      <vt:variant>
        <vt:i4>0</vt:i4>
      </vt:variant>
      <vt:variant>
        <vt:i4>0</vt:i4>
      </vt:variant>
      <vt:variant>
        <vt:i4>5</vt:i4>
      </vt:variant>
      <vt:variant>
        <vt:lpwstr>https://www.planalto.gov.br/ccivil_03/_ato2019-2022/2021/lei/l14133.htm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Souza Lima</dc:creator>
  <cp:keywords/>
  <dc:description/>
  <cp:lastModifiedBy>Augusto Cesar Benvenuto de Almeida</cp:lastModifiedBy>
  <cp:revision>3218</cp:revision>
  <cp:lastPrinted>2025-10-21T03:58:00Z</cp:lastPrinted>
  <dcterms:created xsi:type="dcterms:W3CDTF">2023-08-10T07:29:00Z</dcterms:created>
  <dcterms:modified xsi:type="dcterms:W3CDTF">2026-06-10T19:24:00Z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0x0101003FDBC2031823944CAE7A47B474980AF9</vt:lpwstr>
  </property>
  <property fmtid="{D5CDD505-2E9C-101B-9397-08002B2CF9AE}" pid="3" name="Order">
    <vt:r8>61100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docLang">
    <vt:lpwstr>pt</vt:lpwstr>
  </property>
</Properties>
</file>