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media/image2.svg" ContentType="image/svg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0260BA" w14:textId="77777777" w:rsidR="002D2D31" w:rsidRDefault="002D2D31" w:rsidP="001E6730">
      <w:pPr>
        <w:jc w:val="center"/>
        <w:rPr>
          <w:rFonts w:ascii="Arial" w:hAnsi="Arial" w:cs="Arial"/>
          <w:b/>
        </w:rPr>
      </w:pPr>
    </w:p>
    <w:p w14:paraId="0B45767F" w14:textId="77777777" w:rsidR="00AE7776" w:rsidRDefault="002D2D31" w:rsidP="001E6730">
      <w:pPr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MATRIZ DE ACHADOS</w:t>
      </w:r>
    </w:p>
    <w:p w14:paraId="02DF9F16" w14:textId="77777777" w:rsidR="00644DA6" w:rsidRDefault="00644DA6" w:rsidP="001E6730">
      <w:pPr>
        <w:jc w:val="center"/>
        <w:rPr>
          <w:rFonts w:ascii="Arial" w:hAnsi="Arial" w:cs="Arial"/>
          <w:b/>
        </w:rPr>
      </w:pP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4A3674" w:rsidRPr="00636B72" w14:paraId="52D039D8" w14:textId="77777777" w:rsidTr="004A3674">
        <w:trPr>
          <w:trHeight w:val="300"/>
          <w:tblHeader/>
        </w:trPr>
        <w:tc>
          <w:tcPr>
            <w:tcW w:w="473" w:type="pct"/>
          </w:tcPr>
          <w:p w14:paraId="57E6C444" w14:textId="77777777" w:rsidR="004A3674" w:rsidRPr="00636B72" w:rsidRDefault="004A367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ACHADO</w:t>
            </w:r>
          </w:p>
        </w:tc>
        <w:tc>
          <w:tcPr>
            <w:tcW w:w="752" w:type="pct"/>
            <w:vAlign w:val="center"/>
          </w:tcPr>
          <w:p w14:paraId="4B04442A" w14:textId="77777777" w:rsidR="004A3674" w:rsidRPr="00636B72" w:rsidRDefault="004A367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7DB7D978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111EC51C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647C8807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187B71FA" w14:textId="77777777" w:rsidR="004A3674" w:rsidRPr="00636B72" w:rsidRDefault="004A367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C6354A" w:rsidRPr="00636B72" w14:paraId="09E5ABA2" w14:textId="77777777" w:rsidTr="004A367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01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Estrutura de TIC insuficientemente formalizada, definida ou posicionada para gerir a tecnologia da informação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pelas seguintes situações efetivamente identificadas: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S1.1 - Ausência de área, unidade, setor ou função de TIC formalmente instituída (5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S1.2 - Área de TIC sem atribuições formalmente definidas ou sem atribuições formais de gestão de TIC (55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S1.3 - Posicionamento organizacional inadequado da área de TIC (18 ocorrências)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APO01.04</w:t>
            </w:r>
            <w:r>
              <w:rPr>
                <w:rFonts w:ascii="Arial" w:hAnsi="Arial" w:cs="Arial"/>
                <w:sz w:val="18"/>
                <w:szCs w:val="18"/>
              </w:rPr>
              <w:t xml:space="preserve"> - Definir e implementar as estruturas organizacionais: estabelecer estruturas organizacionais internas e externas necessárias para apoiar os objetivos de governança e gestão de TI.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COBIT 2019, APO01.05</w:t>
            </w:r>
            <w:r>
              <w:rPr>
                <w:rFonts w:ascii="Arial" w:hAnsi="Arial" w:cs="Arial"/>
                <w:sz w:val="18"/>
                <w:szCs w:val="18"/>
              </w:rPr>
              <w:t xml:space="preserve"> - Estabelecer papéis e responsabilidades: definir, comunicar e manter papéis e responsabilidades relacionados à governança e gestão de TI.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COBIT 2019, APO01.06</w:t>
            </w:r>
            <w:r>
              <w:rPr>
                <w:rFonts w:ascii="Arial" w:hAnsi="Arial" w:cs="Arial"/>
                <w:sz w:val="18"/>
                <w:szCs w:val="18"/>
              </w:rPr>
              <w:t xml:space="preserve"> - Aprimorar o posicionamento da função de TI: posicionar a função de tecnologia de modo compatível com sua relevância estratégica, responsabilidades e necessidade de interação com a alta administração.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Portaria SGD/ME nº 778/2019, art. 4º, § 1º</w:t>
            </w:r>
            <w:r>
              <w:rPr>
                <w:rFonts w:ascii="Arial" w:hAnsi="Arial" w:cs="Arial"/>
                <w:sz w:val="18"/>
                <w:szCs w:val="18"/>
              </w:rPr>
              <w:t xml:space="preserve"> - Referência de posicionamento organizacional: para a obtenção de melhores resultados, a área de TIC de cada órgão ou entidade deve, preferencialmente, estar vinculada à alta administração, com o intuito de apoiá-la na tomada de decisões e no alcance dos objetivos estratégicos.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Constituição Federal, art. 37, caput</w:t>
            </w:r>
            <w:r>
              <w:rPr>
                <w:rFonts w:ascii="Arial" w:hAnsi="Arial" w:cs="Arial"/>
                <w:sz w:val="18"/>
                <w:szCs w:val="18"/>
              </w:rPr>
              <w:t xml:space="preserve"> - Princípio da eficiência.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Decreto Estadual nº 48.997/2024, art. 4º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 nível setorial do SETIC deve ser representado por assessoria de informática ou setor equivalente em cada órgão ou entidade da Administração Direta e Indireta do Poder Executivo Estadual e exercer as competências de TIC previstas no dispositivo.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S1.1 - Ausência de área, unidade, setor ou função de TIC formalmente instituída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5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alternativa f) em q0101.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S1.2 - Área de TIC sem atribuições formalmente definidas ou sem atribuições formais de gestão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55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distinta da alternativa f) em q0101.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"Sim" em q0103[G].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q0103[D].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q0103[D].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S1.3 - Posicionamento organizacional inadequado da área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18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uma das alternativas a), b), e) em q0101.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uma das alternativas c), d), e) em q0102.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Fragilidade na responsabilização: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unidade ou função institucionalmente reconhecida para coordenar o uso da tecnologia da informação e responder por seus resultados.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Atuação reativa e fragmentada:</w:t>
            </w:r>
            <w:r>
              <w:rPr>
                <w:rFonts w:ascii="Arial" w:hAnsi="Arial" w:cs="Arial"/>
                <w:sz w:val="18"/>
                <w:szCs w:val="18"/>
              </w:rPr>
              <w:t xml:space="preserve"> Falta de clareza sobre as responsabilidades de planejamento, coordenação, gestão, execução, monitoramento e controle da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Baixa influência institucional:</w:t>
            </w:r>
            <w:r>
              <w:rPr>
                <w:rFonts w:ascii="Arial" w:hAnsi="Arial" w:cs="Arial"/>
                <w:sz w:val="18"/>
                <w:szCs w:val="18"/>
              </w:rPr>
              <w:t xml:space="preserve"> Participação insuficiente da TIC em decisões estratégicas, orçamentárias, contratuais e de gestão de riscos.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área, unidade, setor ou função de TIC formalmente instituída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2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APO01.04 (Definir e implementar as estruturas organizacionais) do COBIT 2019 e ao princípio da eficiência previsto no art. 37, caput, da Constituição Federal, formalize a área, unidade, setor ou função de TIC em instrumento compatível com a organização, definindo vinculação e responsabilidades essenciais de modo compatível com o porte, a complexidade e a dependência tecnológica da organização [S1.1, C1, C5].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3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APO01.04 (Definir e implementar as estruturas organizacionais) do COBIT 2019 e em observância ao art. 4º do Decreto Estadual nº 48.997/2024, formalize a área, unidade, setor ou função de TIC em instrumento compatível com a organização, definindo vinculação e responsabilidades essenciais de modo compatível com o porte, a complexidade e a dependência tecnológica da organização [S1.1, C1, C6].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Área de TIC sem atribuições formalmente definidas ou sem atribuições formais de gestão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17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APO01.05 (Estabelecer papéis e responsabilidades) do COBIT 2019 e ao princípio da eficiência previsto no art. 37, caput, da Constituição Federal, defina formalmente as atribuições da área de TIC, atentando-se, minimamente, em abranger as atividades de planejamento, coordenação, gestão e controle da TIC [S1.2, C2, C5].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38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APO01.05 (Estabelecer papéis e responsabilidades) do COBIT 2019 e em observância ao art. 4º do Decreto Estadual nº 48.997/2024, defina formalmente as atribuições da área de TIC, atentando-se, minimamente, em abranger as atividades de planejamento, coordenação, gestão e controle da TIC [S1.2, C2, C6].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Posicionamento organizacional inadequado da área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18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APO01.06 (Aprimorar o posicionamento da função de TI) do COBIT 2019 e à referência de posicionamento prevista no art. 4º, § 1º, da Portaria SGD/ME nº 778/2019, avalie o posicionamento organizacional da área de TIC e adote, quando necessário, medidas para assegurar interlocução adequada com a alta administração e participação nas decisões estratégicas, orçamentárias, contratuais e de gestão de riscos relacionadas à tecnologia da informação [S1.3, C3, C4].</w:t>
            </w:r>
          </w:p>
        </w:tc>
      </w:tr>
    </w:tbl>
    <w:p w14:paraId="4AF609E4" w14:textId="77777777" w:rsidR="008F694B" w:rsidRDefault="008F694B" w:rsidP="001E6730">
      <w:pPr>
        <w:jc w:val="center"/>
        <w:rPr>
          <w:rFonts w:ascii="Arial" w:hAnsi="Arial" w:cs="Arial"/>
          <w:b/>
        </w:rPr>
      </w:pPr>
    </w:p>
    <w:p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8F694B" w:rsidRPr="00636B72" w14:paraId="17A2A7E7" w14:textId="77777777">
        <w:trPr>
          <w:trHeight w:val="300"/>
          <w:tblHeader/>
        </w:trPr>
        <w:tc>
          <w:tcPr>
            <w:tcW w:w="473" w:type="pct"/>
          </w:tcPr>
          <w:p w14:paraId="2EC43E5A" w14:textId="77777777" w:rsidR="008F694B" w:rsidRPr="00636B72" w:rsidRDefault="008F694B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3998D079" w14:textId="77777777" w:rsidR="008F694B" w:rsidRPr="00636B72" w:rsidRDefault="008F694B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36827A44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4699410B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006121A2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29540724" w14:textId="77777777" w:rsidR="008F694B" w:rsidRPr="00636B72" w:rsidRDefault="008F694B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BC3062" w:rsidRPr="00636B72" w14:paraId="36017507" w14:textId="77777777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02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Governança de TIC insuficiente para avaliar, dirigir e monitorar a tecnologia da informação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pelas seguintes situações efetivamente identificadas: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S2.1 - Ausência de objetivos, indicadores ou metas para a gestão de TIC (94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S2.2 - Comitê de TIC ou instância equivalente não instituído formalmente ou sem representação de áreas relevantes da organização (75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S2.3 - Comitê de TIC ou instância equivalente sem atuação efetiva comprovada (27 ocorrências)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EDM01.02</w:t>
            </w:r>
            <w:r>
              <w:rPr>
                <w:rFonts w:ascii="Arial" w:hAnsi="Arial" w:cs="Arial"/>
                <w:sz w:val="18"/>
                <w:szCs w:val="18"/>
              </w:rPr>
              <w:t xml:space="preserve"> - Dirigir o sistema de governança: orientar estruturas, princípios, processos e práticas de governança para assegurar que a TI apoie os objetivos organizacionais.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COBIT 2019, MEA01.04</w:t>
            </w:r>
            <w:r>
              <w:rPr>
                <w:rFonts w:ascii="Arial" w:hAnsi="Arial" w:cs="Arial"/>
                <w:sz w:val="18"/>
                <w:szCs w:val="18"/>
              </w:rPr>
              <w:t xml:space="preserve"> - Avaliar o desempenho: monitorar e avaliar periodicamente o desempenho e a conformidade da TI em relação a objetivos, indicadores, metas e expectativas das partes interessadas.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Decreto nº 12.198/2024, art. 6º, § 2º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referência de governança digital quanto à atribuição, a Comitê de Governança Digital ou colegiado equivalente, de deliberar sobre ações de governo digital e uso de recursos de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Acórdão TCE-RJ nº 44.490/2024-PLEN, item II.1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pela instituição e atuação efetiva de instância colegiada de governança de TIC, com responsabilidade pelo alinhamento das ações de TIC aos objetivos institucionais, pela priorização dos investimentos e pelo monitoramento do desempenho da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Portaria PRODERJ/PRE nº 825/2021, Anexo C, art. 5º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cada órgão ou entidade do Poder Executivo Estadual deve instituir Comitê Permanente do PEDTIC com a composição multidisciplinar definida no dispositivo.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S2.1 - Ausência de objetivos, indicadores ou metas para a gestão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94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q1001ext[H].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q1001ext[H].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S2.2 - Comitê de TIC ou instância equivalente não instituído formalmente ou sem representação de áreas relevantes da organização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75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q1001ext[E].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q1001ext[E].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S2.3 - Comitê de TIC ou instância equivalente sem atuação efetiva comprovada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27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"Sim" em q1001ext[E].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q1001ext[E] e q1001ext[F].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q1001ext[F].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Direcionamento insuficiente da TIC:</w:t>
            </w:r>
            <w:r>
              <w:rPr>
                <w:rFonts w:ascii="Arial" w:hAnsi="Arial" w:cs="Arial"/>
                <w:sz w:val="18"/>
                <w:szCs w:val="18"/>
              </w:rPr>
              <w:t xml:space="preserve"> Baixa clareza sobre objetivos, indicadores, metas e acompanhamento do desempenho da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Priorização deficiente: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instância colegiada para deliberar sobre prioridades, projetos, riscos, serviços, orçamento e contratações de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Governança meramente formal:</w:t>
            </w:r>
            <w:r>
              <w:rPr>
                <w:rFonts w:ascii="Arial" w:hAnsi="Arial" w:cs="Arial"/>
                <w:sz w:val="18"/>
                <w:szCs w:val="18"/>
              </w:rPr>
              <w:t xml:space="preserve"> Inexistência de reuniões, deliberações e acompanhamento efetivo das decisões relacionadas à TIC.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objetivos, indicadores ou metas para a gestão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94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MEA01.04 (Avaliar o desempenho) do COBIT 2019, estabeleça objetivos, indicadores e metas para a gestão de TIC, de modo a possibilitar o acompanhamento periódico do desempenho da TIC pela alta administração [S2.1, C2].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Comitê de TIC ou instância equivalente não instituído formalmente ou sem representação de áreas relevantes da organização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26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II.1 do Acórdão TCE-RJ nº 44.490/2024-PLEN e com a referência do art. 6º, § 2º, do Decreto nº 12.198/2024,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 [S2.2, C1, C3, C4].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49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II.1 do Acórdão TCE-RJ nº 44.490/2024-PLEN e em observância ao art. 5º do Anexo C da Portaria PRODERJ/PRE nº 825/2021, institua formalmente Comitê de TIC ou instância colegiada equivalente, compatível com o porte e a estrutura decisória da organização, definindo em seu ato constitutivo, minimamente, a participação de representantes de áreas relevantes da organização, suas competências, a periodicidade de reuniões, a forma de registro das deliberações e os mecanismos de acompanhamento dos encaminhamentos [S2.2, C1, C4, C5].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Comitê de TIC ou instância equivalente sem atuação efetiva comprovada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27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II.1 do Acórdão TCE-RJ nº 44.490/2024-PLEN e com a referência do art. 6º, § 2º, do Decreto nº 12.198/2024, assegure o funcionamento efetivo do Comitê de TIC ou instância colegiada equivalente, mediante o exercício das competências previstas em seu ato constitutivo, com registro das deliberações e acompanhamento dos respectivos encaminhamentos [S2.3, C1, C3, C4].</w:t>
            </w:r>
          </w:p>
        </w:tc>
      </w:tr>
    </w:tbl>
    <w:p w14:paraId="70F34C55" w14:textId="77777777" w:rsidR="00467394" w:rsidRDefault="00467394" w:rsidP="001E6730">
      <w:pPr>
        <w:jc w:val="center"/>
        <w:rPr>
          <w:rFonts w:ascii="Arial" w:hAnsi="Arial" w:cs="Arial"/>
          <w:b/>
        </w:rPr>
      </w:pPr>
    </w:p>
    <w:p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467394" w:rsidRPr="00636B72" w14:paraId="45802C32" w14:textId="77777777" w:rsidTr="003A6734">
        <w:trPr>
          <w:trHeight w:val="300"/>
          <w:tblHeader/>
        </w:trPr>
        <w:tc>
          <w:tcPr>
            <w:tcW w:w="473" w:type="pct"/>
          </w:tcPr>
          <w:p w14:paraId="4316C05D" w14:textId="77777777" w:rsidR="00467394" w:rsidRPr="00636B72" w:rsidRDefault="00467394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5ADE972F" w14:textId="77777777" w:rsidR="00467394" w:rsidRPr="00636B72" w:rsidRDefault="00467394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285AD964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405299B6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3BDFA06D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0D1A501D" w14:textId="77777777" w:rsidR="00467394" w:rsidRPr="00636B72" w:rsidRDefault="00467394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467394" w:rsidRPr="00636B72" w14:paraId="3904C80D" w14:textId="77777777" w:rsidTr="003A673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03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Planejamento de TIC insuficiente para orientar a gestão, o orçamento e as contratações de TIC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pelas seguintes situações efetivamente identificadas: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S3.1 - Inexistência ou insuficiência do processo de planejamento de TIC para produzir e manter plano de TIC adequado (88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S3.2 - Ausência de aprovação formal do plano de TIC (25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S3.4 - Plano de TIC sem alinhamento adequado ao planejamento institucional (17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S3.5 - Plano de TIC não utilizado como referência para a elaboração da proposta orçamentária e do plano de contratações (20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S3.6 - Ausência de acompanhamento da execução do plano de TIC (31 ocorrências)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APO02.05</w:t>
            </w:r>
            <w:r>
              <w:rPr>
                <w:rFonts w:ascii="Arial" w:hAnsi="Arial" w:cs="Arial"/>
                <w:sz w:val="18"/>
                <w:szCs w:val="18"/>
              </w:rPr>
              <w:t xml:space="preserve"> - Definir o plano e o roteiro estratégico: estabelecer plano e roteiro de TIC que traduzam a estratégia em iniciativas, prioridades, recursos, dependências, prazos e benefícios esperados.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COBIT 2019, APO06.03</w:t>
            </w:r>
            <w:r>
              <w:rPr>
                <w:rFonts w:ascii="Arial" w:hAnsi="Arial" w:cs="Arial"/>
                <w:sz w:val="18"/>
                <w:szCs w:val="18"/>
              </w:rPr>
              <w:t xml:space="preserve"> - Criar e manter orçamentos: elaborar e manter orçamento de TIC alinhado ao portfólio, ao planejamento e às prioridades aprovadas.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Acórdão nº 1.411/2014-TCU-Plenário, item 9.1.6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à instituição formal de plano diretor de TI que contemple as diretrizes estratégicas e os elementos mínimos indicados no item.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Acórdão TCE-RJ nº 44.490/2024-PLEN, item II.3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ao estabelecimento formal de processo estruturado de planejamento de TIC e à elaboração, aprovação, alinhamento, integração e monitoramento do PDTI nos termos do item.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Portaria PRODERJ/PRE nº 825/2021, art. 2º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os níveis setoriais de TIC do Poder Executivo Estadual são responsáveis pela elaboração do PEDTIC.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Portaria PRODERJ/PRE nº 825/2021, Anexo C, art. 11, parágrafo único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 PEDTIC deve ser submetido à aprovação formal da alta direção do órgão ou entidade.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C7: Portaria PRODERJ/PRE nº 825/2021, art. 3º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 PEDTIC deve ser elaborado em conformidade com as diretrizes e metas do governo e com a governança estadual de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C8: Portaria PRODERJ/PRE nº 825/2021, Anexo C, art. 13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 execução do PEDTIC deve ser monitorada na forma prevista no dispositivo.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C9: IN PRODERJ/PRE nº 5/2024, art. 5º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as contratações de TIC do Poder Executivo Estadual devem estar previstas no PEDTIC e indicadas no Plano de Contratações Anual.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S3.1 - Inexistência ou insuficiência do processo de planejamento de TIC para produzir e manter plano de TIC adequado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88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q2101ext[A] e q2101ext[D].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q2101ext[A] e q2101ext[D].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"False" em existe_plano_ti.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S3.2 - Ausência de aprovação formal do plano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25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q2102ext[A].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q2102ext[A].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S3.4 - Plano de TIC sem alinhamento adequado ao planejamento institucional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17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q2102ext[D].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q2102ext[D].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S3.5 - Plano de TIC não utilizado como referência para a elaboração da proposta orçamentária e do plano de contratações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20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q2102ext[C].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q2102ext[C].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S3.6 - Ausência de acompanhamento da execução do plano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31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q2102ext[E].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q2102ext[E].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Atuação reativa:</w:t>
            </w:r>
            <w:r>
              <w:rPr>
                <w:rFonts w:ascii="Arial" w:hAnsi="Arial" w:cs="Arial"/>
                <w:sz w:val="18"/>
                <w:szCs w:val="18"/>
              </w:rPr>
              <w:t xml:space="preserve"> Planejamento de TIC sem processo formal e sem participação adequada das áreas demandantes.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Baixa legitimidade institucional:</w:t>
            </w:r>
            <w:r>
              <w:rPr>
                <w:rFonts w:ascii="Arial" w:hAnsi="Arial" w:cs="Arial"/>
                <w:sz w:val="18"/>
                <w:szCs w:val="18"/>
              </w:rPr>
              <w:t xml:space="preserve"> Plano de TIC sem aprovação formal suficiente para orientar projetos, orçamento e contratações.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Desalinhamento institucional:</w:t>
            </w:r>
            <w:r>
              <w:rPr>
                <w:rFonts w:ascii="Arial" w:hAnsi="Arial" w:cs="Arial"/>
                <w:sz w:val="18"/>
                <w:szCs w:val="18"/>
              </w:rPr>
              <w:t xml:space="preserve"> Execução de ações de TIC com baixo valor para os objetivos e resultados da organização.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Ineficiência na alocação de recursos:</w:t>
            </w:r>
            <w:r>
              <w:rPr>
                <w:rFonts w:ascii="Arial" w:hAnsi="Arial" w:cs="Arial"/>
                <w:sz w:val="18"/>
                <w:szCs w:val="18"/>
              </w:rPr>
              <w:t xml:space="preserve"> Aquisições reativas, não priorizadas ou desconectadas do orçamento e do plano de contratações.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Desatualização das prioridades:</w:t>
            </w:r>
            <w:r>
              <w:rPr>
                <w:rFonts w:ascii="Arial" w:hAnsi="Arial" w:cs="Arial"/>
                <w:sz w:val="18"/>
                <w:szCs w:val="18"/>
              </w:rPr>
              <w:t xml:space="preserve"> Manutenção de metas e iniciativas incompatíveis com mudanças institucionais, orçamentárias ou tecnológicas.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Inexistência ou insuficiência do processo de planejamento de TIC para produzir e manter plano de TIC adequado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35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II.3 do Acórdão TCE-RJ nº 44.490/2024-PLEN e com o item 9.1.6 do Acórdão nº 1.411/2014-TCU-Plenário, institua processo formal de planejamento de TIC, compatível com o porte e a complexidade da organização, que assegure a elaboração e manutenção de plano de TIC, atentando-se, minimamente, em definir etapas, responsabilidades e participação das áreas demandantes [S3.1, C1, C3, C4].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53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II.3 do Acórdão TCE-RJ nº 44.490/2024-PLEN e em observância ao art. 2º da Portaria PRODERJ/PRE nº 825/2021, institua processo formal de planejamento de TIC, compatível com o porte e a complexidade da organização, que assegure a elaboração e manutenção de plano de TIC, atentando-se, minimamente, em definir etapas, responsabilidades e participação das áreas demandantes [S3.1, C1, C4, C5].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aprovação formal do plano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3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II.3 do Acórdão TCE-RJ nº 44.490/2024-PLEN e com o item 9.1.6 do Acórdão nº 1.411/2014-TCU-Plenário, submeta o plano de TIC à aprovação formal do dirigente máximo ou de instância competente da alta administração, mantendo registro do respectivo ato de aprovação [S3.2, C3, C4].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22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II.3 do Acórdão TCE-RJ nº 44.490/2024-PLEN e em observância ao art. 11, parágrafo único, do Anexo C da Portaria PRODERJ/PRE nº 825/2021, submeta o plano de TIC à aprovação formal do dirigente máximo ou de instância competente da alta administração, mantendo registro do respectivo ato de aprovação [S3.2, C4, C6].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Plano de TIC sem alinhamento adequado ao planejamento institucional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3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II.3 do Acórdão TCE-RJ nº 44.490/2024-PLEN e com o item 9.1.6 do Acórdão nº 1.411/2014-TCU-Plenário,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 [S3.4, C1, C3, C4].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14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II.3 do Acórdão TCE-RJ nº 44.490/2024-PLEN e em observância ao art. 3º da Portaria PRODERJ/PRE nº 825/2021, revise o plano de TIC para explicitar seu alinhamento ao planejamento institucional, às diretrizes superiores e às necessidades das áreas finalísticas e administrativas, relacionando objetivos, iniciativas, indicadores e metas de TIC aos resultados institucionais pretendidos [S3.4, C1, C4, C7].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Plano de TIC não utilizado como referência para a elaboração da proposta orçamentária e do plano de contratações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5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APO06.03 (Criar e manter orçamentos) do COBIT 2019 e em consonância com o item II.3 do Acórdão TCE-RJ nº 44.490/2024-PLEN, integre o plano de TIC à elaboração da proposta orçamentária e do plano de contratações, de maneira proporcional ao porte, à estrutura e à capacidade de planejamento da organização [S3.5, C2, C4].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15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II.3 do Acórdão TCE-RJ nº 44.490/2024-PLEN e em observância ao art. 5º da IN PRODERJ/PRE nº 5/2024, integre o plano de TIC à elaboração da proposta orçamentária e do plano de contratações, de maneira proporcional ao porte, à estrutura e à capacidade de planejamento da organização [S3.5, C2, C4, C9].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acompanhamento da execução do plano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6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II.3 do Acórdão TCE-RJ nº 44.490/2024-PLEN, estabeleça e execute rotina periódica de acompanhamento da execução do plano de TIC, promovendo sua revisão periódica e os ajustes ou atualizações necessários, com registro das principais decisões e reprogramações [S3.6, C4].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25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consonância com o item II.3 do Acórdão TCE-RJ nº 44.490/2024-PLEN e em observância ao art. 13 do Anexo C da Portaria PRODERJ/PRE nº 825/2021, estabeleça e execute rotina periódica de acompanhamento da execução do plano de TIC, promovendo sua revisão periódica e os ajustes ou atualizações necessários, com registro das principais decisões e reprogramações [S3.6, C4, C8].</w:t>
            </w:r>
          </w:p>
        </w:tc>
      </w:tr>
    </w:tbl>
    <w:p w14:paraId="077B7E02" w14:textId="77777777" w:rsidR="00A75136" w:rsidRDefault="00A75136" w:rsidP="001E6730">
      <w:pPr>
        <w:jc w:val="center"/>
        <w:rPr>
          <w:rFonts w:ascii="Arial" w:hAnsi="Arial" w:cs="Arial"/>
          <w:b/>
        </w:rPr>
      </w:pPr>
    </w:p>
    <w:p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9"/>
        <w:gridCol w:w="3363"/>
        <w:gridCol w:w="3363"/>
        <w:gridCol w:w="3533"/>
        <w:gridCol w:w="3179"/>
        <w:gridCol w:w="6801"/>
      </w:tblGrid>
      <w:tr w:rsidR="00A75136" w:rsidRPr="00636B72" w14:paraId="40D1AD83" w14:textId="77777777" w:rsidTr="003A6734">
        <w:trPr>
          <w:trHeight w:val="300"/>
          <w:tblHeader/>
        </w:trPr>
        <w:tc>
          <w:tcPr>
            <w:tcW w:w="473" w:type="pct"/>
          </w:tcPr>
          <w:p w14:paraId="68E98028" w14:textId="77777777" w:rsidR="00A75136" w:rsidRPr="00636B72" w:rsidRDefault="00A751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60E67BF6" w14:textId="77777777" w:rsidR="00A75136" w:rsidRPr="00636B72" w:rsidRDefault="00A751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052E68C2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60758C87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189CFDC6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59C04987" w14:textId="77777777" w:rsidR="00A75136" w:rsidRPr="00636B72" w:rsidRDefault="00A751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BF5DA1" w:rsidRPr="00636B72" w14:paraId="71D9C353" w14:textId="77777777" w:rsidTr="003A673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04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Capacidade institucional de pessoal de TIC e segurança da informação insuficientemente estruturada ou dimensionada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pelas seguintes situações efetivamente identificadas: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S4.2 - Ausência ou insuficiência de definição documentada do quantitativo necessário de pessoal de TIC e segurança da informação (107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S4.3 - Ausência de cargos ou funções formalmente atribuídos à TIC ou à segurança da informação (91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S4.6 - Operação de TIC predominantemente terceirizada sem profissionais internos de TIC (1 ocorrência)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APO01.05</w:t>
            </w:r>
            <w:r>
              <w:rPr>
                <w:rFonts w:ascii="Arial" w:hAnsi="Arial" w:cs="Arial"/>
                <w:sz w:val="18"/>
                <w:szCs w:val="18"/>
              </w:rPr>
              <w:t xml:space="preserve"> - Estabelecer papéis e responsabilidades: definir, comunicar e manter papéis e responsabilidades relacionados à governança e gestão de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COBIT 2019, APO07.01</w:t>
            </w:r>
            <w:r>
              <w:rPr>
                <w:rFonts w:ascii="Arial" w:hAnsi="Arial" w:cs="Arial"/>
                <w:sz w:val="18"/>
                <w:szCs w:val="18"/>
              </w:rPr>
              <w:t xml:space="preserve"> - Adquirir e manter pessoal adequado e apropriado: assegurar quantidade e perfil de profissionais compatíveis com as necessidades de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COBIT 2019, APO07.05</w:t>
            </w:r>
            <w:r>
              <w:rPr>
                <w:rFonts w:ascii="Arial" w:hAnsi="Arial" w:cs="Arial"/>
                <w:sz w:val="18"/>
                <w:szCs w:val="18"/>
              </w:rPr>
              <w:t xml:space="preserve"> - Planejar e monitorar o uso de recursos humanos de TI e de negócio: planejar, alocar e acompanhar capacidade de pessoal para iniciativas, operações e serviços de TIC.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COBIT 2019, APO07.06</w:t>
            </w:r>
            <w:r>
              <w:rPr>
                <w:rFonts w:ascii="Arial" w:hAnsi="Arial" w:cs="Arial"/>
                <w:sz w:val="18"/>
                <w:szCs w:val="18"/>
              </w:rPr>
              <w:t xml:space="preserve"> - Gerenciar pessoal contratado: controlar o uso de pessoal terceirizado ou externo, preservando responsabilização, supervisão e retenção de conhecimento.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Acórdão 1.411/2014-TCU-Plenário, item 9.1.6.5</w:t>
            </w:r>
            <w:r>
              <w:rPr>
                <w:rFonts w:ascii="Arial" w:hAnsi="Arial" w:cs="Arial"/>
                <w:sz w:val="18"/>
                <w:szCs w:val="18"/>
              </w:rPr>
              <w:t xml:space="preserve"> - O PDTI deve contemplar o quantitativo necessário ou ideal para a força de trabalho em TI.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Acórdão TCE-RJ nº 44.490/2024-PLEN, item I.10.11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para avaliação da estrutura de recursos humanos de TIC quanto à suficiência e à preservação de capacidade interna em atividades de planejamento, coordenação, fiscalização e controle.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S4.2 - Ausência ou insuficiência de definição documentada do quantitativo necessário de pessoal de TIC e segurança da informação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107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q2703ext[C].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q2703ext[C].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S4.3 - Ausência de cargos ou funções formalmente atribuídos à TIC ou à segurança da informação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91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q2708[B] e q2708[D].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q2708[B] e q2708[D].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S4.6 - Operação de TIC predominantemente terceirizada sem profissionais internos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 organização.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alternativa b) em q0101.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valor igual a zero em total_TI_interno.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Subdimensionamento da força de trabalho: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base estruturada para estimar, alocar e acompanhar a capacidade necessária de pessoal de TIC e segurança da informação.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Baixa clareza de responsabilidades:</w:t>
            </w:r>
            <w:r>
              <w:rPr>
                <w:rFonts w:ascii="Arial" w:hAnsi="Arial" w:cs="Arial"/>
                <w:sz w:val="18"/>
                <w:szCs w:val="18"/>
              </w:rPr>
              <w:t xml:space="preserve"> Ausência de cargos ou funções formalmente atribuídos à TIC ou à segurança da informação.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Dependência excessiva de terceiros:</w:t>
            </w:r>
            <w:r>
              <w:rPr>
                <w:rFonts w:ascii="Arial" w:hAnsi="Arial" w:cs="Arial"/>
                <w:sz w:val="18"/>
                <w:szCs w:val="18"/>
              </w:rPr>
              <w:t xml:space="preserve"> Perda de conhecimento, redução da governabilidade e risco de descontinuidade dos serviços quando não houver capacidade interna mínima de coordenação e fiscalização.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ou insuficiência de definição documentada do quantitativo necessário de pessoal de TIC e segurança da informação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107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APO07.05 (Planejar e monitorar o uso de recursos humanos de TI e de negócio) do COBIT 2019 e ao item 9.1.6.5 do Acórdão nº 1.411/2014-TCU-Plenário, estime e mantenha atualizado o quantitativo necessário de pessoal de TIC e segurança da informação, considerando o porte e a complexidade da organização, os serviços críticos, os sistemas mantidos, as contratações vigentes e os riscos relevantes [S4.2, C3, C5].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de cargos ou funções formalmente atribuídos à TIC ou à segurança da informação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91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às práticas APO01.05 (Estabelecer papéis e responsabilidades) e APO07.01 (Adquirir e manter pessoal adequado e apropriado) do COBIT 2019, avalie a necessidade de formalizar a atribuição de cargos ou funções à TIC e à segurança da informação e adote solução compatível com as necessidades institucionais e a capacidade administrativa da organização [S4.3, C1, C2].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Operação de TIC predominantemente terceirizada sem profissionais internos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 organização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APO07.06 (Gerenciar pessoal contratado) do COBIT 2019 e ao item I.10.11 do Acórdão TCE-RJ nº 44.490/2024-PLEN, avalie o modelo de operação de TIC e adote medidas proporcionais para assegurar capacidade interna suficiente para coordenar, supervisionar e fiscalizar as atividades e os contratos de TIC executados predominantemente por terceiros, preservando responsabilização e retenção de conhecimento [S4.6, C4, C6].</w:t>
            </w:r>
          </w:p>
        </w:tc>
      </w:tr>
    </w:tbl>
    <w:p w14:paraId="4A2741E2" w14:textId="77777777" w:rsidR="00F44088" w:rsidRDefault="00F44088" w:rsidP="001E6730">
      <w:pPr>
        <w:jc w:val="center"/>
        <w:rPr>
          <w:rFonts w:ascii="Arial" w:hAnsi="Arial" w:cs="Arial"/>
          <w:b/>
        </w:rPr>
      </w:pPr>
    </w:p>
    <w:p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F44088" w:rsidRPr="00636B72" w14:paraId="2C383F43" w14:textId="77777777" w:rsidTr="003A6734">
        <w:trPr>
          <w:trHeight w:val="300"/>
          <w:tblHeader/>
        </w:trPr>
        <w:tc>
          <w:tcPr>
            <w:tcW w:w="473" w:type="pct"/>
          </w:tcPr>
          <w:p w14:paraId="2030500C" w14:textId="77777777" w:rsidR="00F44088" w:rsidRPr="00636B72" w:rsidRDefault="00F44088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787BAD5B" w14:textId="77777777" w:rsidR="00F44088" w:rsidRPr="00636B72" w:rsidRDefault="00F44088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3BB66376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5F1272D1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61CBAAAB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5D5F4DCB" w14:textId="77777777" w:rsidR="00F44088" w:rsidRPr="00636B72" w:rsidRDefault="00F44088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293A47" w:rsidRPr="00636B72" w14:paraId="4DB1E3ED" w14:textId="77777777" w:rsidTr="003A673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05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Gestão de serviços de TIC insuficiente para assegurar controle sobre serviços, ativos e incidentes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pelas seguintes situações efetivamente identificadas: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S5.1 - Inexistência ou insuficiência do catálogo de serviços de TIC (108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S5.2 - Ausência ou fragilidade na definição e no monitoramento de níveis mínimos de serviço de TIC (111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S5.3 - Inventário e controle de dispositivos e softwares de TIC inexistente ou insuficiente (86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S5.4 - Ausência ou fragilidade do processo de gestão de configuração (110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S5.5 - Inexistência ou fragilidade do processo de gestão de incidentes de TIC (102 ocorrências)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COBIT 2019, APO09.02</w:t>
            </w:r>
            <w:r>
              <w:rPr>
                <w:rFonts w:ascii="Arial" w:hAnsi="Arial" w:cs="Arial"/>
                <w:sz w:val="18"/>
                <w:szCs w:val="18"/>
              </w:rPr>
              <w:t xml:space="preserve"> - Catalogar serviços facilitados por TI: definir, manter e comunicar catálogo de serviços, incluindo serviços prestados, características, requisitos e níveis de serviço esperados.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ITIL 4, prática de gerenciamento de nível de serviço</w:t>
            </w:r>
            <w:r>
              <w:rPr>
                <w:rFonts w:ascii="Arial" w:hAnsi="Arial" w:cs="Arial"/>
                <w:sz w:val="18"/>
                <w:szCs w:val="18"/>
              </w:rPr>
              <w:t>: definir, acordar, monitorar, avaliar e reportar metas e níveis de serviço alinhados às necessidades das áreas usuárias.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ITIL 4, prática de gerenciamento de ativos de TI</w:t>
            </w:r>
            <w:r>
              <w:rPr>
                <w:rFonts w:ascii="Arial" w:hAnsi="Arial" w:cs="Arial"/>
                <w:sz w:val="18"/>
                <w:szCs w:val="18"/>
              </w:rPr>
              <w:t>: planejar e gerenciar o ciclo de vida dos ativos de TI, mantendo informações suficientes para apoiar controle, custo, risco, valor e tomada de decisão.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COBIT 2019, BAI10.01</w:t>
            </w:r>
            <w:r>
              <w:rPr>
                <w:rFonts w:ascii="Arial" w:hAnsi="Arial" w:cs="Arial"/>
                <w:sz w:val="18"/>
                <w:szCs w:val="18"/>
              </w:rPr>
              <w:t xml:space="preserve"> - Estabelecer e manter um modelo de configuração: definir escopo, granularidade, atributos, relacionamentos e responsáveis pela base de configuração.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COBIT 2019, DSS02.02</w:t>
            </w:r>
            <w:r>
              <w:rPr>
                <w:rFonts w:ascii="Arial" w:hAnsi="Arial" w:cs="Arial"/>
                <w:sz w:val="18"/>
                <w:szCs w:val="18"/>
              </w:rPr>
              <w:t xml:space="preserve"> - Classificar solicitações e incidentes: registrar, classificar e priorizar incidentes e requisições de serviço conforme critérios definidos.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Acórdão TCE-RJ nº 44.490/2024-PLEN, item II.7.4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à estruturação do catálogo de serviços de TIC, incluindo descrição dos serviços, metas, formas de acesso e disponibilidade aos usuários.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C7: Acórdão TCE-RJ nº 44.490/2024-PLEN, item II.7.5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à gestão de configuração e ativos de TIC, incluindo formalização do processo e manutenção de base consolidada de ativos e itens de configuração.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C8: Acórdão TCE-RJ nº 44.490/2024-PLEN, item II.7.6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à formalização e à execução do processo de gestão de incidentes, incluindo registros, classificação, escalamento e tratamento.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C9: Acórdão TCE-RJ nº 44.490/2024-PLEN, item II.7.7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à definição, à pactuação e ao monitoramento de níveis de serviço.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C10: ABNT NBR ISO/IEC 20000-2:2021, item 8.2.4</w:t>
            </w:r>
            <w:r>
              <w:rPr>
                <w:rFonts w:ascii="Arial" w:hAnsi="Arial" w:cs="Arial"/>
                <w:sz w:val="18"/>
                <w:szCs w:val="18"/>
              </w:rPr>
              <w:t xml:space="preserve"> – Gerenciamento de catálogo de serviço: orienta que o catálogo descreva os serviços e seus resultados pretendidos, contenha informações relevantes para sua utilização e seja disponibilizado às partes interessadas que necessitem acessá-lo.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C11: ABNT NBR ISO/IEC 20000-2:2021, item 8.2.6</w:t>
            </w:r>
            <w:r>
              <w:rPr>
                <w:rFonts w:ascii="Arial" w:hAnsi="Arial" w:cs="Arial"/>
                <w:sz w:val="18"/>
                <w:szCs w:val="18"/>
              </w:rPr>
              <w:t xml:space="preserve"> – Gerenciamento de configuração: orienta a identificação, o registro, o controle, o rastreamento e a verificação dos itens de configuração, bem como a manutenção de informações de configuração precisas relacionadas aos serviços.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C12: ABNT NBR ISO/IEC 20000-2:2021, item 8.6.1</w:t>
            </w:r>
            <w:r>
              <w:rPr>
                <w:rFonts w:ascii="Arial" w:hAnsi="Arial" w:cs="Arial"/>
                <w:sz w:val="18"/>
                <w:szCs w:val="18"/>
              </w:rPr>
              <w:t xml:space="preserve"> – Gerenciamento de incidente: orienta que os incidentes sejam registrados, classificados e priorizados, que as ações adotadas para sua resolução sejam registradas e rastreáveis e que sejam definidas responsabilidades para seu tratamento, incluindo procedimento documentado para incidentes graves.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C13: Decreto Estadual nº 48.997/2024, art. 4º, inciso V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 nível setorial deve alimentar as bases de dados do nível de Direção Geral com o inventário permanente de equipamentos, licenças e softwares utilizados.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C14: Resolução CNJ nº 370/2021, art. 34, § 2º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 gestão dos ativos de infraestrutura tecnológica deve ser realizada mediante processos de registro e monitoramento da localização de cada ativo.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S5.1 - Inexistência ou insuficiência do catálogo de serviços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108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q2201ext[B] e q2201ext[C].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q2201ext[B] e q2201ext[C].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S5.2 - Ausência ou fragilidade na definição e no monitoramento de níveis mínimos de serviço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111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q2201ext[A], q2201ext[D] e q2201ext[E].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q2201ext[A], q2201ext[D] e q2201ext[E].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S5.3 - Inventário e controle de dispositivos e softwares de TIC inexistente ou insuficiente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86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q2504ext[A] e q2504ext[B].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q2504ext[A] e q2504ext[B].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S5.4 - Ausência ou fragilidade do processo de gestão de configuração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110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q2203ext[A] e q2203ext[C].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q2203ext[A] e q2203ext[C].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S5.5 - Inexistência ou fragilidade do processo de gestão de incidentes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102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q2204ext[A], q2204ext[D] e q2204ext[E].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q2204ext[A], q2204ext[D] e q2204ext[E].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Prestação reativa de serviços:</w:t>
            </w:r>
            <w:r>
              <w:rPr>
                <w:rFonts w:ascii="Arial" w:hAnsi="Arial" w:cs="Arial"/>
                <w:sz w:val="18"/>
                <w:szCs w:val="18"/>
              </w:rPr>
              <w:t xml:space="preserve"> Falta de definição clara, padronizada e transparente dos serviços de TIC oferecidos aos usuários e às áreas demandantes.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Ausência de parâmetros de desempenho:</w:t>
            </w:r>
            <w:r>
              <w:rPr>
                <w:rFonts w:ascii="Arial" w:hAnsi="Arial" w:cs="Arial"/>
                <w:sz w:val="18"/>
                <w:szCs w:val="18"/>
              </w:rPr>
              <w:t xml:space="preserve"> Impossibilidade de avaliar objetivamente a qualidade, a disponibilidade e o atendimento dos principais serviços de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Controle inadequado dos ativos:</w:t>
            </w:r>
            <w:r>
              <w:rPr>
                <w:rFonts w:ascii="Arial" w:hAnsi="Arial" w:cs="Arial"/>
                <w:sz w:val="18"/>
                <w:szCs w:val="18"/>
              </w:rPr>
              <w:t xml:space="preserve"> Informações insuficientes sobre dispositivos e softwares utilizados pela organização.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Controle inadequado da configuração:</w:t>
            </w:r>
            <w:r>
              <w:rPr>
                <w:rFonts w:ascii="Arial" w:hAnsi="Arial" w:cs="Arial"/>
                <w:sz w:val="18"/>
                <w:szCs w:val="18"/>
              </w:rPr>
              <w:t xml:space="preserve"> Informações insuficientes sobre itens de configuração e seus relacionamentos com sistemas, infraestrutura e serviços.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Tratamento deficiente de incidentes:</w:t>
            </w:r>
            <w:r>
              <w:rPr>
                <w:rFonts w:ascii="Arial" w:hAnsi="Arial" w:cs="Arial"/>
                <w:sz w:val="18"/>
                <w:szCs w:val="18"/>
              </w:rPr>
              <w:t xml:space="preserve"> Resposta não padronizada, intempestiva ou sem rastreabilidade, com maior impacto sobre a continuidade e a qualidade dos serviços.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Inexistência ou insuficiência do catálogo de serviços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108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APO09.02 (Catalogar serviços facilitados por TI) do COBIT 2019, ao item 8.2.4 da ABNT NBR ISO/IEC 20000-2:2021 e ao item II.7.4 do Acórdão TCE-RJ nº 44.490/2024-PLEN, institua e mantenha atualizado catálogo de serviços de TIC, atentando-se, minimamente, em identificar os serviços efetivamente prestados, seus responsáveis, usuários, condições de acesso e informações necessárias ao atendimento das áreas demandantes [S5.1, C1, C6, C10].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ou fragilidade na definição e no monitoramento de níveis mínimos de serviço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111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de gerenciamento de nível de serviço do ITIL 4 e ao item II.7.7 do Acórdão TCE-RJ nº 44.490/2024-PLEN, defina, acorde e monitore níveis de serviço para os serviços de TIC relevantes, estabelecendo metas e mecanismos de acompanhamento de seu cumprimento [S5.2, C2, C9].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Inventário e controle de dispositivos e softwares de TIC inexistente ou insuficiente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36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de gerenciamento de ativos de TI do ITIL 4 e ao item II.7.5 do Acórdão TCE-RJ nº 44.490/2024-PLEN, estabeleça e mantenha inventário atualizado dos ativos tecnológicos sob gestão da organização, contemplando, minimamente, os dispositivos e softwares utilizados, com informações suficientes para sua identificação e controle [S5.3, C3, C7].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49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observância ao art. 4º, inciso V, do Decreto Estadual nº 48.997/2024 e alinhando-se à prática de gerenciamento de ativos de TI do ITIL 4, estabeleça e mantenha inventário atualizado dos ativos tecnológicos sob gestão da organização, contemplando, minimamente, os dispositivos e softwares utilizados, com informações suficientes para sua identificação e controle [S5.3, C3, C13].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Judiciário Estadual — 1 organização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observância ao art. 34, § 2º, da Resolução CNJ nº 370/2021 e alinhando-se à prática de gerenciamento de ativos de TI do ITIL 4, estabeleça e mantenha inventário atualizado dos ativos tecnológicos sob gestão da organização, contemplando, minimamente, os dispositivos e softwares utilizados, com informações suficientes para sua identificação e controle [S5.3, C3, C14].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Ausência ou fragilidade do processo de gestão de configuração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110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BAI10.01 (Estabelecer e manter um modelo de configuração) do COBIT 2019, ao item 8.2.6 da ABNT NBR ISO/IEC 20000-2:2021 e ao item II.7.5 do Acórdão TCE-RJ nº 44.490/2024-PLEN, formalize e execute processo de gestão de configuração, atentando-se, minimamente, em manter base, ferramenta ou registro equivalente com os itens de configuração relevantes, seus responsáveis e os relacionamentos entre ativos [S5.4, C4, C7, C11].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Inexistência ou fragilidade do processo de gestão de incidentes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102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alinhando-se à prática DSS02.02 (Classificar solicitações e incidentes) do COBIT 2019, ao item 8.6.1 da ABNT NBR ISO/IEC 20000-2:2021 e ao item II.7.6 do Acórdão TCE-RJ nº 44.490/2024-PLEN, formalize e execute processo de gestão de incidentes de TIC, atentando-se, minimamente, em definir papéis, critérios de priorização e escalamento, tratamento de incidentes de serviços e de segurança da informação e registro sistemático e rastreável das ocorrências [S5.5, C5, C8, C12].</w:t>
            </w:r>
          </w:p>
        </w:tc>
      </w:tr>
    </w:tbl>
    <w:p w14:paraId="3C81D47D" w14:textId="77777777" w:rsidR="00EF220B" w:rsidRDefault="00EF220B" w:rsidP="001E6730">
      <w:pPr>
        <w:jc w:val="center"/>
        <w:rPr>
          <w:rFonts w:ascii="Arial" w:hAnsi="Arial" w:cs="Arial"/>
          <w:b/>
        </w:rPr>
      </w:pPr>
    </w:p>
    <w:p>
      <w:r>
        <w:br w:type="page"/>
      </w:r>
    </w:p>
    <w:tbl>
      <w:tblPr>
        <w:tblStyle w:val="Tabelacomgrade"/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2116"/>
        <w:gridCol w:w="3364"/>
        <w:gridCol w:w="3364"/>
        <w:gridCol w:w="3534"/>
        <w:gridCol w:w="3179"/>
        <w:gridCol w:w="6801"/>
      </w:tblGrid>
      <w:tr w:rsidR="00655036" w:rsidRPr="00636B72" w14:paraId="0C9ECC94" w14:textId="77777777" w:rsidTr="003A6734">
        <w:trPr>
          <w:trHeight w:val="300"/>
          <w:tblHeader/>
        </w:trPr>
        <w:tc>
          <w:tcPr>
            <w:tcW w:w="473" w:type="pct"/>
          </w:tcPr>
          <w:p w14:paraId="2B6371F8" w14:textId="77777777" w:rsidR="00655036" w:rsidRPr="00636B72" w:rsidRDefault="006550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lastRenderedPageBreak/>
              <w:t>ACHADO</w:t>
            </w:r>
          </w:p>
        </w:tc>
        <w:tc>
          <w:tcPr>
            <w:tcW w:w="752" w:type="pct"/>
            <w:vAlign w:val="center"/>
          </w:tcPr>
          <w:p w14:paraId="21180313" w14:textId="77777777" w:rsidR="00655036" w:rsidRPr="00636B72" w:rsidRDefault="00655036" w:rsidP="003A6734">
            <w:pPr>
              <w:autoSpaceDE w:val="0"/>
              <w:autoSpaceDN w:val="0"/>
              <w:adjustRightInd w:val="0"/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CRITÉRIO</w:t>
            </w:r>
          </w:p>
        </w:tc>
        <w:tc>
          <w:tcPr>
            <w:tcW w:w="752" w:type="pct"/>
            <w:vAlign w:val="center"/>
          </w:tcPr>
          <w:p w14:paraId="313AAA6C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EVIDÊNCIA</w:t>
            </w:r>
          </w:p>
        </w:tc>
        <w:tc>
          <w:tcPr>
            <w:tcW w:w="790" w:type="pct"/>
            <w:vAlign w:val="center"/>
          </w:tcPr>
          <w:p w14:paraId="32A8C5C1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trike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CAUSA</w:t>
            </w:r>
          </w:p>
        </w:tc>
        <w:tc>
          <w:tcPr>
            <w:tcW w:w="711" w:type="pct"/>
            <w:vAlign w:val="center"/>
          </w:tcPr>
          <w:p w14:paraId="0FB752C2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EFEITO</w:t>
            </w:r>
          </w:p>
        </w:tc>
        <w:tc>
          <w:tcPr>
            <w:tcW w:w="1521" w:type="pct"/>
            <w:vAlign w:val="center"/>
          </w:tcPr>
          <w:p w14:paraId="06EEA78F" w14:textId="77777777" w:rsidR="00655036" w:rsidRPr="00636B72" w:rsidRDefault="00655036" w:rsidP="003A6734">
            <w:pPr>
              <w:spacing w:before="40" w:after="6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>
              <w:rPr>
                <w:rFonts w:ascii="Arial" w:hAnsi="Arial" w:cs="Arial"/>
                <w:b/>
                <w:bCs/>
                <w:sz w:val="16"/>
                <w:szCs w:val="16"/>
              </w:rPr>
              <w:t>ENCAMINHAMENTO</w:t>
            </w:r>
          </w:p>
        </w:tc>
      </w:tr>
      <w:tr w:rsidR="003B5A03" w:rsidRPr="00636B72" w14:paraId="4819916C" w14:textId="77777777" w:rsidTr="003A6734">
        <w:trPr>
          <w:trHeight w:val="300"/>
        </w:trPr>
        <w:tc>
          <w:tcPr>
            <w:tcW w:w="473" w:type="pct"/>
          </w:tcPr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ACHADO 06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Fragilidades na governança técnica da fase preparatória das contratações de TIC</w:t>
            </w:r>
          </w:p>
          <w:p>
            <w:pPr>
              <w:spacing w:after="60"/>
              <w:jc w:val="both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Achado composto pelas seguintes situações efetivamente identificadas: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S6.1 - Inexistência ou fragilidade de processo formal e padronizado para o planejamento das contratações de TIC (87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S6.2 - Contratações de TIC sem análise prévia e aprovação técnica da área de TIC (83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S6.3 - Contratações de TIC sem alinhamento ao planejamento de TIC e ao Plano de Contratações Anual (33 ocorrências)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  <w:ind w:left="300" w:hanging="180"/>
            </w:pPr>
            <w:r>
              <w:rPr>
                <w:rFonts w:ascii="Arial" w:hAnsi="Arial" w:cs="Arial"/>
                <w:sz w:val="18"/>
                <w:szCs w:val="18"/>
              </w:rPr>
              <w:t>• S6.4 - Contratações de TIC sem designação de equipe de planejamento com integrante técnico da área de TIC (45 ocorrências)</w:t>
            </w:r>
          </w:p>
        </w:tc>
        <w:tc>
          <w:tcPr>
            <w:tcW w:w="752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C1: Lei nº 14.133/2021, art. 11, parágrafo único</w:t>
            </w:r>
            <w:r>
              <w:rPr>
                <w:rFonts w:ascii="Arial" w:hAnsi="Arial" w:cs="Arial"/>
                <w:sz w:val="18"/>
                <w:szCs w:val="18"/>
              </w:rPr>
              <w:t>: responsabilidade da alta administração pela governança das contratações, com processos, estruturas, gestão de riscos e controles internos.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C2: Lei nº 14.133/2021, art. 12, inciso VII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as contratações devem observar o plano de contratações anual, quando elaborado, nos termos do dispositivo.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C3: Lei nº 14.133/2021, art. 19, inciso IV</w:t>
            </w:r>
            <w:r>
              <w:rPr>
                <w:rFonts w:ascii="Arial" w:hAnsi="Arial" w:cs="Arial"/>
                <w:sz w:val="18"/>
                <w:szCs w:val="18"/>
              </w:rPr>
              <w:t>: instituição de modelos de minutas de editais, termos de referência, contratos padronizados e demais documentos.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C4: Lei nº 14.133/2021, art. 7º, caput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 autoridade máxima deve promover a gestão por competências e designar agentes públicos para o desempenho das funções essenciais à execução da Lei.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C5: COBIT 2019, BAI02.04</w:t>
            </w:r>
            <w:r>
              <w:rPr>
                <w:rFonts w:ascii="Arial" w:hAnsi="Arial" w:cs="Arial"/>
                <w:sz w:val="18"/>
                <w:szCs w:val="18"/>
              </w:rPr>
              <w:t xml:space="preserve"> - Obter aprovação dos requisitos da solução: obter aprovação formal dos requisitos funcionais, técnicos, de segurança e de conformidade antes de prosseguir com a solução.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C6: Instrução Normativa SGD/ME nº 94/2022, art. 12, § 6º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referência de boa prática quanto à assinatura do termo de referência pela Equipe de Planejamento da Contratação e pela autoridade máxima da área de TIC, seguida da aprovação pela autoridade competente.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C7: Acórdão TCE-RJ nº 44.490/2024-PLEN, item III.7</w:t>
            </w:r>
            <w:r>
              <w:rPr>
                <w:rFonts w:ascii="Arial" w:hAnsi="Arial" w:cs="Arial"/>
                <w:sz w:val="18"/>
                <w:szCs w:val="18"/>
              </w:rPr>
              <w:t xml:space="preserve"> — precedente quanto à estruturação do processo de planejamento anual das contratações, contemplando consolidação das demandas, participação das áreas, aprovação e publicidade do plano.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C8: Acórdão nº 2.342/2016-TCU-Plenário, item 9.1.7</w:t>
            </w:r>
            <w:r>
              <w:rPr>
                <w:rFonts w:ascii="Arial" w:hAnsi="Arial" w:cs="Arial"/>
                <w:sz w:val="18"/>
                <w:szCs w:val="18"/>
              </w:rPr>
              <w:t xml:space="preserve"> – Precedente quanto à definição, aprovação e formalização de processo de trabalho para o planejamento de cada contratação, com controles internos mínimos.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C9: IN PRODERJ/PRE nº 5/2024, art. 4º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os pedidos de contratação de soluções de TIC do Poder Executivo Estadual devem ser instruídos com os documentos de planejamento definidos no dispositivo.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  <w:vertAlign w:val="superscript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C10: IN PRODERJ/PRE nº 5/2024, art. 5º</w:t>
            </w:r>
            <w:r>
              <w:rPr>
                <w:rFonts w:ascii="Arial" w:hAnsi="Arial" w:cs="Arial"/>
                <w:sz w:val="18"/>
                <w:szCs w:val="18"/>
              </w:rPr>
              <w:t xml:space="preserve"> — as contratações de TIC do Poder Executivo Estadual devem estar previstas no PEDTIC e indicadas no Plano de Contratações Anual.</w:t>
            </w:r>
          </w:p>
        </w:tc>
        <w:tc>
          <w:tcPr>
            <w:tcW w:w="752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Respostas ao Questionário iGovTI 2026</w:t>
            </w:r>
            <w:r>
              <w:rPr>
                <w:rFonts w:ascii="Arial" w:hAnsi="Arial" w:cs="Arial"/>
                <w:sz w:val="18"/>
                <w:szCs w:val="18"/>
              </w:rPr>
              <w:t xml:space="preserve"> - Situações caracterizadas pelas respostas declaradas às questões indicadas: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S6.1 - Inexistência ou fragilidade de processo formal e padronizado para o planejamento das contratações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87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ou "N/A" em q2801ext[A] e q2801ext[B].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q2801ext[A] e q2801ext[B].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S6.2 - Contratações de TIC sem análise prévia e aprovação técnica da área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83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q2804[A].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 conforme" em q2804[A].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S6.3 - Contratações de TIC sem alinhamento ao planejamento de TIC e ao Plano de Contratações Anual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33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q2804[B].</w:t>
            </w:r>
          </w:p>
          <w:p>
            <w:pPr>
              <w:jc w:val="both"/>
              <w:rPr>
                <w:rFonts w:ascii="Arial" w:eastAsia="Arial" w:hAnsi="Arial" w:cs="Arial"/>
                <w:b/>
                <w:bCs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S6.4 - Contratações de TIC sem designação de equipe de planejamento com integrante técnico da área de TIC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Ocorrência no resultado final: 45 organizações.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sz w:val="18"/>
                <w:szCs w:val="18"/>
              </w:rPr>
              <w:t>• resposta "Não" em q2804[C].</w:t>
            </w:r>
          </w:p>
        </w:tc>
        <w:tc>
          <w:tcPr>
            <w:tcW w:w="790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Não investigada.</w:t>
            </w:r>
          </w:p>
        </w:tc>
        <w:tc>
          <w:tcPr>
            <w:tcW w:w="711" w:type="pct"/>
          </w:tcPr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Instrução processual frágil:</w:t>
            </w:r>
            <w:r>
              <w:rPr>
                <w:rFonts w:ascii="Arial" w:hAnsi="Arial" w:cs="Arial"/>
                <w:sz w:val="18"/>
                <w:szCs w:val="18"/>
              </w:rPr>
              <w:t xml:space="preserve"> Falta de clareza sobre etapas, responsabilidades, instâncias decisórias, modelos e critérios de aprovação das contratações de TIC.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Soluções incompatíveis:</w:t>
            </w:r>
            <w:r>
              <w:rPr>
                <w:rFonts w:ascii="Arial" w:hAnsi="Arial" w:cs="Arial"/>
                <w:sz w:val="18"/>
                <w:szCs w:val="18"/>
              </w:rPr>
              <w:t xml:space="preserve"> Contratação de soluções incompatíveis com padrões tecnológicos ou requisitos institucionais.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Contratações desalinhadas:</w:t>
            </w:r>
            <w:r>
              <w:rPr>
                <w:rFonts w:ascii="Arial" w:hAnsi="Arial" w:cs="Arial"/>
                <w:sz w:val="18"/>
                <w:szCs w:val="18"/>
              </w:rPr>
              <w:t xml:space="preserve"> Contratações de TIC desconectadas dos instrumentos de planejamento aplicáveis.</w:t>
            </w: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spacing w:after="60"/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bCs/>
                <w:sz w:val="18"/>
                <w:szCs w:val="18"/>
              </w:rPr>
              <w:t>Participação técnica insuficiente:</w:t>
            </w:r>
            <w:r>
              <w:rPr>
                <w:rFonts w:ascii="Arial" w:hAnsi="Arial" w:cs="Arial"/>
                <w:sz w:val="18"/>
                <w:szCs w:val="18"/>
              </w:rPr>
              <w:t xml:space="preserve"> Planejamento da contratação sem equipe formalmente designada ou sem participação técnica da área de TIC.</w:t>
            </w:r>
          </w:p>
        </w:tc>
        <w:tc>
          <w:tcPr>
            <w:tcW w:w="1521" w:type="pct"/>
          </w:tcPr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Inexistência ou fragilidade de processo formal e padronizado para o planejamento das contratações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30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observância aos arts. 11, parágrafo único, e 19, inciso IV, da Lei nº 14.133/2021 e ao item 9.1.7 do Acórdão nº 2.342/2016-TCU-Plenário,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 [S6.1, C1, C3, C8].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57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observância aos arts. 11, parágrafo único, e 19, inciso IV, da Lei nº 14.133/2021 e em observância ao art. 4º da IN PRODERJ/PRE nº 5/2024, formalize e padronize o processo de planejamento das contratações de TIC, definindo etapas, responsabilidades e artefatos aplicáveis, podendo adotar modelos institucionais ou centralizados já existentes e prevendo fluxos proporcionais à natureza, complexidade e risco da contratação [S6.1, C1, C3, C9].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Contratações de TIC sem análise prévia e aprovação técnica da área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83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observância ao art. 11, parágrafo único, da Lei nº 14.133/2021 e alinhando-se à prática BAI02.04 (Obter aprovação dos requisitos da solução) do COBIT 2019 e à referência do art. 12, § 6º, da Instrução Normativa SGD/ME nº 94/2022, estabeleça a submissão das contratações de TIC à análise prévia da área de TIC, de modo a verificar a compatibilidade da solução com os padrões tecnológicos, os requisitos institucionais e a arquitetura existente, admitindo procedimentos simplificados e proporcionais à natureza, ao risco e ao valor da contratação, preservada análise técnica compatível [S6.2, C1, C5, C6].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Contratações de TIC sem alinhamento ao planejamento de TIC e ao Plano de Contratações Anual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Demais jurisdicionados — 23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observância aos arts. 11, parágrafo único, e 12, inciso VII, da Lei nº 14.133/2021 e em consonância com o item III.7 do Acórdão TCE-RJ nº 44.490/2024-PLEN, assegure que as contratações de TIC sejam compatíveis com os instrumentos de planejamento de TIC e, quando elaborado, com o Plano de Contratações Anual, promovendo os ajustes ou justificativas cabíveis nos casos excepcionais [S6.3, C1, C2, C7].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Poder Executivo Estadual — 10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Determinação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observância aos arts. 11, parágrafo único, e 12, inciso VII, da Lei nº 14.133/2021 e em observância ao art. 5º da IN PRODERJ/PRE nº 5/2024, assegure que as contratações de TIC sejam compatíveis com os instrumentos de planejamento de TIC e, quando elaborado, com o Plano de Contratações Anual, promovendo os ajustes ou justificativas cabíveis nos casos excepcionais [S6.3, C1, C2, C10].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Contratações de TIC sem designação de equipe de planejamento com integrante técnico da área de TIC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</w:pPr>
            <w:r>
              <w:rPr>
                <w:rFonts w:ascii="Arial" w:hAnsi="Arial" w:cs="Arial"/>
                <w:b/>
                <w:sz w:val="18"/>
                <w:szCs w:val="18"/>
              </w:rPr>
              <w:t>Público geral — 45 organizações com ocorrência</w:t>
            </w:r>
          </w:p>
          <w:p>
            <w:pPr>
              <w:jc w:val="both"/>
              <w:rPr>
                <w:rFonts w:ascii="Arial" w:hAnsi="Arial" w:cs="Arial"/>
                <w:sz w:val="18"/>
                <w:szCs w:val="18"/>
              </w:rPr>
              <w:ind w:left="360" w:hanging="180"/>
            </w:pPr>
            <w:r>
              <w:rPr>
                <w:rFonts w:ascii="Arial" w:hAnsi="Arial" w:cs="Arial"/>
                <w:sz w:val="18"/>
                <w:szCs w:val="18"/>
              </w:rPr>
              <w:t xml:space="preserve">• </w:t>
            </w:r>
            <w:r>
              <w:rPr>
                <w:rFonts w:ascii="Arial" w:hAnsi="Arial" w:cs="Arial"/>
                <w:b/>
                <w:bCs/>
                <w:sz w:val="18"/>
                <w:szCs w:val="18"/>
                <w:u w:val="single"/>
              </w:rPr>
              <w:t>Comunicação com Recomendação</w:t>
            </w:r>
            <w:r>
              <w:rPr>
                <w:rFonts w:ascii="Arial" w:hAnsi="Arial" w:cs="Arial"/>
                <w:sz w:val="18"/>
                <w:szCs w:val="18"/>
              </w:rPr>
              <w:t xml:space="preserve"> para que, em observância aos arts. 11, parágrafo único, e 7º, caput, da Lei nº 14.133/2021 e alinhando-se à referência do art. 12, § 6º, da Instrução Normativa SGD/ME nº 94/2022, designe formalmente equipe de planejamento para as contratações de TIC, atentando-se, minimamente, em assegurar a participação de integrante da área requisitante e da área técnica de TIC, com definição das responsabilidades de seus integrantes [S6.4, C1, C4, C6].</w:t>
            </w:r>
          </w:p>
        </w:tc>
      </w:tr>
    </w:tbl>
    <w:p/>
    <w:p>
      <w:r>
        <w:br w:type="page"/>
      </w:r>
    </w:p>
    <w:p>
      <w:pPr>
        <w:jc w:val="center"/>
      </w:pPr>
      <w:r>
        <w:rPr>
          <w:b/>
          <w:sz w:val="20"/>
        </w:rPr>
        <w:t>QUADRO CONSOLIDADO DE SITUAÇÕES ENCONTRADAS POR AUDITADO</w:t>
      </w:r>
    </w:p>
    <w:p>
      <w:pPr>
        <w:jc w:val="center"/>
      </w:pPr>
      <w:r>
        <w:rPr>
          <w:sz w:val="14"/>
        </w:rPr>
        <w:t>D = determinação; R = recomendação; célula vazia = situação não identificada. As colunas correspondem às situações descritas nos achados anteriores.</w:t>
      </w:r>
    </w:p>
    <w:tbl>
      <w:tblPr>
        <w:tblStyle w:val="Tabelacomgrade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  <w:gridCol w:w="932"/>
      </w:tblGrid>
      <w:tr>
        <w:trPr>
          <w:tblHeader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Auditado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S1.1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S1.2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S1.3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S2.1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S2.2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S2.3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S3.1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S3.2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S3.4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S3.5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S3.6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S4.2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S4.3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S4.6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S5.1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S5.2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S5.3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S5.4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S5.5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S6.1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S6.2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S6.3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  <w:shd w:fill="D9E2F3"/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S6.4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AGENERSA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AGERIO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AGETRANSP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ALERJ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ANGRA DOS REIS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ARARUAMA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ARMAÇÃO DOS BÚZIOS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ARRAIAL DO CABO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BARRA DO PIRAÍ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BELFORD ROXO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CABO FRIO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CAMPOS DOS GOYTACAZES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CASIMIRO DE ABREU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CEASA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CECIERJ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CEDAE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CENTRAL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CEPERJ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CGE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CODERTE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CODIN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DEGASE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DERRJ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DETRAN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DETRO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DPGE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DRM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DUQUE DE CAXIAS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EMATER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FAETEC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FAPERJ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FIA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FIPERJ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FLXIII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FMIS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FSC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FTM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FUNARJ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GSI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GUAPIMIRIM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IEEA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INEA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IOERJ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IPEM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IRM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ISP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ITAGUAÍ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ITERJ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IVB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JAPERI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JUCERJA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LOTERJ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MACAÉ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MAGÉ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MARICÁ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MESQUITA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MPERJ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NITERÓI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NOVA FRIBURGO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NOVA IGUAÇU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PARATY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PETRÓPOLIS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PGE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PORTO REAL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PROCON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PRODERJ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QUATIS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QUEIMADOS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QUISSAMÃ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RIO DAS OSTRAS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RIOPREVIDENCIA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RIOTRILHOS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RJPREV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SAQUAREMA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SEAP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SEAPPA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SECC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SECEC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SECID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SECTI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SEDEC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SEDEICS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SEDSDH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SEEDUC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SEEL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SEENEMAR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SEFAZ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SEGOV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SEHAB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SEIJES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SEINFRA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SEPLAG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SEPM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SERGB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SEROPÉDICA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SETD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SETRAB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SETRANS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SETUR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SUDERJ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SÃO GONÇALO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SÃO JOÃO DA BARRA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SÃO JOÃO DE MERITI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SÃO PEDRO DA ALDEIA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TCE-RJ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TERESÓPOLIS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TJRJ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TURISRIO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UENF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UERJ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  <w:tr>
        <w:trPr>
          <w:cantSplit/>
        </w:trPr>
        <w:tc>
          <w:tcPr>
            <w:tcW w:type="dxa" w:w="1814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left"/>
            </w:pPr>
            <w:r>
              <w:rPr>
                <w:b w:val="0"/>
                <w:sz w:val="13"/>
              </w:rPr>
              <w:t>VOLTA REDONDA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R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/>
                <w:sz w:val="13"/>
              </w:rPr>
              <w:t>D</w:t>
            </w:r>
          </w:p>
        </w:tc>
        <w:tc>
          <w:tcPr>
            <w:tcW w:type="dxa" w:w="561"/>
            <w:vAlign w:val="center"/>
            <w:tcMar>
              <w:top w:w="36" w:type="dxa"/>
              <w:left w:w="36" w:type="dxa"/>
              <w:bottom w:w="36" w:type="dxa"/>
              <w:right w:w="36" w:type="dxa"/>
            </w:tcMar>
          </w:tcPr>
          <w:p>
            <w:pPr>
              <w:spacing w:after="0"/>
              <w:jc w:val="center"/>
            </w:pPr>
            <w:r>
              <w:rPr>
                <w:b w:val="0"/>
                <w:sz w:val="13"/>
              </w:rPr>
            </w:r>
          </w:p>
        </w:tc>
      </w:tr>
    </w:tbl>
    <w:sectPr w:rsidR="0005467B">
      <w:headerReference w:type="default" r:id="rId11"/>
      <w:pgSz w:w="23808" w:h="16840" w:orient="landscape" w:code="8"/>
      <w:pgMar w:top="720" w:right="720" w:bottom="720" w:left="72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4F8DA21" w14:textId="77777777" w:rsidR="0005467B" w:rsidRDefault="0005467B" w:rsidP="00E1739A">
      <w:r>
        <w:separator/>
      </w:r>
    </w:p>
  </w:endnote>
  <w:endnote w:type="continuationSeparator" w:id="0">
    <w:p w14:paraId="4E115D9F" w14:textId="77777777" w:rsidR="0005467B" w:rsidRDefault="0005467B" w:rsidP="00E1739A">
      <w:r>
        <w:continuationSeparator/>
      </w:r>
    </w:p>
  </w:endnote>
  <w:endnote w:type="continuationNotice" w:id="1">
    <w:p w14:paraId="6858F029" w14:textId="77777777" w:rsidR="0005467B" w:rsidRDefault="0005467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TimesNew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 MT">
    <w:altName w:val="Arial"/>
    <w:charset w:val="01"/>
    <w:family w:val="swiss"/>
    <w:pitch w:val="variable"/>
  </w:font>
  <w:font w:name="Yu Mincho"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4E91A5B" w14:textId="77777777" w:rsidR="0005467B" w:rsidRDefault="0005467B" w:rsidP="00E1739A">
      <w:r>
        <w:separator/>
      </w:r>
    </w:p>
  </w:footnote>
  <w:footnote w:type="continuationSeparator" w:id="0">
    <w:p w14:paraId="4848E370" w14:textId="77777777" w:rsidR="0005467B" w:rsidRDefault="0005467B" w:rsidP="00E1739A">
      <w:r>
        <w:continuationSeparator/>
      </w:r>
    </w:p>
  </w:footnote>
  <w:footnote w:type="continuationNotice" w:id="1">
    <w:p w14:paraId="4923DD51" w14:textId="77777777" w:rsidR="0005467B" w:rsidRDefault="0005467B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elacomgrade"/>
      <w:tblW w:w="22397" w:type="dxa"/>
      <w:tblLook w:val="04A0" w:firstRow="1" w:lastRow="0" w:firstColumn="1" w:lastColumn="0" w:noHBand="0" w:noVBand="1"/>
    </w:tblPr>
    <w:tblGrid>
      <w:gridCol w:w="1838"/>
      <w:gridCol w:w="7093"/>
      <w:gridCol w:w="13466"/>
    </w:tblGrid>
    <w:tr w:rsidR="009036F0" w14:paraId="535389B1" w14:textId="77777777" w:rsidTr="00164EE8">
      <w:tc>
        <w:tcPr>
          <w:tcW w:w="1838" w:type="dxa"/>
        </w:tcPr>
        <w:p w14:paraId="6898336B" w14:textId="77777777" w:rsidR="009036F0" w:rsidRDefault="009036F0" w:rsidP="009036F0">
          <w:pPr>
            <w:pStyle w:val="Ttulo"/>
            <w:spacing w:before="0"/>
            <w:ind w:left="0"/>
          </w:pPr>
          <w:r>
            <w:rPr>
              <w:noProof/>
            </w:rPr>
            <w:drawing>
              <wp:anchor distT="0" distB="0" distL="114300" distR="114300" simplePos="0" relativeHeight="251658240" behindDoc="0" locked="0" layoutInCell="1" allowOverlap="1" wp14:anchorId="6771BF46" wp14:editId="0782D34F">
                <wp:simplePos x="0" y="0"/>
                <wp:positionH relativeFrom="column">
                  <wp:posOffset>181637</wp:posOffset>
                </wp:positionH>
                <wp:positionV relativeFrom="paragraph">
                  <wp:posOffset>4815</wp:posOffset>
                </wp:positionV>
                <wp:extent cx="903478" cy="381468"/>
                <wp:effectExtent l="0" t="0" r="0" b="0"/>
                <wp:wrapNone/>
                <wp:docPr id="954985232" name="Picture 95498523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logo-horizontal-colorida-para_fundo_branco.svg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  <a:ext uri="{96DAC541-7B7A-43D3-8B79-37D633B846F1}">
                              <asvg:svgBlip xmlns:asvg="http://schemas.microsoft.com/office/drawing/2016/SVG/main" r:embed="rId2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930644" cy="39293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</w:p>
      </w:tc>
      <w:tc>
        <w:tcPr>
          <w:tcW w:w="7093" w:type="dxa"/>
        </w:tcPr>
        <w:p w14:paraId="31F970D4" w14:textId="77777777" w:rsidR="009036F0" w:rsidRPr="003C6BC3" w:rsidRDefault="009036F0" w:rsidP="003C6BC3">
          <w:pPr>
            <w:pStyle w:val="Cabealho"/>
            <w:rPr>
              <w:rFonts w:ascii="Arial" w:hAnsi="Arial" w:cs="Arial"/>
              <w:sz w:val="16"/>
              <w:szCs w:val="16"/>
            </w:rPr>
          </w:pPr>
          <w:r w:rsidRPr="003C6BC3">
            <w:rPr>
              <w:rFonts w:ascii="Arial" w:hAnsi="Arial" w:cs="Arial"/>
              <w:sz w:val="16"/>
              <w:szCs w:val="16"/>
            </w:rPr>
            <w:t>SECRETARIA-GERAL</w:t>
          </w:r>
          <w:r w:rsidRPr="003C6BC3">
            <w:rPr>
              <w:rFonts w:ascii="Arial" w:hAnsi="Arial" w:cs="Arial"/>
              <w:spacing w:val="-2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DE</w:t>
          </w:r>
          <w:r w:rsidRPr="003C6BC3"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CONTROLE</w:t>
          </w:r>
          <w:r w:rsidRPr="003C6BC3">
            <w:rPr>
              <w:rFonts w:ascii="Arial" w:hAnsi="Arial" w:cs="Arial"/>
              <w:spacing w:val="-1"/>
              <w:sz w:val="16"/>
              <w:szCs w:val="16"/>
            </w:rPr>
            <w:t xml:space="preserve"> </w:t>
          </w:r>
          <w:r w:rsidRPr="003C6BC3">
            <w:rPr>
              <w:rFonts w:ascii="Arial" w:hAnsi="Arial" w:cs="Arial"/>
              <w:sz w:val="16"/>
              <w:szCs w:val="16"/>
            </w:rPr>
            <w:t>EXTERNO</w:t>
          </w:r>
        </w:p>
        <w:p w14:paraId="496A5081" w14:textId="77777777" w:rsidR="009036F0" w:rsidRPr="003C6BC3" w:rsidRDefault="009036F0" w:rsidP="003C6BC3">
          <w:pPr>
            <w:pStyle w:val="Ttulo"/>
            <w:tabs>
              <w:tab w:val="left" w:pos="6105"/>
            </w:tabs>
            <w:spacing w:before="0"/>
            <w:ind w:left="0"/>
            <w:jc w:val="left"/>
            <w:rPr>
              <w:rFonts w:eastAsia="Arial MT"/>
              <w:b w:val="0"/>
              <w:bCs w:val="0"/>
              <w:sz w:val="16"/>
              <w:szCs w:val="16"/>
            </w:rPr>
          </w:pPr>
          <w:r w:rsidRPr="003C6BC3">
            <w:rPr>
              <w:rFonts w:eastAsia="Arial MT"/>
              <w:b w:val="0"/>
              <w:bCs w:val="0"/>
              <w:sz w:val="16"/>
              <w:szCs w:val="16"/>
            </w:rPr>
            <w:t>SUBSECRETARIA DE CONTROLE DE POLÍTICAS DE CIDADANIA</w:t>
          </w:r>
        </w:p>
        <w:p w14:paraId="0E9F3663" w14:textId="77777777" w:rsidR="009036F0" w:rsidRPr="003C6BC3" w:rsidRDefault="009036F0" w:rsidP="003C6BC3">
          <w:pPr>
            <w:pStyle w:val="Ttulo"/>
            <w:spacing w:before="0"/>
            <w:ind w:left="0"/>
            <w:jc w:val="left"/>
            <w:rPr>
              <w:sz w:val="16"/>
              <w:szCs w:val="16"/>
            </w:rPr>
          </w:pPr>
          <w:r w:rsidRPr="003C6BC3">
            <w:rPr>
              <w:rFonts w:eastAsia="Arial MT"/>
              <w:b w:val="0"/>
              <w:bCs w:val="0"/>
              <w:sz w:val="16"/>
              <w:szCs w:val="16"/>
            </w:rPr>
            <w:t>COORDENADORIA DE AUDITORIA DE POLÍTICAS EM TECNOLOGIA DA INFORMAÇÃO</w:t>
          </w:r>
        </w:p>
      </w:tc>
      <w:tc>
        <w:tcPr>
          <w:tcW w:w="13466" w:type="dxa"/>
        </w:tcPr>
        <w:p>
          <w:pPr>
            <w:tabs>
              <w:tab w:val="right" w:pos="14034"/>
            </w:tabs>
            <w:autoSpaceDE w:val="0"/>
            <w:autoSpaceDN w:val="0"/>
            <w:adjustRightInd w:val="0"/>
            <w:spacing w:after="120"/>
            <w:ind w:left="-386" w:firstLine="386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FISCALIZAÇÃO</w:t>
          </w:r>
          <w:r>
            <w:rPr>
              <w:rFonts w:ascii="Arial" w:hAnsi="Arial" w:cs="Arial"/>
              <w:sz w:val="18"/>
              <w:szCs w:val="18"/>
            </w:rPr>
            <w:t>: 18/2026</w:t>
          </w:r>
        </w:p>
        <w:p>
          <w:pPr>
            <w:autoSpaceDE w:val="0"/>
            <w:autoSpaceDN w:val="0"/>
            <w:adjustRightInd w:val="0"/>
            <w:spacing w:after="120"/>
            <w:jc w:val="both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JURISDICIONADOS</w:t>
          </w:r>
          <w:r>
            <w:rPr>
              <w:rFonts w:ascii="Arial" w:hAnsi="Arial" w:cs="Arial"/>
              <w:sz w:val="18"/>
              <w:szCs w:val="18"/>
            </w:rPr>
            <w:t>: 119 organizações públicas estaduais e prefeituras municipais</w:t>
          </w:r>
        </w:p>
        <w:p>
          <w:pPr>
            <w:pStyle w:val="Corpodetexto"/>
            <w:spacing w:after="120"/>
            <w:rPr>
              <w:rFonts w:ascii="Arial" w:hAnsi="Arial" w:cs="Arial"/>
              <w:sz w:val="18"/>
              <w:szCs w:val="18"/>
            </w:rPr>
          </w:pPr>
          <w:r>
            <w:rPr>
              <w:rFonts w:ascii="Arial" w:hAnsi="Arial" w:cs="Arial"/>
              <w:b/>
              <w:bCs/>
              <w:sz w:val="18"/>
              <w:szCs w:val="18"/>
            </w:rPr>
            <w:t>OBJETIVO DA AUDITORIA</w:t>
          </w:r>
          <w:r>
            <w:rPr>
              <w:rFonts w:ascii="Arial" w:hAnsi="Arial" w:cs="Arial"/>
              <w:sz w:val="18"/>
              <w:szCs w:val="18"/>
            </w:rPr>
            <w:t>: Avaliar o grau de adoção dos jurisdicionados às boas práticas de governança e gestão de TI.</w:t>
          </w:r>
        </w:p>
      </w:tc>
    </w:tr>
  </w:tbl>
  <w:p w14:paraId="46D62F08" w14:textId="77777777" w:rsidR="0041253F" w:rsidRPr="0041253F" w:rsidRDefault="0041253F" w:rsidP="00ED5C0C">
    <w:pPr>
      <w:jc w:val="center"/>
      <w:rPr>
        <w:bCs/>
        <w:sz w:val="12"/>
        <w:szCs w:val="12"/>
      </w:rPr>
    </w:pPr>
  </w:p>
  <w:p w14:paraId="21D716AE" w14:textId="77777777" w:rsidR="000A68D2" w:rsidRPr="000A68D2" w:rsidRDefault="000A68D2" w:rsidP="009036F0">
    <w:pPr>
      <w:pStyle w:val="Cabealho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AD0F9D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646E12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743530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447353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B24D5A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8913F8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EF121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6A44B0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4A6280D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4FD0E1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ED1196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81A6FC5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921E74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15C6DEF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24F68F6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38C75C7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60B1BC2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7232578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BB91488"/>
    <w:multiLevelType w:val="multilevel"/>
    <w:tmpl w:val="C3B0D8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CFD2E53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9E24BF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1D0C6B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35B6020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6724A2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9355605"/>
    <w:multiLevelType w:val="hybridMultilevel"/>
    <w:tmpl w:val="76C6E454"/>
    <w:lvl w:ilvl="0" w:tplc="0416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9484DD3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6AA75E1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D466097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E626535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720033EC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7B617B57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FF64E15"/>
    <w:multiLevelType w:val="multilevel"/>
    <w:tmpl w:val="73422692"/>
    <w:lvl w:ilvl="0">
      <w:start w:val="1"/>
      <w:numFmt w:val="decimal"/>
      <w:lvlText w:val="%1."/>
      <w:lvlJc w:val="left"/>
      <w:pPr>
        <w:tabs>
          <w:tab w:val="num" w:pos="720"/>
        </w:tabs>
        <w:ind w:left="284" w:hanging="284"/>
      </w:pPr>
      <w:rPr>
        <w:rFonts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97865266">
    <w:abstractNumId w:val="16"/>
  </w:num>
  <w:num w:numId="2" w16cid:durableId="1834295709">
    <w:abstractNumId w:val="22"/>
  </w:num>
  <w:num w:numId="3" w16cid:durableId="1525055315">
    <w:abstractNumId w:val="31"/>
  </w:num>
  <w:num w:numId="4" w16cid:durableId="27876356">
    <w:abstractNumId w:val="29"/>
  </w:num>
  <w:num w:numId="5" w16cid:durableId="1467091359">
    <w:abstractNumId w:val="25"/>
  </w:num>
  <w:num w:numId="6" w16cid:durableId="1722054125">
    <w:abstractNumId w:val="10"/>
  </w:num>
  <w:num w:numId="7" w16cid:durableId="2071927349">
    <w:abstractNumId w:val="9"/>
  </w:num>
  <w:num w:numId="8" w16cid:durableId="130443872">
    <w:abstractNumId w:val="30"/>
  </w:num>
  <w:num w:numId="9" w16cid:durableId="494342606">
    <w:abstractNumId w:val="12"/>
  </w:num>
  <w:num w:numId="10" w16cid:durableId="327833772">
    <w:abstractNumId w:val="13"/>
  </w:num>
  <w:num w:numId="11" w16cid:durableId="288628031">
    <w:abstractNumId w:val="3"/>
  </w:num>
  <w:num w:numId="12" w16cid:durableId="573734544">
    <w:abstractNumId w:val="1"/>
  </w:num>
  <w:num w:numId="13" w16cid:durableId="1842311409">
    <w:abstractNumId w:val="4"/>
  </w:num>
  <w:num w:numId="14" w16cid:durableId="569510883">
    <w:abstractNumId w:val="15"/>
  </w:num>
  <w:num w:numId="15" w16cid:durableId="1717511090">
    <w:abstractNumId w:val="8"/>
  </w:num>
  <w:num w:numId="16" w16cid:durableId="2060934341">
    <w:abstractNumId w:val="11"/>
  </w:num>
  <w:num w:numId="17" w16cid:durableId="209390631">
    <w:abstractNumId w:val="20"/>
  </w:num>
  <w:num w:numId="18" w16cid:durableId="417017120">
    <w:abstractNumId w:val="2"/>
  </w:num>
  <w:num w:numId="19" w16cid:durableId="1833325685">
    <w:abstractNumId w:val="17"/>
  </w:num>
  <w:num w:numId="20" w16cid:durableId="863515728">
    <w:abstractNumId w:val="24"/>
  </w:num>
  <w:num w:numId="21" w16cid:durableId="644553927">
    <w:abstractNumId w:val="0"/>
  </w:num>
  <w:num w:numId="22" w16cid:durableId="1993823490">
    <w:abstractNumId w:val="5"/>
  </w:num>
  <w:num w:numId="23" w16cid:durableId="1566408288">
    <w:abstractNumId w:val="19"/>
  </w:num>
  <w:num w:numId="24" w16cid:durableId="1815444369">
    <w:abstractNumId w:val="28"/>
  </w:num>
  <w:num w:numId="25" w16cid:durableId="1104495893">
    <w:abstractNumId w:val="23"/>
  </w:num>
  <w:num w:numId="26" w16cid:durableId="2080979493">
    <w:abstractNumId w:val="6"/>
  </w:num>
  <w:num w:numId="27" w16cid:durableId="1539198458">
    <w:abstractNumId w:val="26"/>
  </w:num>
  <w:num w:numId="28" w16cid:durableId="749086438">
    <w:abstractNumId w:val="27"/>
  </w:num>
  <w:num w:numId="29" w16cid:durableId="160852745">
    <w:abstractNumId w:val="14"/>
  </w:num>
  <w:num w:numId="30" w16cid:durableId="427389148">
    <w:abstractNumId w:val="21"/>
  </w:num>
  <w:num w:numId="31" w16cid:durableId="1896087562">
    <w:abstractNumId w:val="7"/>
  </w:num>
  <w:num w:numId="32" w16cid:durableId="1645741549">
    <w:abstractNumId w:val="18"/>
  </w:num>
  <w:numIdMacAtCleanup w:val="1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1739A"/>
    <w:rsid w:val="000009DD"/>
    <w:rsid w:val="00000BE4"/>
    <w:rsid w:val="00001226"/>
    <w:rsid w:val="00002785"/>
    <w:rsid w:val="00002BCB"/>
    <w:rsid w:val="00002F98"/>
    <w:rsid w:val="00003A1C"/>
    <w:rsid w:val="0000415B"/>
    <w:rsid w:val="00005867"/>
    <w:rsid w:val="00005909"/>
    <w:rsid w:val="00005E5B"/>
    <w:rsid w:val="00005FC6"/>
    <w:rsid w:val="00006C96"/>
    <w:rsid w:val="000070A6"/>
    <w:rsid w:val="000071E2"/>
    <w:rsid w:val="00007D3E"/>
    <w:rsid w:val="00007D68"/>
    <w:rsid w:val="0001093D"/>
    <w:rsid w:val="00010B84"/>
    <w:rsid w:val="00010B94"/>
    <w:rsid w:val="00010F94"/>
    <w:rsid w:val="00011064"/>
    <w:rsid w:val="00011793"/>
    <w:rsid w:val="00011A33"/>
    <w:rsid w:val="00011B33"/>
    <w:rsid w:val="00011F5F"/>
    <w:rsid w:val="00012102"/>
    <w:rsid w:val="000122B6"/>
    <w:rsid w:val="00013547"/>
    <w:rsid w:val="00014894"/>
    <w:rsid w:val="00015A66"/>
    <w:rsid w:val="00015A9E"/>
    <w:rsid w:val="0001613B"/>
    <w:rsid w:val="00016143"/>
    <w:rsid w:val="0001648E"/>
    <w:rsid w:val="00017401"/>
    <w:rsid w:val="0001764B"/>
    <w:rsid w:val="00017E94"/>
    <w:rsid w:val="00020202"/>
    <w:rsid w:val="0002081B"/>
    <w:rsid w:val="00021A59"/>
    <w:rsid w:val="00021A84"/>
    <w:rsid w:val="0002251E"/>
    <w:rsid w:val="000230C7"/>
    <w:rsid w:val="000230D8"/>
    <w:rsid w:val="0002356A"/>
    <w:rsid w:val="00023BC3"/>
    <w:rsid w:val="00024774"/>
    <w:rsid w:val="00024FD9"/>
    <w:rsid w:val="0002518A"/>
    <w:rsid w:val="0002538F"/>
    <w:rsid w:val="00025A8F"/>
    <w:rsid w:val="00025EA0"/>
    <w:rsid w:val="0002600B"/>
    <w:rsid w:val="00026EBC"/>
    <w:rsid w:val="00027630"/>
    <w:rsid w:val="00027AB9"/>
    <w:rsid w:val="000307B7"/>
    <w:rsid w:val="000308EA"/>
    <w:rsid w:val="0003093E"/>
    <w:rsid w:val="00030DC2"/>
    <w:rsid w:val="00030E2B"/>
    <w:rsid w:val="000310C3"/>
    <w:rsid w:val="000315A3"/>
    <w:rsid w:val="0003183C"/>
    <w:rsid w:val="00031B7B"/>
    <w:rsid w:val="00032DAB"/>
    <w:rsid w:val="000335BC"/>
    <w:rsid w:val="00033A99"/>
    <w:rsid w:val="00033E16"/>
    <w:rsid w:val="00033FC1"/>
    <w:rsid w:val="0003409C"/>
    <w:rsid w:val="00034D38"/>
    <w:rsid w:val="00034EF7"/>
    <w:rsid w:val="000354AB"/>
    <w:rsid w:val="00036758"/>
    <w:rsid w:val="00036A32"/>
    <w:rsid w:val="00036B64"/>
    <w:rsid w:val="00037B57"/>
    <w:rsid w:val="00037F47"/>
    <w:rsid w:val="000406B0"/>
    <w:rsid w:val="00040832"/>
    <w:rsid w:val="00040A57"/>
    <w:rsid w:val="0004101E"/>
    <w:rsid w:val="0004134E"/>
    <w:rsid w:val="0004144D"/>
    <w:rsid w:val="00041CCD"/>
    <w:rsid w:val="00041D78"/>
    <w:rsid w:val="00041FBD"/>
    <w:rsid w:val="00042988"/>
    <w:rsid w:val="00042B16"/>
    <w:rsid w:val="00042EBB"/>
    <w:rsid w:val="000434B2"/>
    <w:rsid w:val="00043933"/>
    <w:rsid w:val="00043A06"/>
    <w:rsid w:val="00043A80"/>
    <w:rsid w:val="00043BA9"/>
    <w:rsid w:val="0004477A"/>
    <w:rsid w:val="00045966"/>
    <w:rsid w:val="00045D00"/>
    <w:rsid w:val="000468AA"/>
    <w:rsid w:val="00046FF2"/>
    <w:rsid w:val="00050588"/>
    <w:rsid w:val="0005089E"/>
    <w:rsid w:val="00050ACE"/>
    <w:rsid w:val="00051731"/>
    <w:rsid w:val="00051DBA"/>
    <w:rsid w:val="00052375"/>
    <w:rsid w:val="0005249E"/>
    <w:rsid w:val="00052B40"/>
    <w:rsid w:val="00052B98"/>
    <w:rsid w:val="00052C6E"/>
    <w:rsid w:val="00052FBF"/>
    <w:rsid w:val="0005310A"/>
    <w:rsid w:val="000533C5"/>
    <w:rsid w:val="000536DF"/>
    <w:rsid w:val="0005385D"/>
    <w:rsid w:val="00053C0D"/>
    <w:rsid w:val="0005467B"/>
    <w:rsid w:val="0005615D"/>
    <w:rsid w:val="00056825"/>
    <w:rsid w:val="00056E0B"/>
    <w:rsid w:val="0005798B"/>
    <w:rsid w:val="00057BC0"/>
    <w:rsid w:val="00060D42"/>
    <w:rsid w:val="000610EF"/>
    <w:rsid w:val="0006135D"/>
    <w:rsid w:val="0006169D"/>
    <w:rsid w:val="00061BA6"/>
    <w:rsid w:val="00061DA4"/>
    <w:rsid w:val="00061DBD"/>
    <w:rsid w:val="00061DF5"/>
    <w:rsid w:val="0006306A"/>
    <w:rsid w:val="000632A7"/>
    <w:rsid w:val="00063707"/>
    <w:rsid w:val="00064637"/>
    <w:rsid w:val="00064831"/>
    <w:rsid w:val="000650FA"/>
    <w:rsid w:val="00065428"/>
    <w:rsid w:val="00065DF2"/>
    <w:rsid w:val="00066E80"/>
    <w:rsid w:val="00066FB1"/>
    <w:rsid w:val="00067795"/>
    <w:rsid w:val="000678A3"/>
    <w:rsid w:val="00067933"/>
    <w:rsid w:val="00070335"/>
    <w:rsid w:val="00070767"/>
    <w:rsid w:val="00070AE8"/>
    <w:rsid w:val="000716B0"/>
    <w:rsid w:val="00071869"/>
    <w:rsid w:val="00072225"/>
    <w:rsid w:val="00072C66"/>
    <w:rsid w:val="000733AF"/>
    <w:rsid w:val="0007378B"/>
    <w:rsid w:val="00073D3F"/>
    <w:rsid w:val="000743D7"/>
    <w:rsid w:val="00074447"/>
    <w:rsid w:val="000749C9"/>
    <w:rsid w:val="00074E65"/>
    <w:rsid w:val="00075639"/>
    <w:rsid w:val="00075AE5"/>
    <w:rsid w:val="000761FF"/>
    <w:rsid w:val="00076244"/>
    <w:rsid w:val="00076C0B"/>
    <w:rsid w:val="00077113"/>
    <w:rsid w:val="000776B2"/>
    <w:rsid w:val="000777A5"/>
    <w:rsid w:val="0007781D"/>
    <w:rsid w:val="000779F0"/>
    <w:rsid w:val="00077F74"/>
    <w:rsid w:val="000800E0"/>
    <w:rsid w:val="00080166"/>
    <w:rsid w:val="00080692"/>
    <w:rsid w:val="00080F6C"/>
    <w:rsid w:val="000815FD"/>
    <w:rsid w:val="00081624"/>
    <w:rsid w:val="000818F5"/>
    <w:rsid w:val="000820EA"/>
    <w:rsid w:val="00082523"/>
    <w:rsid w:val="0008253A"/>
    <w:rsid w:val="000825D5"/>
    <w:rsid w:val="00082CCE"/>
    <w:rsid w:val="00083207"/>
    <w:rsid w:val="00083597"/>
    <w:rsid w:val="0008359A"/>
    <w:rsid w:val="00084CF8"/>
    <w:rsid w:val="00084D33"/>
    <w:rsid w:val="00084F31"/>
    <w:rsid w:val="0008517E"/>
    <w:rsid w:val="00085B13"/>
    <w:rsid w:val="0008634F"/>
    <w:rsid w:val="00086B7F"/>
    <w:rsid w:val="0008706D"/>
    <w:rsid w:val="000876B9"/>
    <w:rsid w:val="00090799"/>
    <w:rsid w:val="000908ED"/>
    <w:rsid w:val="000909F2"/>
    <w:rsid w:val="00091068"/>
    <w:rsid w:val="00091820"/>
    <w:rsid w:val="00091F06"/>
    <w:rsid w:val="000925E6"/>
    <w:rsid w:val="000927A3"/>
    <w:rsid w:val="00092D66"/>
    <w:rsid w:val="00093327"/>
    <w:rsid w:val="00094067"/>
    <w:rsid w:val="000946B0"/>
    <w:rsid w:val="00095947"/>
    <w:rsid w:val="00096DEF"/>
    <w:rsid w:val="00097268"/>
    <w:rsid w:val="00097609"/>
    <w:rsid w:val="0009779B"/>
    <w:rsid w:val="000A0C75"/>
    <w:rsid w:val="000A10D3"/>
    <w:rsid w:val="000A1729"/>
    <w:rsid w:val="000A1DA5"/>
    <w:rsid w:val="000A2E7D"/>
    <w:rsid w:val="000A33AE"/>
    <w:rsid w:val="000A36B1"/>
    <w:rsid w:val="000A3B99"/>
    <w:rsid w:val="000A3C50"/>
    <w:rsid w:val="000A3E17"/>
    <w:rsid w:val="000A3F5F"/>
    <w:rsid w:val="000A4C56"/>
    <w:rsid w:val="000A588A"/>
    <w:rsid w:val="000A624A"/>
    <w:rsid w:val="000A6589"/>
    <w:rsid w:val="000A6618"/>
    <w:rsid w:val="000A68D2"/>
    <w:rsid w:val="000B04FA"/>
    <w:rsid w:val="000B09C5"/>
    <w:rsid w:val="000B0FAE"/>
    <w:rsid w:val="000B1794"/>
    <w:rsid w:val="000B2BE1"/>
    <w:rsid w:val="000B31AE"/>
    <w:rsid w:val="000B3900"/>
    <w:rsid w:val="000B3AD8"/>
    <w:rsid w:val="000B4649"/>
    <w:rsid w:val="000B4EB7"/>
    <w:rsid w:val="000B530D"/>
    <w:rsid w:val="000B53C5"/>
    <w:rsid w:val="000B53C8"/>
    <w:rsid w:val="000B56A3"/>
    <w:rsid w:val="000B5E73"/>
    <w:rsid w:val="000B7A3F"/>
    <w:rsid w:val="000B7E93"/>
    <w:rsid w:val="000C2252"/>
    <w:rsid w:val="000C2C67"/>
    <w:rsid w:val="000C2DB9"/>
    <w:rsid w:val="000C38A2"/>
    <w:rsid w:val="000C4193"/>
    <w:rsid w:val="000C487D"/>
    <w:rsid w:val="000C675A"/>
    <w:rsid w:val="000C67D5"/>
    <w:rsid w:val="000C700D"/>
    <w:rsid w:val="000C7881"/>
    <w:rsid w:val="000C78D0"/>
    <w:rsid w:val="000D09A1"/>
    <w:rsid w:val="000D0A9A"/>
    <w:rsid w:val="000D1888"/>
    <w:rsid w:val="000D1AE6"/>
    <w:rsid w:val="000D1EA8"/>
    <w:rsid w:val="000D3176"/>
    <w:rsid w:val="000D3D36"/>
    <w:rsid w:val="000D3F42"/>
    <w:rsid w:val="000D4C1D"/>
    <w:rsid w:val="000D5743"/>
    <w:rsid w:val="000D5EB4"/>
    <w:rsid w:val="000D76E8"/>
    <w:rsid w:val="000D79A9"/>
    <w:rsid w:val="000E00EC"/>
    <w:rsid w:val="000E0978"/>
    <w:rsid w:val="000E09AA"/>
    <w:rsid w:val="000E0B92"/>
    <w:rsid w:val="000E0E64"/>
    <w:rsid w:val="000E155A"/>
    <w:rsid w:val="000E1962"/>
    <w:rsid w:val="000E244A"/>
    <w:rsid w:val="000E2CDE"/>
    <w:rsid w:val="000E3C38"/>
    <w:rsid w:val="000E4775"/>
    <w:rsid w:val="000E4A89"/>
    <w:rsid w:val="000E516E"/>
    <w:rsid w:val="000E56CB"/>
    <w:rsid w:val="000E5E8E"/>
    <w:rsid w:val="000E6420"/>
    <w:rsid w:val="000E65AB"/>
    <w:rsid w:val="000E66D0"/>
    <w:rsid w:val="000E6A95"/>
    <w:rsid w:val="000E6E19"/>
    <w:rsid w:val="000E7249"/>
    <w:rsid w:val="000E78D6"/>
    <w:rsid w:val="000E7F37"/>
    <w:rsid w:val="000F05D8"/>
    <w:rsid w:val="000F0DB0"/>
    <w:rsid w:val="000F0EB9"/>
    <w:rsid w:val="000F108A"/>
    <w:rsid w:val="000F1445"/>
    <w:rsid w:val="000F2DF9"/>
    <w:rsid w:val="000F2FA3"/>
    <w:rsid w:val="000F57FC"/>
    <w:rsid w:val="000F60B4"/>
    <w:rsid w:val="000F6298"/>
    <w:rsid w:val="000F655B"/>
    <w:rsid w:val="000F7859"/>
    <w:rsid w:val="00100A34"/>
    <w:rsid w:val="00101170"/>
    <w:rsid w:val="001011F7"/>
    <w:rsid w:val="0010133B"/>
    <w:rsid w:val="0010150B"/>
    <w:rsid w:val="00101D07"/>
    <w:rsid w:val="00102037"/>
    <w:rsid w:val="00102A7D"/>
    <w:rsid w:val="001031D7"/>
    <w:rsid w:val="00103423"/>
    <w:rsid w:val="00103B63"/>
    <w:rsid w:val="00104322"/>
    <w:rsid w:val="00104BD4"/>
    <w:rsid w:val="00104D5E"/>
    <w:rsid w:val="00104DFD"/>
    <w:rsid w:val="001051F1"/>
    <w:rsid w:val="00106AF2"/>
    <w:rsid w:val="0010738C"/>
    <w:rsid w:val="00107448"/>
    <w:rsid w:val="00110308"/>
    <w:rsid w:val="001104C5"/>
    <w:rsid w:val="001106E7"/>
    <w:rsid w:val="0011099E"/>
    <w:rsid w:val="00110E29"/>
    <w:rsid w:val="00111631"/>
    <w:rsid w:val="00111BB7"/>
    <w:rsid w:val="00112218"/>
    <w:rsid w:val="00112CF1"/>
    <w:rsid w:val="00112D50"/>
    <w:rsid w:val="00112F81"/>
    <w:rsid w:val="001133C0"/>
    <w:rsid w:val="00113567"/>
    <w:rsid w:val="00113CF7"/>
    <w:rsid w:val="00113ED2"/>
    <w:rsid w:val="00113F4A"/>
    <w:rsid w:val="001146A5"/>
    <w:rsid w:val="00114C51"/>
    <w:rsid w:val="00114CEB"/>
    <w:rsid w:val="00115B90"/>
    <w:rsid w:val="001163B0"/>
    <w:rsid w:val="001173F3"/>
    <w:rsid w:val="001176B6"/>
    <w:rsid w:val="00120674"/>
    <w:rsid w:val="00120948"/>
    <w:rsid w:val="001209CF"/>
    <w:rsid w:val="00120BF1"/>
    <w:rsid w:val="001211CB"/>
    <w:rsid w:val="00121282"/>
    <w:rsid w:val="001212B0"/>
    <w:rsid w:val="001216C5"/>
    <w:rsid w:val="00121DC0"/>
    <w:rsid w:val="001220E1"/>
    <w:rsid w:val="001220FE"/>
    <w:rsid w:val="0012246A"/>
    <w:rsid w:val="00122A8D"/>
    <w:rsid w:val="00123A00"/>
    <w:rsid w:val="00124604"/>
    <w:rsid w:val="00124F1F"/>
    <w:rsid w:val="00126245"/>
    <w:rsid w:val="00126920"/>
    <w:rsid w:val="00127242"/>
    <w:rsid w:val="00127435"/>
    <w:rsid w:val="00130A1E"/>
    <w:rsid w:val="00130C72"/>
    <w:rsid w:val="00131949"/>
    <w:rsid w:val="00131A78"/>
    <w:rsid w:val="00132AD7"/>
    <w:rsid w:val="00133F35"/>
    <w:rsid w:val="001340BB"/>
    <w:rsid w:val="00134847"/>
    <w:rsid w:val="00134A38"/>
    <w:rsid w:val="00134F8C"/>
    <w:rsid w:val="001357E9"/>
    <w:rsid w:val="0013597B"/>
    <w:rsid w:val="0013614A"/>
    <w:rsid w:val="0013624B"/>
    <w:rsid w:val="00136487"/>
    <w:rsid w:val="0013661E"/>
    <w:rsid w:val="00136C81"/>
    <w:rsid w:val="00137034"/>
    <w:rsid w:val="0013738A"/>
    <w:rsid w:val="001373C0"/>
    <w:rsid w:val="0013747F"/>
    <w:rsid w:val="00137BC8"/>
    <w:rsid w:val="0014030B"/>
    <w:rsid w:val="00140385"/>
    <w:rsid w:val="00140DC3"/>
    <w:rsid w:val="00141967"/>
    <w:rsid w:val="001420BD"/>
    <w:rsid w:val="001420EB"/>
    <w:rsid w:val="00142143"/>
    <w:rsid w:val="0014258E"/>
    <w:rsid w:val="00142699"/>
    <w:rsid w:val="00142A61"/>
    <w:rsid w:val="00142C1C"/>
    <w:rsid w:val="00142F0B"/>
    <w:rsid w:val="001435F5"/>
    <w:rsid w:val="00143A4E"/>
    <w:rsid w:val="00143D3D"/>
    <w:rsid w:val="00143E2D"/>
    <w:rsid w:val="00144523"/>
    <w:rsid w:val="001445B6"/>
    <w:rsid w:val="00144D96"/>
    <w:rsid w:val="001474B4"/>
    <w:rsid w:val="00150F7E"/>
    <w:rsid w:val="001511CA"/>
    <w:rsid w:val="00151844"/>
    <w:rsid w:val="00151869"/>
    <w:rsid w:val="001528C5"/>
    <w:rsid w:val="001530AF"/>
    <w:rsid w:val="0015319A"/>
    <w:rsid w:val="00153482"/>
    <w:rsid w:val="00154C7F"/>
    <w:rsid w:val="001553E4"/>
    <w:rsid w:val="00155436"/>
    <w:rsid w:val="00155DA2"/>
    <w:rsid w:val="001561C7"/>
    <w:rsid w:val="001561D3"/>
    <w:rsid w:val="001563E2"/>
    <w:rsid w:val="001565D8"/>
    <w:rsid w:val="00156902"/>
    <w:rsid w:val="00156D5F"/>
    <w:rsid w:val="00156DFC"/>
    <w:rsid w:val="00156E91"/>
    <w:rsid w:val="00156EAE"/>
    <w:rsid w:val="00157122"/>
    <w:rsid w:val="001575CC"/>
    <w:rsid w:val="00157679"/>
    <w:rsid w:val="001576B5"/>
    <w:rsid w:val="0016059B"/>
    <w:rsid w:val="00160A5E"/>
    <w:rsid w:val="00161263"/>
    <w:rsid w:val="0016138E"/>
    <w:rsid w:val="0016159C"/>
    <w:rsid w:val="0016182A"/>
    <w:rsid w:val="0016183A"/>
    <w:rsid w:val="00161C1C"/>
    <w:rsid w:val="00162254"/>
    <w:rsid w:val="001622D6"/>
    <w:rsid w:val="00162518"/>
    <w:rsid w:val="00162570"/>
    <w:rsid w:val="001625CE"/>
    <w:rsid w:val="001626F9"/>
    <w:rsid w:val="0016297C"/>
    <w:rsid w:val="00162C6F"/>
    <w:rsid w:val="00163491"/>
    <w:rsid w:val="0016354C"/>
    <w:rsid w:val="001635A6"/>
    <w:rsid w:val="0016370E"/>
    <w:rsid w:val="00163823"/>
    <w:rsid w:val="00163C52"/>
    <w:rsid w:val="00163D04"/>
    <w:rsid w:val="00163F56"/>
    <w:rsid w:val="00164D76"/>
    <w:rsid w:val="00164EE8"/>
    <w:rsid w:val="00165074"/>
    <w:rsid w:val="0016598F"/>
    <w:rsid w:val="001659EE"/>
    <w:rsid w:val="00166B34"/>
    <w:rsid w:val="00166E3A"/>
    <w:rsid w:val="001672CD"/>
    <w:rsid w:val="001674B1"/>
    <w:rsid w:val="00167600"/>
    <w:rsid w:val="00167E32"/>
    <w:rsid w:val="00167F4F"/>
    <w:rsid w:val="001701AD"/>
    <w:rsid w:val="0017090A"/>
    <w:rsid w:val="00170976"/>
    <w:rsid w:val="00170ABE"/>
    <w:rsid w:val="00172222"/>
    <w:rsid w:val="001725FF"/>
    <w:rsid w:val="00172A64"/>
    <w:rsid w:val="00172BDC"/>
    <w:rsid w:val="00172F7F"/>
    <w:rsid w:val="00174497"/>
    <w:rsid w:val="00174521"/>
    <w:rsid w:val="00174575"/>
    <w:rsid w:val="001759AA"/>
    <w:rsid w:val="00175D60"/>
    <w:rsid w:val="00175E21"/>
    <w:rsid w:val="00176317"/>
    <w:rsid w:val="00176A1C"/>
    <w:rsid w:val="00176C58"/>
    <w:rsid w:val="001778BD"/>
    <w:rsid w:val="00177AEA"/>
    <w:rsid w:val="00177E16"/>
    <w:rsid w:val="00180301"/>
    <w:rsid w:val="00180725"/>
    <w:rsid w:val="001807F0"/>
    <w:rsid w:val="00180E5D"/>
    <w:rsid w:val="00181C6C"/>
    <w:rsid w:val="00182626"/>
    <w:rsid w:val="00182767"/>
    <w:rsid w:val="00182819"/>
    <w:rsid w:val="00183399"/>
    <w:rsid w:val="00183E8B"/>
    <w:rsid w:val="00185005"/>
    <w:rsid w:val="001850FF"/>
    <w:rsid w:val="0018524F"/>
    <w:rsid w:val="00186FA2"/>
    <w:rsid w:val="00187127"/>
    <w:rsid w:val="0018759C"/>
    <w:rsid w:val="0018793C"/>
    <w:rsid w:val="0019009C"/>
    <w:rsid w:val="00191BF6"/>
    <w:rsid w:val="00192944"/>
    <w:rsid w:val="00192EF8"/>
    <w:rsid w:val="00193532"/>
    <w:rsid w:val="001939C5"/>
    <w:rsid w:val="001942E2"/>
    <w:rsid w:val="001945DC"/>
    <w:rsid w:val="00194834"/>
    <w:rsid w:val="00195496"/>
    <w:rsid w:val="00195E2F"/>
    <w:rsid w:val="0019631A"/>
    <w:rsid w:val="00196794"/>
    <w:rsid w:val="00196854"/>
    <w:rsid w:val="00196C6E"/>
    <w:rsid w:val="001977AE"/>
    <w:rsid w:val="001A0165"/>
    <w:rsid w:val="001A01DB"/>
    <w:rsid w:val="001A03F4"/>
    <w:rsid w:val="001A03FD"/>
    <w:rsid w:val="001A0710"/>
    <w:rsid w:val="001A1AE1"/>
    <w:rsid w:val="001A1B27"/>
    <w:rsid w:val="001A1F10"/>
    <w:rsid w:val="001A291D"/>
    <w:rsid w:val="001A2C49"/>
    <w:rsid w:val="001A30B1"/>
    <w:rsid w:val="001A326F"/>
    <w:rsid w:val="001A3AB2"/>
    <w:rsid w:val="001A4005"/>
    <w:rsid w:val="001A4343"/>
    <w:rsid w:val="001A455A"/>
    <w:rsid w:val="001A46E3"/>
    <w:rsid w:val="001A55A7"/>
    <w:rsid w:val="001A5652"/>
    <w:rsid w:val="001A5AFA"/>
    <w:rsid w:val="001A625B"/>
    <w:rsid w:val="001A65DB"/>
    <w:rsid w:val="001A6A14"/>
    <w:rsid w:val="001A6ED1"/>
    <w:rsid w:val="001A77B7"/>
    <w:rsid w:val="001B1E8D"/>
    <w:rsid w:val="001B278B"/>
    <w:rsid w:val="001B2E52"/>
    <w:rsid w:val="001B349A"/>
    <w:rsid w:val="001B394D"/>
    <w:rsid w:val="001B3FC7"/>
    <w:rsid w:val="001B4AFF"/>
    <w:rsid w:val="001B4B99"/>
    <w:rsid w:val="001B5647"/>
    <w:rsid w:val="001B5FA7"/>
    <w:rsid w:val="001B6238"/>
    <w:rsid w:val="001B64B7"/>
    <w:rsid w:val="001B708D"/>
    <w:rsid w:val="001C0BE2"/>
    <w:rsid w:val="001C0C2B"/>
    <w:rsid w:val="001C2188"/>
    <w:rsid w:val="001C3D2E"/>
    <w:rsid w:val="001C43F0"/>
    <w:rsid w:val="001C44A7"/>
    <w:rsid w:val="001C5465"/>
    <w:rsid w:val="001C5D6C"/>
    <w:rsid w:val="001C6048"/>
    <w:rsid w:val="001C6A96"/>
    <w:rsid w:val="001C7F8E"/>
    <w:rsid w:val="001D04D4"/>
    <w:rsid w:val="001D05C9"/>
    <w:rsid w:val="001D1121"/>
    <w:rsid w:val="001D1F6C"/>
    <w:rsid w:val="001D23BD"/>
    <w:rsid w:val="001D2829"/>
    <w:rsid w:val="001D3404"/>
    <w:rsid w:val="001D38A9"/>
    <w:rsid w:val="001D3C2C"/>
    <w:rsid w:val="001D4820"/>
    <w:rsid w:val="001D4F02"/>
    <w:rsid w:val="001D53F4"/>
    <w:rsid w:val="001D563D"/>
    <w:rsid w:val="001D5FAF"/>
    <w:rsid w:val="001D5FF9"/>
    <w:rsid w:val="001D6400"/>
    <w:rsid w:val="001D71A2"/>
    <w:rsid w:val="001D759E"/>
    <w:rsid w:val="001D7766"/>
    <w:rsid w:val="001D7E0D"/>
    <w:rsid w:val="001E0439"/>
    <w:rsid w:val="001E0D3C"/>
    <w:rsid w:val="001E0F4C"/>
    <w:rsid w:val="001E1186"/>
    <w:rsid w:val="001E1235"/>
    <w:rsid w:val="001E12A0"/>
    <w:rsid w:val="001E1439"/>
    <w:rsid w:val="001E184E"/>
    <w:rsid w:val="001E18A1"/>
    <w:rsid w:val="001E1D25"/>
    <w:rsid w:val="001E21A3"/>
    <w:rsid w:val="001E2C87"/>
    <w:rsid w:val="001E3B81"/>
    <w:rsid w:val="001E3E00"/>
    <w:rsid w:val="001E438F"/>
    <w:rsid w:val="001E4471"/>
    <w:rsid w:val="001E4AED"/>
    <w:rsid w:val="001E4D4E"/>
    <w:rsid w:val="001E4ED5"/>
    <w:rsid w:val="001E4F5A"/>
    <w:rsid w:val="001E5349"/>
    <w:rsid w:val="001E540D"/>
    <w:rsid w:val="001E5C16"/>
    <w:rsid w:val="001E5D3D"/>
    <w:rsid w:val="001E62C9"/>
    <w:rsid w:val="001E6730"/>
    <w:rsid w:val="001E698D"/>
    <w:rsid w:val="001E78B2"/>
    <w:rsid w:val="001F2A34"/>
    <w:rsid w:val="001F34E0"/>
    <w:rsid w:val="001F3550"/>
    <w:rsid w:val="001F36B7"/>
    <w:rsid w:val="001F3D8D"/>
    <w:rsid w:val="001F3DD3"/>
    <w:rsid w:val="001F416B"/>
    <w:rsid w:val="001F4775"/>
    <w:rsid w:val="001F48CD"/>
    <w:rsid w:val="001F4ACB"/>
    <w:rsid w:val="001F4FB3"/>
    <w:rsid w:val="001F5B5D"/>
    <w:rsid w:val="001F6CDF"/>
    <w:rsid w:val="001F6F68"/>
    <w:rsid w:val="001F7302"/>
    <w:rsid w:val="001F74C1"/>
    <w:rsid w:val="001F7D57"/>
    <w:rsid w:val="001F7DAC"/>
    <w:rsid w:val="001F7E12"/>
    <w:rsid w:val="001F7EEF"/>
    <w:rsid w:val="002001BE"/>
    <w:rsid w:val="00200253"/>
    <w:rsid w:val="002010F3"/>
    <w:rsid w:val="00201AF9"/>
    <w:rsid w:val="00201BC2"/>
    <w:rsid w:val="002027B6"/>
    <w:rsid w:val="00203240"/>
    <w:rsid w:val="002034F6"/>
    <w:rsid w:val="00203E1C"/>
    <w:rsid w:val="002040D8"/>
    <w:rsid w:val="00205054"/>
    <w:rsid w:val="002050B7"/>
    <w:rsid w:val="002058B9"/>
    <w:rsid w:val="00206019"/>
    <w:rsid w:val="00206375"/>
    <w:rsid w:val="0020686E"/>
    <w:rsid w:val="00206AB0"/>
    <w:rsid w:val="00206BF5"/>
    <w:rsid w:val="00206F02"/>
    <w:rsid w:val="00207268"/>
    <w:rsid w:val="00207A43"/>
    <w:rsid w:val="00207D41"/>
    <w:rsid w:val="002100EC"/>
    <w:rsid w:val="00210224"/>
    <w:rsid w:val="0021056F"/>
    <w:rsid w:val="00210B17"/>
    <w:rsid w:val="00211D87"/>
    <w:rsid w:val="0021252A"/>
    <w:rsid w:val="00212646"/>
    <w:rsid w:val="002128C4"/>
    <w:rsid w:val="0021404E"/>
    <w:rsid w:val="002149A8"/>
    <w:rsid w:val="00214D37"/>
    <w:rsid w:val="00214F60"/>
    <w:rsid w:val="002154FE"/>
    <w:rsid w:val="00215616"/>
    <w:rsid w:val="002157F1"/>
    <w:rsid w:val="002161FB"/>
    <w:rsid w:val="00216486"/>
    <w:rsid w:val="00216DBF"/>
    <w:rsid w:val="00216EC1"/>
    <w:rsid w:val="002171FD"/>
    <w:rsid w:val="00217F05"/>
    <w:rsid w:val="00220165"/>
    <w:rsid w:val="002208B4"/>
    <w:rsid w:val="00220EBB"/>
    <w:rsid w:val="002211CC"/>
    <w:rsid w:val="002213DC"/>
    <w:rsid w:val="00221712"/>
    <w:rsid w:val="0022189F"/>
    <w:rsid w:val="00222386"/>
    <w:rsid w:val="00222A23"/>
    <w:rsid w:val="00222F7A"/>
    <w:rsid w:val="002233E8"/>
    <w:rsid w:val="00223588"/>
    <w:rsid w:val="00224452"/>
    <w:rsid w:val="0022448A"/>
    <w:rsid w:val="002246FB"/>
    <w:rsid w:val="0022523A"/>
    <w:rsid w:val="0022570B"/>
    <w:rsid w:val="00225A39"/>
    <w:rsid w:val="00225E91"/>
    <w:rsid w:val="002263AE"/>
    <w:rsid w:val="0022667F"/>
    <w:rsid w:val="00226B4D"/>
    <w:rsid w:val="00227138"/>
    <w:rsid w:val="00227281"/>
    <w:rsid w:val="002277FA"/>
    <w:rsid w:val="002279FA"/>
    <w:rsid w:val="00227AEB"/>
    <w:rsid w:val="00230AFE"/>
    <w:rsid w:val="0023101F"/>
    <w:rsid w:val="0023131C"/>
    <w:rsid w:val="00231765"/>
    <w:rsid w:val="002318F1"/>
    <w:rsid w:val="00231B6E"/>
    <w:rsid w:val="002326B9"/>
    <w:rsid w:val="002326E8"/>
    <w:rsid w:val="00232CB5"/>
    <w:rsid w:val="00232F3C"/>
    <w:rsid w:val="0023302B"/>
    <w:rsid w:val="00233625"/>
    <w:rsid w:val="00233BDE"/>
    <w:rsid w:val="002349DA"/>
    <w:rsid w:val="00234A55"/>
    <w:rsid w:val="00234BA8"/>
    <w:rsid w:val="00234C98"/>
    <w:rsid w:val="00235E74"/>
    <w:rsid w:val="0023611D"/>
    <w:rsid w:val="002365E5"/>
    <w:rsid w:val="00236723"/>
    <w:rsid w:val="002367C4"/>
    <w:rsid w:val="00236817"/>
    <w:rsid w:val="0023681C"/>
    <w:rsid w:val="00236A6B"/>
    <w:rsid w:val="00240072"/>
    <w:rsid w:val="00240187"/>
    <w:rsid w:val="002407D6"/>
    <w:rsid w:val="002413F3"/>
    <w:rsid w:val="00241513"/>
    <w:rsid w:val="002416DC"/>
    <w:rsid w:val="00241D31"/>
    <w:rsid w:val="002424B0"/>
    <w:rsid w:val="0024272E"/>
    <w:rsid w:val="00243881"/>
    <w:rsid w:val="00243FB1"/>
    <w:rsid w:val="00244E0B"/>
    <w:rsid w:val="00245E02"/>
    <w:rsid w:val="00245F05"/>
    <w:rsid w:val="0024623A"/>
    <w:rsid w:val="00247180"/>
    <w:rsid w:val="00247328"/>
    <w:rsid w:val="0024733E"/>
    <w:rsid w:val="00247342"/>
    <w:rsid w:val="002479BD"/>
    <w:rsid w:val="00247A8B"/>
    <w:rsid w:val="002501BB"/>
    <w:rsid w:val="00250870"/>
    <w:rsid w:val="00251589"/>
    <w:rsid w:val="00251CDE"/>
    <w:rsid w:val="00251E03"/>
    <w:rsid w:val="0025207F"/>
    <w:rsid w:val="00252211"/>
    <w:rsid w:val="002524C1"/>
    <w:rsid w:val="002526B1"/>
    <w:rsid w:val="00252C67"/>
    <w:rsid w:val="00253075"/>
    <w:rsid w:val="00253846"/>
    <w:rsid w:val="00253852"/>
    <w:rsid w:val="00253E3F"/>
    <w:rsid w:val="00254376"/>
    <w:rsid w:val="00255108"/>
    <w:rsid w:val="00255326"/>
    <w:rsid w:val="002555FA"/>
    <w:rsid w:val="002556F1"/>
    <w:rsid w:val="002557A6"/>
    <w:rsid w:val="00256870"/>
    <w:rsid w:val="00256DEC"/>
    <w:rsid w:val="0025777D"/>
    <w:rsid w:val="00257FCB"/>
    <w:rsid w:val="002600C6"/>
    <w:rsid w:val="00260B3F"/>
    <w:rsid w:val="00260EB1"/>
    <w:rsid w:val="00261067"/>
    <w:rsid w:val="0026159D"/>
    <w:rsid w:val="00262247"/>
    <w:rsid w:val="00262E89"/>
    <w:rsid w:val="00263267"/>
    <w:rsid w:val="002632D8"/>
    <w:rsid w:val="00263BED"/>
    <w:rsid w:val="00264E3C"/>
    <w:rsid w:val="0026511E"/>
    <w:rsid w:val="002651E2"/>
    <w:rsid w:val="00265AE8"/>
    <w:rsid w:val="00265DCC"/>
    <w:rsid w:val="00266EBB"/>
    <w:rsid w:val="002670B2"/>
    <w:rsid w:val="002678ED"/>
    <w:rsid w:val="00267929"/>
    <w:rsid w:val="00267F62"/>
    <w:rsid w:val="00271030"/>
    <w:rsid w:val="002711B2"/>
    <w:rsid w:val="00271BF4"/>
    <w:rsid w:val="00274E96"/>
    <w:rsid w:val="00275411"/>
    <w:rsid w:val="00275A5F"/>
    <w:rsid w:val="0027604E"/>
    <w:rsid w:val="0027628E"/>
    <w:rsid w:val="002767D6"/>
    <w:rsid w:val="0027686C"/>
    <w:rsid w:val="002769AE"/>
    <w:rsid w:val="00276C12"/>
    <w:rsid w:val="0028014F"/>
    <w:rsid w:val="00280562"/>
    <w:rsid w:val="00281E49"/>
    <w:rsid w:val="00282E61"/>
    <w:rsid w:val="00282FF8"/>
    <w:rsid w:val="00283756"/>
    <w:rsid w:val="002837CF"/>
    <w:rsid w:val="002839D6"/>
    <w:rsid w:val="0028474B"/>
    <w:rsid w:val="00284755"/>
    <w:rsid w:val="00284F7A"/>
    <w:rsid w:val="00285269"/>
    <w:rsid w:val="002859B7"/>
    <w:rsid w:val="00285C64"/>
    <w:rsid w:val="002873EC"/>
    <w:rsid w:val="0029007A"/>
    <w:rsid w:val="0029016E"/>
    <w:rsid w:val="0029069F"/>
    <w:rsid w:val="00290EEC"/>
    <w:rsid w:val="0029158E"/>
    <w:rsid w:val="00291752"/>
    <w:rsid w:val="00291B6A"/>
    <w:rsid w:val="00291B90"/>
    <w:rsid w:val="00291F64"/>
    <w:rsid w:val="002925BB"/>
    <w:rsid w:val="00292F49"/>
    <w:rsid w:val="00293152"/>
    <w:rsid w:val="002935F0"/>
    <w:rsid w:val="002936B4"/>
    <w:rsid w:val="00293912"/>
    <w:rsid w:val="00293A47"/>
    <w:rsid w:val="00293FCC"/>
    <w:rsid w:val="002954F1"/>
    <w:rsid w:val="00295909"/>
    <w:rsid w:val="0029632E"/>
    <w:rsid w:val="00296DB2"/>
    <w:rsid w:val="002971F9"/>
    <w:rsid w:val="00297488"/>
    <w:rsid w:val="0029764B"/>
    <w:rsid w:val="00297679"/>
    <w:rsid w:val="002A03E2"/>
    <w:rsid w:val="002A0FBF"/>
    <w:rsid w:val="002A1097"/>
    <w:rsid w:val="002A13D1"/>
    <w:rsid w:val="002A1BBF"/>
    <w:rsid w:val="002A1F96"/>
    <w:rsid w:val="002A1FAD"/>
    <w:rsid w:val="002A25AC"/>
    <w:rsid w:val="002A27E0"/>
    <w:rsid w:val="002A2E6A"/>
    <w:rsid w:val="002A3673"/>
    <w:rsid w:val="002A375F"/>
    <w:rsid w:val="002A3C63"/>
    <w:rsid w:val="002A3E12"/>
    <w:rsid w:val="002A42EE"/>
    <w:rsid w:val="002A462E"/>
    <w:rsid w:val="002A4B4D"/>
    <w:rsid w:val="002A5036"/>
    <w:rsid w:val="002A5258"/>
    <w:rsid w:val="002A5B41"/>
    <w:rsid w:val="002A5B44"/>
    <w:rsid w:val="002A618F"/>
    <w:rsid w:val="002A661D"/>
    <w:rsid w:val="002A6ABE"/>
    <w:rsid w:val="002A6ABF"/>
    <w:rsid w:val="002A76C6"/>
    <w:rsid w:val="002A7720"/>
    <w:rsid w:val="002B035D"/>
    <w:rsid w:val="002B0CF6"/>
    <w:rsid w:val="002B13AB"/>
    <w:rsid w:val="002B16FD"/>
    <w:rsid w:val="002B1BFB"/>
    <w:rsid w:val="002B327F"/>
    <w:rsid w:val="002B3A1C"/>
    <w:rsid w:val="002B3C7B"/>
    <w:rsid w:val="002B402E"/>
    <w:rsid w:val="002B4062"/>
    <w:rsid w:val="002B437E"/>
    <w:rsid w:val="002B443B"/>
    <w:rsid w:val="002B4825"/>
    <w:rsid w:val="002B491B"/>
    <w:rsid w:val="002B4B69"/>
    <w:rsid w:val="002B5095"/>
    <w:rsid w:val="002B53AC"/>
    <w:rsid w:val="002B6605"/>
    <w:rsid w:val="002B6D2B"/>
    <w:rsid w:val="002B736C"/>
    <w:rsid w:val="002B7A0D"/>
    <w:rsid w:val="002C07A2"/>
    <w:rsid w:val="002C094B"/>
    <w:rsid w:val="002C0D9D"/>
    <w:rsid w:val="002C0DBF"/>
    <w:rsid w:val="002C16C1"/>
    <w:rsid w:val="002C16F1"/>
    <w:rsid w:val="002C1A8F"/>
    <w:rsid w:val="002C2D8F"/>
    <w:rsid w:val="002C32AF"/>
    <w:rsid w:val="002C331E"/>
    <w:rsid w:val="002C3323"/>
    <w:rsid w:val="002C34E3"/>
    <w:rsid w:val="002C3F8B"/>
    <w:rsid w:val="002C5A01"/>
    <w:rsid w:val="002C5F4D"/>
    <w:rsid w:val="002C61ED"/>
    <w:rsid w:val="002C6CE1"/>
    <w:rsid w:val="002C6FC8"/>
    <w:rsid w:val="002C7AC9"/>
    <w:rsid w:val="002C7E67"/>
    <w:rsid w:val="002D0267"/>
    <w:rsid w:val="002D06BA"/>
    <w:rsid w:val="002D123E"/>
    <w:rsid w:val="002D27F3"/>
    <w:rsid w:val="002D2960"/>
    <w:rsid w:val="002D2D31"/>
    <w:rsid w:val="002D2F16"/>
    <w:rsid w:val="002D2F30"/>
    <w:rsid w:val="002D30A8"/>
    <w:rsid w:val="002D3B10"/>
    <w:rsid w:val="002D43B4"/>
    <w:rsid w:val="002D4556"/>
    <w:rsid w:val="002D563A"/>
    <w:rsid w:val="002D5BF8"/>
    <w:rsid w:val="002D6525"/>
    <w:rsid w:val="002D6A22"/>
    <w:rsid w:val="002D7009"/>
    <w:rsid w:val="002E11CF"/>
    <w:rsid w:val="002E133A"/>
    <w:rsid w:val="002E19A3"/>
    <w:rsid w:val="002E24B4"/>
    <w:rsid w:val="002E394B"/>
    <w:rsid w:val="002E3C59"/>
    <w:rsid w:val="002E42CD"/>
    <w:rsid w:val="002E4496"/>
    <w:rsid w:val="002E5062"/>
    <w:rsid w:val="002E532D"/>
    <w:rsid w:val="002E5C64"/>
    <w:rsid w:val="002E65C2"/>
    <w:rsid w:val="002E6615"/>
    <w:rsid w:val="002E6EC7"/>
    <w:rsid w:val="002E7D62"/>
    <w:rsid w:val="002E7F3B"/>
    <w:rsid w:val="002F01B9"/>
    <w:rsid w:val="002F0910"/>
    <w:rsid w:val="002F0F0D"/>
    <w:rsid w:val="002F1127"/>
    <w:rsid w:val="002F154E"/>
    <w:rsid w:val="002F1835"/>
    <w:rsid w:val="002F18DA"/>
    <w:rsid w:val="002F1B78"/>
    <w:rsid w:val="002F2761"/>
    <w:rsid w:val="002F3014"/>
    <w:rsid w:val="002F32CB"/>
    <w:rsid w:val="002F347D"/>
    <w:rsid w:val="002F3C32"/>
    <w:rsid w:val="002F3DD8"/>
    <w:rsid w:val="002F4656"/>
    <w:rsid w:val="002F492B"/>
    <w:rsid w:val="002F4AEB"/>
    <w:rsid w:val="002F4CBF"/>
    <w:rsid w:val="002F50BC"/>
    <w:rsid w:val="002F51E8"/>
    <w:rsid w:val="002F52EC"/>
    <w:rsid w:val="002F5F7D"/>
    <w:rsid w:val="002F697A"/>
    <w:rsid w:val="002F6D01"/>
    <w:rsid w:val="002F6F3E"/>
    <w:rsid w:val="002F79B9"/>
    <w:rsid w:val="00300522"/>
    <w:rsid w:val="00300D3E"/>
    <w:rsid w:val="00300F41"/>
    <w:rsid w:val="00300F93"/>
    <w:rsid w:val="003017F5"/>
    <w:rsid w:val="00301C30"/>
    <w:rsid w:val="00301DF4"/>
    <w:rsid w:val="00301E49"/>
    <w:rsid w:val="0030244F"/>
    <w:rsid w:val="003024B6"/>
    <w:rsid w:val="00302EA7"/>
    <w:rsid w:val="0030359C"/>
    <w:rsid w:val="0030426C"/>
    <w:rsid w:val="00304440"/>
    <w:rsid w:val="00304D39"/>
    <w:rsid w:val="00305603"/>
    <w:rsid w:val="003056E4"/>
    <w:rsid w:val="00305AD0"/>
    <w:rsid w:val="00305E2D"/>
    <w:rsid w:val="00305E56"/>
    <w:rsid w:val="003071F7"/>
    <w:rsid w:val="0031007B"/>
    <w:rsid w:val="00310CEB"/>
    <w:rsid w:val="00310EEA"/>
    <w:rsid w:val="003110CF"/>
    <w:rsid w:val="003113C9"/>
    <w:rsid w:val="003123F1"/>
    <w:rsid w:val="00312484"/>
    <w:rsid w:val="00312749"/>
    <w:rsid w:val="00313363"/>
    <w:rsid w:val="003134B5"/>
    <w:rsid w:val="00313F72"/>
    <w:rsid w:val="00313F7F"/>
    <w:rsid w:val="00314329"/>
    <w:rsid w:val="00314478"/>
    <w:rsid w:val="00314D29"/>
    <w:rsid w:val="00315611"/>
    <w:rsid w:val="00315BFB"/>
    <w:rsid w:val="0031616D"/>
    <w:rsid w:val="00316A0B"/>
    <w:rsid w:val="003174C6"/>
    <w:rsid w:val="00317592"/>
    <w:rsid w:val="00317DDD"/>
    <w:rsid w:val="00320255"/>
    <w:rsid w:val="0032029B"/>
    <w:rsid w:val="003206C0"/>
    <w:rsid w:val="00320763"/>
    <w:rsid w:val="00320B1D"/>
    <w:rsid w:val="00320C39"/>
    <w:rsid w:val="003215B2"/>
    <w:rsid w:val="00322E66"/>
    <w:rsid w:val="00323233"/>
    <w:rsid w:val="00323D33"/>
    <w:rsid w:val="00323F75"/>
    <w:rsid w:val="0032419D"/>
    <w:rsid w:val="00324AE6"/>
    <w:rsid w:val="00326D3D"/>
    <w:rsid w:val="00326F1A"/>
    <w:rsid w:val="0033065E"/>
    <w:rsid w:val="00330773"/>
    <w:rsid w:val="00330BF1"/>
    <w:rsid w:val="003312A3"/>
    <w:rsid w:val="003318D0"/>
    <w:rsid w:val="00331EF6"/>
    <w:rsid w:val="00332144"/>
    <w:rsid w:val="0033427E"/>
    <w:rsid w:val="0033465E"/>
    <w:rsid w:val="00334BD3"/>
    <w:rsid w:val="00336E19"/>
    <w:rsid w:val="00337970"/>
    <w:rsid w:val="00337A7F"/>
    <w:rsid w:val="00337DA1"/>
    <w:rsid w:val="00337F4F"/>
    <w:rsid w:val="003404C4"/>
    <w:rsid w:val="00340636"/>
    <w:rsid w:val="00340905"/>
    <w:rsid w:val="00340CBD"/>
    <w:rsid w:val="00340D59"/>
    <w:rsid w:val="00341FBC"/>
    <w:rsid w:val="003420E4"/>
    <w:rsid w:val="0034237C"/>
    <w:rsid w:val="00342627"/>
    <w:rsid w:val="00342C44"/>
    <w:rsid w:val="00342DF5"/>
    <w:rsid w:val="00343C7C"/>
    <w:rsid w:val="003459B9"/>
    <w:rsid w:val="00345D76"/>
    <w:rsid w:val="003464D8"/>
    <w:rsid w:val="003465B9"/>
    <w:rsid w:val="003508E0"/>
    <w:rsid w:val="00351812"/>
    <w:rsid w:val="00352514"/>
    <w:rsid w:val="003526FE"/>
    <w:rsid w:val="00352FBD"/>
    <w:rsid w:val="00354088"/>
    <w:rsid w:val="00354640"/>
    <w:rsid w:val="0035475D"/>
    <w:rsid w:val="00354DC7"/>
    <w:rsid w:val="00354E3F"/>
    <w:rsid w:val="00355D97"/>
    <w:rsid w:val="003560B1"/>
    <w:rsid w:val="00356407"/>
    <w:rsid w:val="00356CC1"/>
    <w:rsid w:val="00357ACF"/>
    <w:rsid w:val="003603A3"/>
    <w:rsid w:val="003606D0"/>
    <w:rsid w:val="003607A9"/>
    <w:rsid w:val="00360DE5"/>
    <w:rsid w:val="003615A6"/>
    <w:rsid w:val="003617E1"/>
    <w:rsid w:val="003619F1"/>
    <w:rsid w:val="00362A6D"/>
    <w:rsid w:val="00363715"/>
    <w:rsid w:val="00363A1D"/>
    <w:rsid w:val="00363B9B"/>
    <w:rsid w:val="00364A90"/>
    <w:rsid w:val="0036526C"/>
    <w:rsid w:val="00365F71"/>
    <w:rsid w:val="00366CDE"/>
    <w:rsid w:val="003670B0"/>
    <w:rsid w:val="00367170"/>
    <w:rsid w:val="00367545"/>
    <w:rsid w:val="00370AD1"/>
    <w:rsid w:val="003712C6"/>
    <w:rsid w:val="0037158A"/>
    <w:rsid w:val="003716EA"/>
    <w:rsid w:val="00371874"/>
    <w:rsid w:val="003723D6"/>
    <w:rsid w:val="00372526"/>
    <w:rsid w:val="00372AFD"/>
    <w:rsid w:val="00372DB7"/>
    <w:rsid w:val="00372E24"/>
    <w:rsid w:val="00374555"/>
    <w:rsid w:val="00375030"/>
    <w:rsid w:val="0037689B"/>
    <w:rsid w:val="0037695D"/>
    <w:rsid w:val="00376F51"/>
    <w:rsid w:val="00377F58"/>
    <w:rsid w:val="00380560"/>
    <w:rsid w:val="003812FB"/>
    <w:rsid w:val="00381461"/>
    <w:rsid w:val="003821F6"/>
    <w:rsid w:val="003822F0"/>
    <w:rsid w:val="003829E2"/>
    <w:rsid w:val="00382E97"/>
    <w:rsid w:val="00382F53"/>
    <w:rsid w:val="0038342B"/>
    <w:rsid w:val="0038392F"/>
    <w:rsid w:val="00383DC1"/>
    <w:rsid w:val="003842EB"/>
    <w:rsid w:val="00384D42"/>
    <w:rsid w:val="00384FCA"/>
    <w:rsid w:val="003857F8"/>
    <w:rsid w:val="00385AE0"/>
    <w:rsid w:val="00386047"/>
    <w:rsid w:val="0038604D"/>
    <w:rsid w:val="0038628C"/>
    <w:rsid w:val="00387240"/>
    <w:rsid w:val="003874CC"/>
    <w:rsid w:val="00387714"/>
    <w:rsid w:val="003877F9"/>
    <w:rsid w:val="00387A49"/>
    <w:rsid w:val="003909A6"/>
    <w:rsid w:val="00390E8C"/>
    <w:rsid w:val="00390F26"/>
    <w:rsid w:val="00391268"/>
    <w:rsid w:val="00391876"/>
    <w:rsid w:val="003919F2"/>
    <w:rsid w:val="0039248B"/>
    <w:rsid w:val="00392878"/>
    <w:rsid w:val="003932E0"/>
    <w:rsid w:val="00393835"/>
    <w:rsid w:val="00393AC7"/>
    <w:rsid w:val="00394966"/>
    <w:rsid w:val="00394D2B"/>
    <w:rsid w:val="003957D4"/>
    <w:rsid w:val="00395C66"/>
    <w:rsid w:val="00395F25"/>
    <w:rsid w:val="00395F63"/>
    <w:rsid w:val="003961EF"/>
    <w:rsid w:val="003979BD"/>
    <w:rsid w:val="003A0651"/>
    <w:rsid w:val="003A0CBF"/>
    <w:rsid w:val="003A179B"/>
    <w:rsid w:val="003A2209"/>
    <w:rsid w:val="003A2469"/>
    <w:rsid w:val="003A27EB"/>
    <w:rsid w:val="003A3269"/>
    <w:rsid w:val="003A39DA"/>
    <w:rsid w:val="003A3F71"/>
    <w:rsid w:val="003A3FD9"/>
    <w:rsid w:val="003A445A"/>
    <w:rsid w:val="003A4550"/>
    <w:rsid w:val="003A48B1"/>
    <w:rsid w:val="003A48C8"/>
    <w:rsid w:val="003A5117"/>
    <w:rsid w:val="003A54E8"/>
    <w:rsid w:val="003A5E0B"/>
    <w:rsid w:val="003A5EF9"/>
    <w:rsid w:val="003A6468"/>
    <w:rsid w:val="003A6DE8"/>
    <w:rsid w:val="003A71EF"/>
    <w:rsid w:val="003A7657"/>
    <w:rsid w:val="003A7C6F"/>
    <w:rsid w:val="003A7E2B"/>
    <w:rsid w:val="003B05B2"/>
    <w:rsid w:val="003B0BD4"/>
    <w:rsid w:val="003B0E20"/>
    <w:rsid w:val="003B0F7F"/>
    <w:rsid w:val="003B18AC"/>
    <w:rsid w:val="003B1B64"/>
    <w:rsid w:val="003B1DB4"/>
    <w:rsid w:val="003B2240"/>
    <w:rsid w:val="003B269B"/>
    <w:rsid w:val="003B3180"/>
    <w:rsid w:val="003B3A57"/>
    <w:rsid w:val="003B3C4B"/>
    <w:rsid w:val="003B4675"/>
    <w:rsid w:val="003B46F5"/>
    <w:rsid w:val="003B4736"/>
    <w:rsid w:val="003B4C98"/>
    <w:rsid w:val="003B513D"/>
    <w:rsid w:val="003B55AA"/>
    <w:rsid w:val="003B59B5"/>
    <w:rsid w:val="003B5A03"/>
    <w:rsid w:val="003B74BA"/>
    <w:rsid w:val="003B75D2"/>
    <w:rsid w:val="003B79D5"/>
    <w:rsid w:val="003C036B"/>
    <w:rsid w:val="003C0AF7"/>
    <w:rsid w:val="003C1248"/>
    <w:rsid w:val="003C1389"/>
    <w:rsid w:val="003C1E54"/>
    <w:rsid w:val="003C2111"/>
    <w:rsid w:val="003C2A2E"/>
    <w:rsid w:val="003C33A9"/>
    <w:rsid w:val="003C3F9D"/>
    <w:rsid w:val="003C4F68"/>
    <w:rsid w:val="003C57FE"/>
    <w:rsid w:val="003C6BC3"/>
    <w:rsid w:val="003C7275"/>
    <w:rsid w:val="003C7ACD"/>
    <w:rsid w:val="003C7BDB"/>
    <w:rsid w:val="003D02B3"/>
    <w:rsid w:val="003D06C6"/>
    <w:rsid w:val="003D127D"/>
    <w:rsid w:val="003D146B"/>
    <w:rsid w:val="003D1559"/>
    <w:rsid w:val="003D1E93"/>
    <w:rsid w:val="003D238F"/>
    <w:rsid w:val="003D2632"/>
    <w:rsid w:val="003D26F5"/>
    <w:rsid w:val="003D27EF"/>
    <w:rsid w:val="003D2A4C"/>
    <w:rsid w:val="003D3B1F"/>
    <w:rsid w:val="003D3D59"/>
    <w:rsid w:val="003D408F"/>
    <w:rsid w:val="003D4607"/>
    <w:rsid w:val="003D4BCA"/>
    <w:rsid w:val="003D4E1F"/>
    <w:rsid w:val="003D4E4E"/>
    <w:rsid w:val="003D5044"/>
    <w:rsid w:val="003D57B8"/>
    <w:rsid w:val="003D5B89"/>
    <w:rsid w:val="003D5F48"/>
    <w:rsid w:val="003D676D"/>
    <w:rsid w:val="003D68CD"/>
    <w:rsid w:val="003D6C96"/>
    <w:rsid w:val="003D6FB4"/>
    <w:rsid w:val="003D7D8C"/>
    <w:rsid w:val="003D7E77"/>
    <w:rsid w:val="003E0131"/>
    <w:rsid w:val="003E015E"/>
    <w:rsid w:val="003E02FC"/>
    <w:rsid w:val="003E03C0"/>
    <w:rsid w:val="003E0A16"/>
    <w:rsid w:val="003E1705"/>
    <w:rsid w:val="003E18FC"/>
    <w:rsid w:val="003E1B4A"/>
    <w:rsid w:val="003E207C"/>
    <w:rsid w:val="003E2D3B"/>
    <w:rsid w:val="003E30D6"/>
    <w:rsid w:val="003E3689"/>
    <w:rsid w:val="003E52F2"/>
    <w:rsid w:val="003E5CB3"/>
    <w:rsid w:val="003E6178"/>
    <w:rsid w:val="003E6213"/>
    <w:rsid w:val="003E7AD9"/>
    <w:rsid w:val="003F039B"/>
    <w:rsid w:val="003F0CC6"/>
    <w:rsid w:val="003F14E1"/>
    <w:rsid w:val="003F16B0"/>
    <w:rsid w:val="003F1737"/>
    <w:rsid w:val="003F1DA9"/>
    <w:rsid w:val="003F1FF2"/>
    <w:rsid w:val="003F31EC"/>
    <w:rsid w:val="003F3462"/>
    <w:rsid w:val="003F3581"/>
    <w:rsid w:val="003F49B0"/>
    <w:rsid w:val="003F4FA1"/>
    <w:rsid w:val="003F5088"/>
    <w:rsid w:val="003F53BC"/>
    <w:rsid w:val="003F54C8"/>
    <w:rsid w:val="003F586D"/>
    <w:rsid w:val="003F5989"/>
    <w:rsid w:val="003F689E"/>
    <w:rsid w:val="003F6EFF"/>
    <w:rsid w:val="003F715A"/>
    <w:rsid w:val="003F7381"/>
    <w:rsid w:val="003F77BD"/>
    <w:rsid w:val="003F7A5D"/>
    <w:rsid w:val="003F7B47"/>
    <w:rsid w:val="004002FB"/>
    <w:rsid w:val="00400719"/>
    <w:rsid w:val="004008E7"/>
    <w:rsid w:val="00400AD1"/>
    <w:rsid w:val="00401BE3"/>
    <w:rsid w:val="0040216D"/>
    <w:rsid w:val="00402E87"/>
    <w:rsid w:val="00403CFD"/>
    <w:rsid w:val="00403D55"/>
    <w:rsid w:val="00403EE9"/>
    <w:rsid w:val="00403F53"/>
    <w:rsid w:val="00404B63"/>
    <w:rsid w:val="00404B7C"/>
    <w:rsid w:val="00404C43"/>
    <w:rsid w:val="00404DB7"/>
    <w:rsid w:val="00405C24"/>
    <w:rsid w:val="0040655A"/>
    <w:rsid w:val="004070AB"/>
    <w:rsid w:val="004070DC"/>
    <w:rsid w:val="00410799"/>
    <w:rsid w:val="00410FA6"/>
    <w:rsid w:val="00411998"/>
    <w:rsid w:val="00411C7F"/>
    <w:rsid w:val="0041200A"/>
    <w:rsid w:val="0041222E"/>
    <w:rsid w:val="0041253F"/>
    <w:rsid w:val="0041306D"/>
    <w:rsid w:val="0041338E"/>
    <w:rsid w:val="00413EC5"/>
    <w:rsid w:val="004143E6"/>
    <w:rsid w:val="00414536"/>
    <w:rsid w:val="00415940"/>
    <w:rsid w:val="00415AA5"/>
    <w:rsid w:val="00415C56"/>
    <w:rsid w:val="00420624"/>
    <w:rsid w:val="00422324"/>
    <w:rsid w:val="0042282C"/>
    <w:rsid w:val="00423018"/>
    <w:rsid w:val="00423605"/>
    <w:rsid w:val="0042368E"/>
    <w:rsid w:val="00423751"/>
    <w:rsid w:val="00423A78"/>
    <w:rsid w:val="00423A82"/>
    <w:rsid w:val="00424181"/>
    <w:rsid w:val="004251BB"/>
    <w:rsid w:val="00425635"/>
    <w:rsid w:val="00425C97"/>
    <w:rsid w:val="00426B62"/>
    <w:rsid w:val="004271AA"/>
    <w:rsid w:val="00427447"/>
    <w:rsid w:val="00427563"/>
    <w:rsid w:val="004278CA"/>
    <w:rsid w:val="00427A2E"/>
    <w:rsid w:val="004302A5"/>
    <w:rsid w:val="004305E0"/>
    <w:rsid w:val="004306DD"/>
    <w:rsid w:val="0043136D"/>
    <w:rsid w:val="004318A1"/>
    <w:rsid w:val="00431900"/>
    <w:rsid w:val="00431BA9"/>
    <w:rsid w:val="00431E1D"/>
    <w:rsid w:val="00432D74"/>
    <w:rsid w:val="00432F6B"/>
    <w:rsid w:val="004331DE"/>
    <w:rsid w:val="004337D9"/>
    <w:rsid w:val="00434029"/>
    <w:rsid w:val="004342AF"/>
    <w:rsid w:val="00434347"/>
    <w:rsid w:val="0043493F"/>
    <w:rsid w:val="004350CF"/>
    <w:rsid w:val="00435F4A"/>
    <w:rsid w:val="00436BCB"/>
    <w:rsid w:val="0043766D"/>
    <w:rsid w:val="00437BB9"/>
    <w:rsid w:val="004401CE"/>
    <w:rsid w:val="004405F2"/>
    <w:rsid w:val="00440AC0"/>
    <w:rsid w:val="00440D09"/>
    <w:rsid w:val="00441108"/>
    <w:rsid w:val="00441FAA"/>
    <w:rsid w:val="00442137"/>
    <w:rsid w:val="0044229C"/>
    <w:rsid w:val="00443131"/>
    <w:rsid w:val="00443399"/>
    <w:rsid w:val="0044392B"/>
    <w:rsid w:val="004444D9"/>
    <w:rsid w:val="004447B9"/>
    <w:rsid w:val="0044481E"/>
    <w:rsid w:val="004455B8"/>
    <w:rsid w:val="00445801"/>
    <w:rsid w:val="00445EF3"/>
    <w:rsid w:val="00446AAB"/>
    <w:rsid w:val="00446DBA"/>
    <w:rsid w:val="004476B8"/>
    <w:rsid w:val="00447AB0"/>
    <w:rsid w:val="00450115"/>
    <w:rsid w:val="004519AD"/>
    <w:rsid w:val="00452F5B"/>
    <w:rsid w:val="00453B6A"/>
    <w:rsid w:val="00454022"/>
    <w:rsid w:val="00455B60"/>
    <w:rsid w:val="00456547"/>
    <w:rsid w:val="0045662C"/>
    <w:rsid w:val="00456705"/>
    <w:rsid w:val="0045699D"/>
    <w:rsid w:val="00456C60"/>
    <w:rsid w:val="00457B68"/>
    <w:rsid w:val="004602C2"/>
    <w:rsid w:val="00460D39"/>
    <w:rsid w:val="00460F97"/>
    <w:rsid w:val="004632E1"/>
    <w:rsid w:val="00463A33"/>
    <w:rsid w:val="00463CFC"/>
    <w:rsid w:val="0046406E"/>
    <w:rsid w:val="00464783"/>
    <w:rsid w:val="004652E6"/>
    <w:rsid w:val="00466604"/>
    <w:rsid w:val="00467114"/>
    <w:rsid w:val="00467394"/>
    <w:rsid w:val="0046739D"/>
    <w:rsid w:val="00467939"/>
    <w:rsid w:val="00467AD5"/>
    <w:rsid w:val="00467B3A"/>
    <w:rsid w:val="00470137"/>
    <w:rsid w:val="004703FB"/>
    <w:rsid w:val="004704AA"/>
    <w:rsid w:val="00470CFB"/>
    <w:rsid w:val="004718A5"/>
    <w:rsid w:val="00472136"/>
    <w:rsid w:val="00473049"/>
    <w:rsid w:val="00473D69"/>
    <w:rsid w:val="00474AFC"/>
    <w:rsid w:val="00474D3F"/>
    <w:rsid w:val="00475072"/>
    <w:rsid w:val="00475365"/>
    <w:rsid w:val="004753F2"/>
    <w:rsid w:val="004755F5"/>
    <w:rsid w:val="00475AF8"/>
    <w:rsid w:val="004761D7"/>
    <w:rsid w:val="00476A67"/>
    <w:rsid w:val="00476CE6"/>
    <w:rsid w:val="00477884"/>
    <w:rsid w:val="00477C81"/>
    <w:rsid w:val="0048046B"/>
    <w:rsid w:val="00480477"/>
    <w:rsid w:val="0048051F"/>
    <w:rsid w:val="004809C4"/>
    <w:rsid w:val="00480A5D"/>
    <w:rsid w:val="00480D11"/>
    <w:rsid w:val="00480E6C"/>
    <w:rsid w:val="00480E6F"/>
    <w:rsid w:val="004811FE"/>
    <w:rsid w:val="00481D76"/>
    <w:rsid w:val="00481E55"/>
    <w:rsid w:val="00481FC7"/>
    <w:rsid w:val="00482138"/>
    <w:rsid w:val="00482685"/>
    <w:rsid w:val="00482DEB"/>
    <w:rsid w:val="004830F1"/>
    <w:rsid w:val="0048356C"/>
    <w:rsid w:val="00484645"/>
    <w:rsid w:val="004857F6"/>
    <w:rsid w:val="00485CCC"/>
    <w:rsid w:val="00485D1A"/>
    <w:rsid w:val="00486378"/>
    <w:rsid w:val="004863D4"/>
    <w:rsid w:val="00486B13"/>
    <w:rsid w:val="0048722D"/>
    <w:rsid w:val="0049025A"/>
    <w:rsid w:val="0049044F"/>
    <w:rsid w:val="0049059C"/>
    <w:rsid w:val="0049103A"/>
    <w:rsid w:val="00491094"/>
    <w:rsid w:val="00491E28"/>
    <w:rsid w:val="00492586"/>
    <w:rsid w:val="00492670"/>
    <w:rsid w:val="00492B1F"/>
    <w:rsid w:val="00492BDB"/>
    <w:rsid w:val="004934F1"/>
    <w:rsid w:val="00493C29"/>
    <w:rsid w:val="00493C37"/>
    <w:rsid w:val="00494412"/>
    <w:rsid w:val="004944F8"/>
    <w:rsid w:val="0049456F"/>
    <w:rsid w:val="00494866"/>
    <w:rsid w:val="00494A92"/>
    <w:rsid w:val="0049556B"/>
    <w:rsid w:val="0049625B"/>
    <w:rsid w:val="004966FA"/>
    <w:rsid w:val="0049743C"/>
    <w:rsid w:val="004975F7"/>
    <w:rsid w:val="00497B80"/>
    <w:rsid w:val="004A0139"/>
    <w:rsid w:val="004A0184"/>
    <w:rsid w:val="004A0350"/>
    <w:rsid w:val="004A0988"/>
    <w:rsid w:val="004A0BB3"/>
    <w:rsid w:val="004A0BB9"/>
    <w:rsid w:val="004A0E26"/>
    <w:rsid w:val="004A12F7"/>
    <w:rsid w:val="004A1671"/>
    <w:rsid w:val="004A2290"/>
    <w:rsid w:val="004A31A4"/>
    <w:rsid w:val="004A33C4"/>
    <w:rsid w:val="004A3550"/>
    <w:rsid w:val="004A3562"/>
    <w:rsid w:val="004A3674"/>
    <w:rsid w:val="004A3BB2"/>
    <w:rsid w:val="004A3CB8"/>
    <w:rsid w:val="004A440C"/>
    <w:rsid w:val="004A44F7"/>
    <w:rsid w:val="004A477B"/>
    <w:rsid w:val="004A4919"/>
    <w:rsid w:val="004A52C0"/>
    <w:rsid w:val="004A52FD"/>
    <w:rsid w:val="004A6075"/>
    <w:rsid w:val="004A61A8"/>
    <w:rsid w:val="004A752B"/>
    <w:rsid w:val="004A788D"/>
    <w:rsid w:val="004A7E94"/>
    <w:rsid w:val="004B0233"/>
    <w:rsid w:val="004B0235"/>
    <w:rsid w:val="004B050C"/>
    <w:rsid w:val="004B0A78"/>
    <w:rsid w:val="004B0F56"/>
    <w:rsid w:val="004B1835"/>
    <w:rsid w:val="004B1B29"/>
    <w:rsid w:val="004B1B2A"/>
    <w:rsid w:val="004B27E6"/>
    <w:rsid w:val="004B29D4"/>
    <w:rsid w:val="004B2B78"/>
    <w:rsid w:val="004B2D48"/>
    <w:rsid w:val="004B2E5A"/>
    <w:rsid w:val="004B3E86"/>
    <w:rsid w:val="004B4D69"/>
    <w:rsid w:val="004B56C9"/>
    <w:rsid w:val="004B583C"/>
    <w:rsid w:val="004B5927"/>
    <w:rsid w:val="004B5C3C"/>
    <w:rsid w:val="004B6562"/>
    <w:rsid w:val="004B67C3"/>
    <w:rsid w:val="004B6EE9"/>
    <w:rsid w:val="004B7071"/>
    <w:rsid w:val="004B7492"/>
    <w:rsid w:val="004B78A0"/>
    <w:rsid w:val="004C05FA"/>
    <w:rsid w:val="004C0647"/>
    <w:rsid w:val="004C0E49"/>
    <w:rsid w:val="004C0F26"/>
    <w:rsid w:val="004C1039"/>
    <w:rsid w:val="004C163F"/>
    <w:rsid w:val="004C1881"/>
    <w:rsid w:val="004C22EB"/>
    <w:rsid w:val="004C27AA"/>
    <w:rsid w:val="004C2DF2"/>
    <w:rsid w:val="004C3099"/>
    <w:rsid w:val="004C3D89"/>
    <w:rsid w:val="004C3EF1"/>
    <w:rsid w:val="004C40F5"/>
    <w:rsid w:val="004C5314"/>
    <w:rsid w:val="004C5405"/>
    <w:rsid w:val="004C554C"/>
    <w:rsid w:val="004C5F7A"/>
    <w:rsid w:val="004C6EE6"/>
    <w:rsid w:val="004C7AA8"/>
    <w:rsid w:val="004D0206"/>
    <w:rsid w:val="004D09BA"/>
    <w:rsid w:val="004D1018"/>
    <w:rsid w:val="004D102C"/>
    <w:rsid w:val="004D1B54"/>
    <w:rsid w:val="004D22F8"/>
    <w:rsid w:val="004D2856"/>
    <w:rsid w:val="004D3427"/>
    <w:rsid w:val="004D3C4B"/>
    <w:rsid w:val="004D3EA5"/>
    <w:rsid w:val="004D418D"/>
    <w:rsid w:val="004D435C"/>
    <w:rsid w:val="004D439C"/>
    <w:rsid w:val="004D57A4"/>
    <w:rsid w:val="004D5BA0"/>
    <w:rsid w:val="004D5DCE"/>
    <w:rsid w:val="004D5EA2"/>
    <w:rsid w:val="004D6DCE"/>
    <w:rsid w:val="004E053E"/>
    <w:rsid w:val="004E17BC"/>
    <w:rsid w:val="004E1A2C"/>
    <w:rsid w:val="004E2D15"/>
    <w:rsid w:val="004E2E09"/>
    <w:rsid w:val="004E342B"/>
    <w:rsid w:val="004E53FC"/>
    <w:rsid w:val="004E5E42"/>
    <w:rsid w:val="004E60B7"/>
    <w:rsid w:val="004E6258"/>
    <w:rsid w:val="004E694F"/>
    <w:rsid w:val="004E7E5E"/>
    <w:rsid w:val="004E7FBB"/>
    <w:rsid w:val="004F008F"/>
    <w:rsid w:val="004F0295"/>
    <w:rsid w:val="004F1658"/>
    <w:rsid w:val="004F166D"/>
    <w:rsid w:val="004F1EE7"/>
    <w:rsid w:val="004F23E1"/>
    <w:rsid w:val="004F267D"/>
    <w:rsid w:val="004F2C0B"/>
    <w:rsid w:val="004F2C51"/>
    <w:rsid w:val="004F3233"/>
    <w:rsid w:val="004F37C8"/>
    <w:rsid w:val="004F4484"/>
    <w:rsid w:val="004F47AA"/>
    <w:rsid w:val="004F4847"/>
    <w:rsid w:val="004F535A"/>
    <w:rsid w:val="004F5459"/>
    <w:rsid w:val="004F65D9"/>
    <w:rsid w:val="004F6749"/>
    <w:rsid w:val="004F6FD2"/>
    <w:rsid w:val="004F767F"/>
    <w:rsid w:val="00500B17"/>
    <w:rsid w:val="00501070"/>
    <w:rsid w:val="0050115B"/>
    <w:rsid w:val="005011D4"/>
    <w:rsid w:val="005015D7"/>
    <w:rsid w:val="0050186D"/>
    <w:rsid w:val="00501B57"/>
    <w:rsid w:val="00501C96"/>
    <w:rsid w:val="00502230"/>
    <w:rsid w:val="00502542"/>
    <w:rsid w:val="00502693"/>
    <w:rsid w:val="005026B4"/>
    <w:rsid w:val="00502A0D"/>
    <w:rsid w:val="00502B81"/>
    <w:rsid w:val="00503493"/>
    <w:rsid w:val="005035EB"/>
    <w:rsid w:val="0050379C"/>
    <w:rsid w:val="00503C3F"/>
    <w:rsid w:val="00503CB6"/>
    <w:rsid w:val="005045FE"/>
    <w:rsid w:val="00507046"/>
    <w:rsid w:val="005071A4"/>
    <w:rsid w:val="00507490"/>
    <w:rsid w:val="00507E27"/>
    <w:rsid w:val="00510A37"/>
    <w:rsid w:val="00511044"/>
    <w:rsid w:val="005114F6"/>
    <w:rsid w:val="00511EB1"/>
    <w:rsid w:val="005121BC"/>
    <w:rsid w:val="00512BA3"/>
    <w:rsid w:val="0051344C"/>
    <w:rsid w:val="005136B3"/>
    <w:rsid w:val="00513B9B"/>
    <w:rsid w:val="00513C22"/>
    <w:rsid w:val="005140D6"/>
    <w:rsid w:val="00514415"/>
    <w:rsid w:val="0051454E"/>
    <w:rsid w:val="00514CC9"/>
    <w:rsid w:val="0051531F"/>
    <w:rsid w:val="00515389"/>
    <w:rsid w:val="00515DCA"/>
    <w:rsid w:val="00515E5E"/>
    <w:rsid w:val="00517983"/>
    <w:rsid w:val="00517B1A"/>
    <w:rsid w:val="0052032E"/>
    <w:rsid w:val="00520714"/>
    <w:rsid w:val="00520983"/>
    <w:rsid w:val="00521D53"/>
    <w:rsid w:val="005223BE"/>
    <w:rsid w:val="00522712"/>
    <w:rsid w:val="00522D9C"/>
    <w:rsid w:val="00522E98"/>
    <w:rsid w:val="00523694"/>
    <w:rsid w:val="00523921"/>
    <w:rsid w:val="00523E23"/>
    <w:rsid w:val="00524187"/>
    <w:rsid w:val="005242FC"/>
    <w:rsid w:val="005245F9"/>
    <w:rsid w:val="005250A0"/>
    <w:rsid w:val="0052686C"/>
    <w:rsid w:val="005270AA"/>
    <w:rsid w:val="005271CB"/>
    <w:rsid w:val="005277DF"/>
    <w:rsid w:val="00527E22"/>
    <w:rsid w:val="005302F5"/>
    <w:rsid w:val="0053087B"/>
    <w:rsid w:val="00530CF5"/>
    <w:rsid w:val="005312A3"/>
    <w:rsid w:val="0053146F"/>
    <w:rsid w:val="00531817"/>
    <w:rsid w:val="00531FAC"/>
    <w:rsid w:val="0053266E"/>
    <w:rsid w:val="0053346F"/>
    <w:rsid w:val="005336E3"/>
    <w:rsid w:val="00535945"/>
    <w:rsid w:val="00535DC0"/>
    <w:rsid w:val="00536073"/>
    <w:rsid w:val="0053612F"/>
    <w:rsid w:val="00537057"/>
    <w:rsid w:val="005371D2"/>
    <w:rsid w:val="0053754D"/>
    <w:rsid w:val="0053775A"/>
    <w:rsid w:val="00537789"/>
    <w:rsid w:val="00540987"/>
    <w:rsid w:val="00541039"/>
    <w:rsid w:val="005411F8"/>
    <w:rsid w:val="0054201B"/>
    <w:rsid w:val="005433DE"/>
    <w:rsid w:val="00543794"/>
    <w:rsid w:val="00543F60"/>
    <w:rsid w:val="00544691"/>
    <w:rsid w:val="005447AE"/>
    <w:rsid w:val="00544EBB"/>
    <w:rsid w:val="0054514C"/>
    <w:rsid w:val="0054535C"/>
    <w:rsid w:val="0054599E"/>
    <w:rsid w:val="00545BB5"/>
    <w:rsid w:val="00545DD1"/>
    <w:rsid w:val="00546D21"/>
    <w:rsid w:val="005472AC"/>
    <w:rsid w:val="00547D21"/>
    <w:rsid w:val="00547E95"/>
    <w:rsid w:val="00550025"/>
    <w:rsid w:val="00550152"/>
    <w:rsid w:val="00550EA2"/>
    <w:rsid w:val="00551257"/>
    <w:rsid w:val="005512A7"/>
    <w:rsid w:val="0055146E"/>
    <w:rsid w:val="00551CB3"/>
    <w:rsid w:val="005521EC"/>
    <w:rsid w:val="00552589"/>
    <w:rsid w:val="005526E2"/>
    <w:rsid w:val="00552BF0"/>
    <w:rsid w:val="00552C4B"/>
    <w:rsid w:val="00552D9D"/>
    <w:rsid w:val="00553082"/>
    <w:rsid w:val="0055365D"/>
    <w:rsid w:val="00553A35"/>
    <w:rsid w:val="0055406A"/>
    <w:rsid w:val="00554938"/>
    <w:rsid w:val="00554B71"/>
    <w:rsid w:val="005551DD"/>
    <w:rsid w:val="005558BF"/>
    <w:rsid w:val="00556186"/>
    <w:rsid w:val="005565D7"/>
    <w:rsid w:val="00556D6B"/>
    <w:rsid w:val="00556F14"/>
    <w:rsid w:val="005572AF"/>
    <w:rsid w:val="0055748C"/>
    <w:rsid w:val="00557589"/>
    <w:rsid w:val="00557E36"/>
    <w:rsid w:val="00557E4D"/>
    <w:rsid w:val="0056071C"/>
    <w:rsid w:val="00560E3A"/>
    <w:rsid w:val="00561005"/>
    <w:rsid w:val="00561374"/>
    <w:rsid w:val="005616DD"/>
    <w:rsid w:val="00561E21"/>
    <w:rsid w:val="00562493"/>
    <w:rsid w:val="005625A8"/>
    <w:rsid w:val="00562619"/>
    <w:rsid w:val="00562B20"/>
    <w:rsid w:val="005633EB"/>
    <w:rsid w:val="00563D5F"/>
    <w:rsid w:val="00564124"/>
    <w:rsid w:val="0056436F"/>
    <w:rsid w:val="00564740"/>
    <w:rsid w:val="005647C1"/>
    <w:rsid w:val="00564867"/>
    <w:rsid w:val="00564B60"/>
    <w:rsid w:val="00564D7F"/>
    <w:rsid w:val="00565074"/>
    <w:rsid w:val="005652FD"/>
    <w:rsid w:val="00565637"/>
    <w:rsid w:val="00565664"/>
    <w:rsid w:val="00565D4B"/>
    <w:rsid w:val="00566894"/>
    <w:rsid w:val="0056721B"/>
    <w:rsid w:val="00567FDC"/>
    <w:rsid w:val="00570125"/>
    <w:rsid w:val="00570F7D"/>
    <w:rsid w:val="005715A4"/>
    <w:rsid w:val="00571799"/>
    <w:rsid w:val="005719B7"/>
    <w:rsid w:val="00571A89"/>
    <w:rsid w:val="005723EB"/>
    <w:rsid w:val="0057254C"/>
    <w:rsid w:val="005727D1"/>
    <w:rsid w:val="0057287E"/>
    <w:rsid w:val="0057294D"/>
    <w:rsid w:val="0057299F"/>
    <w:rsid w:val="00572FCA"/>
    <w:rsid w:val="005733B8"/>
    <w:rsid w:val="005746EB"/>
    <w:rsid w:val="00575977"/>
    <w:rsid w:val="00576A85"/>
    <w:rsid w:val="00576CDF"/>
    <w:rsid w:val="00576F8A"/>
    <w:rsid w:val="0057782C"/>
    <w:rsid w:val="005779D8"/>
    <w:rsid w:val="00577EA3"/>
    <w:rsid w:val="005803A0"/>
    <w:rsid w:val="0058054C"/>
    <w:rsid w:val="00580D96"/>
    <w:rsid w:val="005810BA"/>
    <w:rsid w:val="00583259"/>
    <w:rsid w:val="005835F0"/>
    <w:rsid w:val="00583BB9"/>
    <w:rsid w:val="00583C85"/>
    <w:rsid w:val="00583D3B"/>
    <w:rsid w:val="005840BD"/>
    <w:rsid w:val="005847AC"/>
    <w:rsid w:val="00584E73"/>
    <w:rsid w:val="00584E85"/>
    <w:rsid w:val="00585237"/>
    <w:rsid w:val="005858FE"/>
    <w:rsid w:val="00585C57"/>
    <w:rsid w:val="00585E87"/>
    <w:rsid w:val="00585ECA"/>
    <w:rsid w:val="00586F25"/>
    <w:rsid w:val="00586F8E"/>
    <w:rsid w:val="00587FD9"/>
    <w:rsid w:val="00590212"/>
    <w:rsid w:val="00590944"/>
    <w:rsid w:val="00591A5A"/>
    <w:rsid w:val="00591E5A"/>
    <w:rsid w:val="005922B6"/>
    <w:rsid w:val="00592926"/>
    <w:rsid w:val="00592A2D"/>
    <w:rsid w:val="00592EDB"/>
    <w:rsid w:val="005939C3"/>
    <w:rsid w:val="00594AA8"/>
    <w:rsid w:val="00594F23"/>
    <w:rsid w:val="00594F68"/>
    <w:rsid w:val="00595268"/>
    <w:rsid w:val="00595464"/>
    <w:rsid w:val="00595591"/>
    <w:rsid w:val="00595D27"/>
    <w:rsid w:val="005963C7"/>
    <w:rsid w:val="00596600"/>
    <w:rsid w:val="00596FF6"/>
    <w:rsid w:val="0059714E"/>
    <w:rsid w:val="00597786"/>
    <w:rsid w:val="005A0046"/>
    <w:rsid w:val="005A07C1"/>
    <w:rsid w:val="005A0BCA"/>
    <w:rsid w:val="005A0E95"/>
    <w:rsid w:val="005A0FCC"/>
    <w:rsid w:val="005A188B"/>
    <w:rsid w:val="005A23DF"/>
    <w:rsid w:val="005A26BC"/>
    <w:rsid w:val="005A27CD"/>
    <w:rsid w:val="005A2AFF"/>
    <w:rsid w:val="005A3531"/>
    <w:rsid w:val="005A3742"/>
    <w:rsid w:val="005A3CDE"/>
    <w:rsid w:val="005A3FF0"/>
    <w:rsid w:val="005A4F06"/>
    <w:rsid w:val="005A4F0D"/>
    <w:rsid w:val="005A54D3"/>
    <w:rsid w:val="005A5866"/>
    <w:rsid w:val="005A59A4"/>
    <w:rsid w:val="005A66A3"/>
    <w:rsid w:val="005A710E"/>
    <w:rsid w:val="005A7954"/>
    <w:rsid w:val="005A7A5A"/>
    <w:rsid w:val="005A7D79"/>
    <w:rsid w:val="005B04B7"/>
    <w:rsid w:val="005B06C9"/>
    <w:rsid w:val="005B0E10"/>
    <w:rsid w:val="005B0E2F"/>
    <w:rsid w:val="005B1A53"/>
    <w:rsid w:val="005B1A5A"/>
    <w:rsid w:val="005B1BF1"/>
    <w:rsid w:val="005B1E3B"/>
    <w:rsid w:val="005B33C2"/>
    <w:rsid w:val="005B3836"/>
    <w:rsid w:val="005B38C9"/>
    <w:rsid w:val="005B41F8"/>
    <w:rsid w:val="005B56E5"/>
    <w:rsid w:val="005B59F3"/>
    <w:rsid w:val="005B6714"/>
    <w:rsid w:val="005B715C"/>
    <w:rsid w:val="005B7283"/>
    <w:rsid w:val="005B75E1"/>
    <w:rsid w:val="005C0E0C"/>
    <w:rsid w:val="005C145B"/>
    <w:rsid w:val="005C23E4"/>
    <w:rsid w:val="005C275D"/>
    <w:rsid w:val="005C28A7"/>
    <w:rsid w:val="005C2DD5"/>
    <w:rsid w:val="005C34D2"/>
    <w:rsid w:val="005C3C6C"/>
    <w:rsid w:val="005C40D4"/>
    <w:rsid w:val="005C44F5"/>
    <w:rsid w:val="005C4F4B"/>
    <w:rsid w:val="005C5EB8"/>
    <w:rsid w:val="005C6B4D"/>
    <w:rsid w:val="005C7C8D"/>
    <w:rsid w:val="005D0070"/>
    <w:rsid w:val="005D01EF"/>
    <w:rsid w:val="005D04B6"/>
    <w:rsid w:val="005D12D8"/>
    <w:rsid w:val="005D1A8F"/>
    <w:rsid w:val="005D2879"/>
    <w:rsid w:val="005D2C9A"/>
    <w:rsid w:val="005D3708"/>
    <w:rsid w:val="005D375F"/>
    <w:rsid w:val="005D3B76"/>
    <w:rsid w:val="005D3D5C"/>
    <w:rsid w:val="005D47A5"/>
    <w:rsid w:val="005D5131"/>
    <w:rsid w:val="005D5A01"/>
    <w:rsid w:val="005D5A14"/>
    <w:rsid w:val="005D5E5A"/>
    <w:rsid w:val="005D60CE"/>
    <w:rsid w:val="005D62B0"/>
    <w:rsid w:val="005D66B0"/>
    <w:rsid w:val="005D67AA"/>
    <w:rsid w:val="005D73D5"/>
    <w:rsid w:val="005E0936"/>
    <w:rsid w:val="005E1B0A"/>
    <w:rsid w:val="005E1CFC"/>
    <w:rsid w:val="005E29A3"/>
    <w:rsid w:val="005E30F6"/>
    <w:rsid w:val="005E31C1"/>
    <w:rsid w:val="005E3221"/>
    <w:rsid w:val="005E3498"/>
    <w:rsid w:val="005E3BFC"/>
    <w:rsid w:val="005E3D17"/>
    <w:rsid w:val="005E4D96"/>
    <w:rsid w:val="005E5CA0"/>
    <w:rsid w:val="005E74FD"/>
    <w:rsid w:val="005E7526"/>
    <w:rsid w:val="005E7A53"/>
    <w:rsid w:val="005F03FD"/>
    <w:rsid w:val="005F045D"/>
    <w:rsid w:val="005F138E"/>
    <w:rsid w:val="005F1843"/>
    <w:rsid w:val="005F1867"/>
    <w:rsid w:val="005F1B62"/>
    <w:rsid w:val="005F1BFD"/>
    <w:rsid w:val="005F240F"/>
    <w:rsid w:val="005F3C8A"/>
    <w:rsid w:val="005F43D9"/>
    <w:rsid w:val="005F44BE"/>
    <w:rsid w:val="005F4DB8"/>
    <w:rsid w:val="005F578D"/>
    <w:rsid w:val="005F5A23"/>
    <w:rsid w:val="005F629F"/>
    <w:rsid w:val="005F66BA"/>
    <w:rsid w:val="005F6A97"/>
    <w:rsid w:val="005F7256"/>
    <w:rsid w:val="005F72E6"/>
    <w:rsid w:val="005F73DF"/>
    <w:rsid w:val="005F76A8"/>
    <w:rsid w:val="005F7950"/>
    <w:rsid w:val="005F7BC3"/>
    <w:rsid w:val="005F7F74"/>
    <w:rsid w:val="00600BFA"/>
    <w:rsid w:val="00600E52"/>
    <w:rsid w:val="0060216B"/>
    <w:rsid w:val="00602498"/>
    <w:rsid w:val="006024B5"/>
    <w:rsid w:val="00602724"/>
    <w:rsid w:val="0060338B"/>
    <w:rsid w:val="00603832"/>
    <w:rsid w:val="006040FB"/>
    <w:rsid w:val="00604822"/>
    <w:rsid w:val="00604A45"/>
    <w:rsid w:val="00604F53"/>
    <w:rsid w:val="00605FD7"/>
    <w:rsid w:val="00606283"/>
    <w:rsid w:val="00606349"/>
    <w:rsid w:val="00607B01"/>
    <w:rsid w:val="00607EB2"/>
    <w:rsid w:val="0061078B"/>
    <w:rsid w:val="006114BC"/>
    <w:rsid w:val="00611648"/>
    <w:rsid w:val="00611C1A"/>
    <w:rsid w:val="006124D6"/>
    <w:rsid w:val="00612700"/>
    <w:rsid w:val="006129E5"/>
    <w:rsid w:val="0061371E"/>
    <w:rsid w:val="00613A41"/>
    <w:rsid w:val="006144D6"/>
    <w:rsid w:val="00614882"/>
    <w:rsid w:val="00615577"/>
    <w:rsid w:val="00615EAD"/>
    <w:rsid w:val="00616971"/>
    <w:rsid w:val="00617A0A"/>
    <w:rsid w:val="00617A12"/>
    <w:rsid w:val="00617C55"/>
    <w:rsid w:val="006200B1"/>
    <w:rsid w:val="00620D4C"/>
    <w:rsid w:val="006217D7"/>
    <w:rsid w:val="00621CB4"/>
    <w:rsid w:val="006221E5"/>
    <w:rsid w:val="006222E0"/>
    <w:rsid w:val="00622D1D"/>
    <w:rsid w:val="0062338C"/>
    <w:rsid w:val="0062356A"/>
    <w:rsid w:val="00623BBB"/>
    <w:rsid w:val="006253D9"/>
    <w:rsid w:val="006256FE"/>
    <w:rsid w:val="0062599A"/>
    <w:rsid w:val="00625B9E"/>
    <w:rsid w:val="00625FE1"/>
    <w:rsid w:val="00626005"/>
    <w:rsid w:val="00626226"/>
    <w:rsid w:val="00626962"/>
    <w:rsid w:val="00626CF7"/>
    <w:rsid w:val="006275C2"/>
    <w:rsid w:val="00627C86"/>
    <w:rsid w:val="00627F02"/>
    <w:rsid w:val="0063000F"/>
    <w:rsid w:val="0063065D"/>
    <w:rsid w:val="00630F91"/>
    <w:rsid w:val="00631508"/>
    <w:rsid w:val="00631F29"/>
    <w:rsid w:val="00631FF2"/>
    <w:rsid w:val="006320E2"/>
    <w:rsid w:val="006321A2"/>
    <w:rsid w:val="0063294F"/>
    <w:rsid w:val="006330D8"/>
    <w:rsid w:val="00633303"/>
    <w:rsid w:val="00633E39"/>
    <w:rsid w:val="00634059"/>
    <w:rsid w:val="006345EE"/>
    <w:rsid w:val="006352BC"/>
    <w:rsid w:val="00635776"/>
    <w:rsid w:val="00635A26"/>
    <w:rsid w:val="00635A3D"/>
    <w:rsid w:val="00636B72"/>
    <w:rsid w:val="00636E56"/>
    <w:rsid w:val="00637083"/>
    <w:rsid w:val="00637239"/>
    <w:rsid w:val="0063750C"/>
    <w:rsid w:val="00637FA7"/>
    <w:rsid w:val="00640035"/>
    <w:rsid w:val="00640436"/>
    <w:rsid w:val="006404A3"/>
    <w:rsid w:val="00640D7E"/>
    <w:rsid w:val="00642437"/>
    <w:rsid w:val="00642516"/>
    <w:rsid w:val="006429A9"/>
    <w:rsid w:val="00644037"/>
    <w:rsid w:val="00644149"/>
    <w:rsid w:val="006442A1"/>
    <w:rsid w:val="00644633"/>
    <w:rsid w:val="00644DA6"/>
    <w:rsid w:val="0064521E"/>
    <w:rsid w:val="00645273"/>
    <w:rsid w:val="00645952"/>
    <w:rsid w:val="00645A9E"/>
    <w:rsid w:val="00645BBD"/>
    <w:rsid w:val="00645CEE"/>
    <w:rsid w:val="00646C69"/>
    <w:rsid w:val="006472EE"/>
    <w:rsid w:val="00647438"/>
    <w:rsid w:val="00647952"/>
    <w:rsid w:val="00650CEF"/>
    <w:rsid w:val="00650E9D"/>
    <w:rsid w:val="00650EA0"/>
    <w:rsid w:val="00650FE4"/>
    <w:rsid w:val="006514D1"/>
    <w:rsid w:val="006518ED"/>
    <w:rsid w:val="00651991"/>
    <w:rsid w:val="00651D07"/>
    <w:rsid w:val="00651DFE"/>
    <w:rsid w:val="006523D2"/>
    <w:rsid w:val="006528A5"/>
    <w:rsid w:val="00652B78"/>
    <w:rsid w:val="00652EC5"/>
    <w:rsid w:val="006542A5"/>
    <w:rsid w:val="00654B74"/>
    <w:rsid w:val="00655036"/>
    <w:rsid w:val="0065569C"/>
    <w:rsid w:val="006559D9"/>
    <w:rsid w:val="00656243"/>
    <w:rsid w:val="006575A8"/>
    <w:rsid w:val="00657AB8"/>
    <w:rsid w:val="00657FF6"/>
    <w:rsid w:val="006609FA"/>
    <w:rsid w:val="00660E0A"/>
    <w:rsid w:val="006610E5"/>
    <w:rsid w:val="00661A01"/>
    <w:rsid w:val="00661D01"/>
    <w:rsid w:val="00661E79"/>
    <w:rsid w:val="0066253E"/>
    <w:rsid w:val="00663A3F"/>
    <w:rsid w:val="006646BC"/>
    <w:rsid w:val="006648B9"/>
    <w:rsid w:val="00665835"/>
    <w:rsid w:val="00665C38"/>
    <w:rsid w:val="00665E54"/>
    <w:rsid w:val="00665FB8"/>
    <w:rsid w:val="00666155"/>
    <w:rsid w:val="00666889"/>
    <w:rsid w:val="0066690D"/>
    <w:rsid w:val="00666A71"/>
    <w:rsid w:val="00666AB1"/>
    <w:rsid w:val="00666B3E"/>
    <w:rsid w:val="00667A73"/>
    <w:rsid w:val="00667D59"/>
    <w:rsid w:val="006707FF"/>
    <w:rsid w:val="006712D6"/>
    <w:rsid w:val="00671809"/>
    <w:rsid w:val="00672195"/>
    <w:rsid w:val="00672551"/>
    <w:rsid w:val="00673C2E"/>
    <w:rsid w:val="00673F83"/>
    <w:rsid w:val="00674355"/>
    <w:rsid w:val="00674441"/>
    <w:rsid w:val="006753F2"/>
    <w:rsid w:val="0067581C"/>
    <w:rsid w:val="006758BC"/>
    <w:rsid w:val="00675A2E"/>
    <w:rsid w:val="00675E10"/>
    <w:rsid w:val="0067606C"/>
    <w:rsid w:val="00676DCB"/>
    <w:rsid w:val="00676E50"/>
    <w:rsid w:val="00677569"/>
    <w:rsid w:val="006809BA"/>
    <w:rsid w:val="00680A8C"/>
    <w:rsid w:val="00680AD0"/>
    <w:rsid w:val="006818CB"/>
    <w:rsid w:val="006821B5"/>
    <w:rsid w:val="006822D6"/>
    <w:rsid w:val="006828FB"/>
    <w:rsid w:val="00684155"/>
    <w:rsid w:val="00684CDA"/>
    <w:rsid w:val="00686211"/>
    <w:rsid w:val="00686613"/>
    <w:rsid w:val="00686851"/>
    <w:rsid w:val="00687052"/>
    <w:rsid w:val="00687ACC"/>
    <w:rsid w:val="00687E0D"/>
    <w:rsid w:val="00690003"/>
    <w:rsid w:val="006901C9"/>
    <w:rsid w:val="006906D8"/>
    <w:rsid w:val="00691C0D"/>
    <w:rsid w:val="00692AF4"/>
    <w:rsid w:val="00692BF6"/>
    <w:rsid w:val="00693BB3"/>
    <w:rsid w:val="0069483C"/>
    <w:rsid w:val="006952E7"/>
    <w:rsid w:val="00695512"/>
    <w:rsid w:val="00696582"/>
    <w:rsid w:val="006966A4"/>
    <w:rsid w:val="006972EE"/>
    <w:rsid w:val="0069731A"/>
    <w:rsid w:val="00697A33"/>
    <w:rsid w:val="00697D64"/>
    <w:rsid w:val="00697DEB"/>
    <w:rsid w:val="006A0C95"/>
    <w:rsid w:val="006A0DA0"/>
    <w:rsid w:val="006A0DC0"/>
    <w:rsid w:val="006A1596"/>
    <w:rsid w:val="006A21E9"/>
    <w:rsid w:val="006A2758"/>
    <w:rsid w:val="006A2D23"/>
    <w:rsid w:val="006A38F6"/>
    <w:rsid w:val="006A3D6E"/>
    <w:rsid w:val="006A3EB4"/>
    <w:rsid w:val="006A40B7"/>
    <w:rsid w:val="006A462F"/>
    <w:rsid w:val="006A47F4"/>
    <w:rsid w:val="006A5396"/>
    <w:rsid w:val="006A59AC"/>
    <w:rsid w:val="006A5BE5"/>
    <w:rsid w:val="006A61CE"/>
    <w:rsid w:val="006A707B"/>
    <w:rsid w:val="006A70EE"/>
    <w:rsid w:val="006A720C"/>
    <w:rsid w:val="006A736E"/>
    <w:rsid w:val="006B0828"/>
    <w:rsid w:val="006B09D2"/>
    <w:rsid w:val="006B0DBD"/>
    <w:rsid w:val="006B10B5"/>
    <w:rsid w:val="006B1E8F"/>
    <w:rsid w:val="006B2985"/>
    <w:rsid w:val="006B2A90"/>
    <w:rsid w:val="006B3E0C"/>
    <w:rsid w:val="006B3ED4"/>
    <w:rsid w:val="006B429E"/>
    <w:rsid w:val="006B4B9E"/>
    <w:rsid w:val="006B5B6C"/>
    <w:rsid w:val="006B5CBB"/>
    <w:rsid w:val="006B6121"/>
    <w:rsid w:val="006B622E"/>
    <w:rsid w:val="006B62DB"/>
    <w:rsid w:val="006B7374"/>
    <w:rsid w:val="006B7482"/>
    <w:rsid w:val="006B7989"/>
    <w:rsid w:val="006B7F06"/>
    <w:rsid w:val="006B7FED"/>
    <w:rsid w:val="006C01AC"/>
    <w:rsid w:val="006C0698"/>
    <w:rsid w:val="006C0CB1"/>
    <w:rsid w:val="006C0EC2"/>
    <w:rsid w:val="006C1418"/>
    <w:rsid w:val="006C1A02"/>
    <w:rsid w:val="006C1E13"/>
    <w:rsid w:val="006C1FC8"/>
    <w:rsid w:val="006C243B"/>
    <w:rsid w:val="006C254D"/>
    <w:rsid w:val="006C3079"/>
    <w:rsid w:val="006C363B"/>
    <w:rsid w:val="006C3725"/>
    <w:rsid w:val="006C492C"/>
    <w:rsid w:val="006C4DBD"/>
    <w:rsid w:val="006C507B"/>
    <w:rsid w:val="006C518C"/>
    <w:rsid w:val="006C5C59"/>
    <w:rsid w:val="006C5E2B"/>
    <w:rsid w:val="006C6E25"/>
    <w:rsid w:val="006C794B"/>
    <w:rsid w:val="006D13CA"/>
    <w:rsid w:val="006D158D"/>
    <w:rsid w:val="006D17C6"/>
    <w:rsid w:val="006D296E"/>
    <w:rsid w:val="006D2F28"/>
    <w:rsid w:val="006D455F"/>
    <w:rsid w:val="006D50D8"/>
    <w:rsid w:val="006D530D"/>
    <w:rsid w:val="006D5636"/>
    <w:rsid w:val="006D5B39"/>
    <w:rsid w:val="006D615A"/>
    <w:rsid w:val="006D63B0"/>
    <w:rsid w:val="006D7A4E"/>
    <w:rsid w:val="006E0388"/>
    <w:rsid w:val="006E054A"/>
    <w:rsid w:val="006E0D39"/>
    <w:rsid w:val="006E0EDC"/>
    <w:rsid w:val="006E12FA"/>
    <w:rsid w:val="006E13F7"/>
    <w:rsid w:val="006E1D5D"/>
    <w:rsid w:val="006E1EB5"/>
    <w:rsid w:val="006E1F04"/>
    <w:rsid w:val="006E26BE"/>
    <w:rsid w:val="006E29C5"/>
    <w:rsid w:val="006E2B0A"/>
    <w:rsid w:val="006E2E59"/>
    <w:rsid w:val="006E3143"/>
    <w:rsid w:val="006E3265"/>
    <w:rsid w:val="006E4392"/>
    <w:rsid w:val="006E47B1"/>
    <w:rsid w:val="006E49D6"/>
    <w:rsid w:val="006E6652"/>
    <w:rsid w:val="006E7266"/>
    <w:rsid w:val="006E7722"/>
    <w:rsid w:val="006E7848"/>
    <w:rsid w:val="006E7AE6"/>
    <w:rsid w:val="006E7BD8"/>
    <w:rsid w:val="006E7CD2"/>
    <w:rsid w:val="006E7F36"/>
    <w:rsid w:val="006F0114"/>
    <w:rsid w:val="006F0F96"/>
    <w:rsid w:val="006F1E2E"/>
    <w:rsid w:val="006F2864"/>
    <w:rsid w:val="006F3AD3"/>
    <w:rsid w:val="006F428D"/>
    <w:rsid w:val="006F486A"/>
    <w:rsid w:val="006F4BC8"/>
    <w:rsid w:val="006F5CED"/>
    <w:rsid w:val="006F5D39"/>
    <w:rsid w:val="006F6480"/>
    <w:rsid w:val="006F663B"/>
    <w:rsid w:val="006F6D37"/>
    <w:rsid w:val="006F75FC"/>
    <w:rsid w:val="006F7759"/>
    <w:rsid w:val="006F77D1"/>
    <w:rsid w:val="006F7889"/>
    <w:rsid w:val="006F7CF3"/>
    <w:rsid w:val="00700D8C"/>
    <w:rsid w:val="007010A9"/>
    <w:rsid w:val="007024DC"/>
    <w:rsid w:val="0070360E"/>
    <w:rsid w:val="007036B1"/>
    <w:rsid w:val="00703F5D"/>
    <w:rsid w:val="007040BD"/>
    <w:rsid w:val="00704A43"/>
    <w:rsid w:val="00704CBB"/>
    <w:rsid w:val="00704E13"/>
    <w:rsid w:val="00704F93"/>
    <w:rsid w:val="00705415"/>
    <w:rsid w:val="007056ED"/>
    <w:rsid w:val="00705A51"/>
    <w:rsid w:val="0071015B"/>
    <w:rsid w:val="00710303"/>
    <w:rsid w:val="00710514"/>
    <w:rsid w:val="0071070E"/>
    <w:rsid w:val="0071077D"/>
    <w:rsid w:val="00710DBC"/>
    <w:rsid w:val="007110D8"/>
    <w:rsid w:val="00711797"/>
    <w:rsid w:val="007117E3"/>
    <w:rsid w:val="00711DC8"/>
    <w:rsid w:val="00712D05"/>
    <w:rsid w:val="00712F96"/>
    <w:rsid w:val="007138C5"/>
    <w:rsid w:val="007141AB"/>
    <w:rsid w:val="007143EB"/>
    <w:rsid w:val="007150FC"/>
    <w:rsid w:val="00715A5A"/>
    <w:rsid w:val="00715E79"/>
    <w:rsid w:val="007163FA"/>
    <w:rsid w:val="0071657D"/>
    <w:rsid w:val="00716A9C"/>
    <w:rsid w:val="0071712E"/>
    <w:rsid w:val="00717288"/>
    <w:rsid w:val="00717565"/>
    <w:rsid w:val="007175CD"/>
    <w:rsid w:val="007179F0"/>
    <w:rsid w:val="00720812"/>
    <w:rsid w:val="00721699"/>
    <w:rsid w:val="00721768"/>
    <w:rsid w:val="00721A53"/>
    <w:rsid w:val="00721BC8"/>
    <w:rsid w:val="00721C1B"/>
    <w:rsid w:val="00723A49"/>
    <w:rsid w:val="00723FA2"/>
    <w:rsid w:val="00725148"/>
    <w:rsid w:val="00725303"/>
    <w:rsid w:val="00725F08"/>
    <w:rsid w:val="00726B39"/>
    <w:rsid w:val="00726EE3"/>
    <w:rsid w:val="00731B06"/>
    <w:rsid w:val="00731F4B"/>
    <w:rsid w:val="00731F86"/>
    <w:rsid w:val="007321C0"/>
    <w:rsid w:val="00732252"/>
    <w:rsid w:val="00732334"/>
    <w:rsid w:val="0073239C"/>
    <w:rsid w:val="00732671"/>
    <w:rsid w:val="007328F3"/>
    <w:rsid w:val="00732F25"/>
    <w:rsid w:val="00732F4A"/>
    <w:rsid w:val="0073326A"/>
    <w:rsid w:val="0073334A"/>
    <w:rsid w:val="007336EA"/>
    <w:rsid w:val="00733ADA"/>
    <w:rsid w:val="00733EF2"/>
    <w:rsid w:val="00734A51"/>
    <w:rsid w:val="00734B3E"/>
    <w:rsid w:val="00734F74"/>
    <w:rsid w:val="0073519D"/>
    <w:rsid w:val="00735939"/>
    <w:rsid w:val="00735E43"/>
    <w:rsid w:val="00735FC7"/>
    <w:rsid w:val="00737221"/>
    <w:rsid w:val="00737227"/>
    <w:rsid w:val="0073757E"/>
    <w:rsid w:val="00737ED1"/>
    <w:rsid w:val="007401CE"/>
    <w:rsid w:val="007402DD"/>
    <w:rsid w:val="00740317"/>
    <w:rsid w:val="007404B8"/>
    <w:rsid w:val="007406F5"/>
    <w:rsid w:val="00740EC6"/>
    <w:rsid w:val="007419B0"/>
    <w:rsid w:val="00741FE1"/>
    <w:rsid w:val="0074250B"/>
    <w:rsid w:val="0074266E"/>
    <w:rsid w:val="00742C5C"/>
    <w:rsid w:val="00742E34"/>
    <w:rsid w:val="00742F8D"/>
    <w:rsid w:val="00743095"/>
    <w:rsid w:val="007443CD"/>
    <w:rsid w:val="00744448"/>
    <w:rsid w:val="00744515"/>
    <w:rsid w:val="00744D8F"/>
    <w:rsid w:val="007450AC"/>
    <w:rsid w:val="007455F4"/>
    <w:rsid w:val="007464E1"/>
    <w:rsid w:val="00746A69"/>
    <w:rsid w:val="00747277"/>
    <w:rsid w:val="00747C5A"/>
    <w:rsid w:val="00747D6E"/>
    <w:rsid w:val="007503E2"/>
    <w:rsid w:val="00750C65"/>
    <w:rsid w:val="0075115A"/>
    <w:rsid w:val="007527DE"/>
    <w:rsid w:val="00752B52"/>
    <w:rsid w:val="00752EE7"/>
    <w:rsid w:val="0075334A"/>
    <w:rsid w:val="0075483E"/>
    <w:rsid w:val="00754A55"/>
    <w:rsid w:val="007553C3"/>
    <w:rsid w:val="00756590"/>
    <w:rsid w:val="007565BC"/>
    <w:rsid w:val="00757626"/>
    <w:rsid w:val="00757CA2"/>
    <w:rsid w:val="00760051"/>
    <w:rsid w:val="007602DC"/>
    <w:rsid w:val="00760972"/>
    <w:rsid w:val="00760B23"/>
    <w:rsid w:val="0076172F"/>
    <w:rsid w:val="00761843"/>
    <w:rsid w:val="007625C9"/>
    <w:rsid w:val="00762717"/>
    <w:rsid w:val="00763BD6"/>
    <w:rsid w:val="00763CC0"/>
    <w:rsid w:val="0076432B"/>
    <w:rsid w:val="00764DEA"/>
    <w:rsid w:val="00764FC2"/>
    <w:rsid w:val="00765389"/>
    <w:rsid w:val="007654E6"/>
    <w:rsid w:val="00765585"/>
    <w:rsid w:val="00765998"/>
    <w:rsid w:val="00765DA4"/>
    <w:rsid w:val="007668DE"/>
    <w:rsid w:val="00767867"/>
    <w:rsid w:val="00767FFD"/>
    <w:rsid w:val="007706BC"/>
    <w:rsid w:val="0077119E"/>
    <w:rsid w:val="007711E6"/>
    <w:rsid w:val="00771332"/>
    <w:rsid w:val="00772B45"/>
    <w:rsid w:val="0077392B"/>
    <w:rsid w:val="0077497E"/>
    <w:rsid w:val="00775120"/>
    <w:rsid w:val="00775266"/>
    <w:rsid w:val="00775436"/>
    <w:rsid w:val="00775C2B"/>
    <w:rsid w:val="00776958"/>
    <w:rsid w:val="007773C5"/>
    <w:rsid w:val="00777710"/>
    <w:rsid w:val="00777F5B"/>
    <w:rsid w:val="00781893"/>
    <w:rsid w:val="00782282"/>
    <w:rsid w:val="0078238D"/>
    <w:rsid w:val="00782AB7"/>
    <w:rsid w:val="00783315"/>
    <w:rsid w:val="00783668"/>
    <w:rsid w:val="0078391A"/>
    <w:rsid w:val="00783A5E"/>
    <w:rsid w:val="00783F00"/>
    <w:rsid w:val="00784120"/>
    <w:rsid w:val="00784342"/>
    <w:rsid w:val="007844EE"/>
    <w:rsid w:val="007845FE"/>
    <w:rsid w:val="00784C4B"/>
    <w:rsid w:val="0078545A"/>
    <w:rsid w:val="00785CCC"/>
    <w:rsid w:val="00785D42"/>
    <w:rsid w:val="00786120"/>
    <w:rsid w:val="00786220"/>
    <w:rsid w:val="007863F7"/>
    <w:rsid w:val="007872D5"/>
    <w:rsid w:val="00787305"/>
    <w:rsid w:val="007900BF"/>
    <w:rsid w:val="00790128"/>
    <w:rsid w:val="0079023C"/>
    <w:rsid w:val="0079069A"/>
    <w:rsid w:val="00790940"/>
    <w:rsid w:val="0079138D"/>
    <w:rsid w:val="0079143C"/>
    <w:rsid w:val="00791A2D"/>
    <w:rsid w:val="00793207"/>
    <w:rsid w:val="00793569"/>
    <w:rsid w:val="0079399B"/>
    <w:rsid w:val="00793E48"/>
    <w:rsid w:val="007943E4"/>
    <w:rsid w:val="007958D9"/>
    <w:rsid w:val="00796EB4"/>
    <w:rsid w:val="00797053"/>
    <w:rsid w:val="00797A86"/>
    <w:rsid w:val="00797B93"/>
    <w:rsid w:val="00797FD9"/>
    <w:rsid w:val="007A06E7"/>
    <w:rsid w:val="007A0BBB"/>
    <w:rsid w:val="007A219C"/>
    <w:rsid w:val="007A259A"/>
    <w:rsid w:val="007A2AF7"/>
    <w:rsid w:val="007A2B31"/>
    <w:rsid w:val="007A3155"/>
    <w:rsid w:val="007A34E6"/>
    <w:rsid w:val="007A3EBA"/>
    <w:rsid w:val="007A40D6"/>
    <w:rsid w:val="007A44D0"/>
    <w:rsid w:val="007A4A7B"/>
    <w:rsid w:val="007A5747"/>
    <w:rsid w:val="007A57EB"/>
    <w:rsid w:val="007A5B29"/>
    <w:rsid w:val="007A5B44"/>
    <w:rsid w:val="007A67D3"/>
    <w:rsid w:val="007A68E7"/>
    <w:rsid w:val="007A7406"/>
    <w:rsid w:val="007A7489"/>
    <w:rsid w:val="007A7E89"/>
    <w:rsid w:val="007B0472"/>
    <w:rsid w:val="007B0838"/>
    <w:rsid w:val="007B095A"/>
    <w:rsid w:val="007B095C"/>
    <w:rsid w:val="007B0B76"/>
    <w:rsid w:val="007B0D1E"/>
    <w:rsid w:val="007B0F16"/>
    <w:rsid w:val="007B15FF"/>
    <w:rsid w:val="007B35B9"/>
    <w:rsid w:val="007B3FEB"/>
    <w:rsid w:val="007B44CD"/>
    <w:rsid w:val="007B4651"/>
    <w:rsid w:val="007B4C8E"/>
    <w:rsid w:val="007B4CDE"/>
    <w:rsid w:val="007B53A7"/>
    <w:rsid w:val="007B5AB0"/>
    <w:rsid w:val="007B6DF9"/>
    <w:rsid w:val="007B74B7"/>
    <w:rsid w:val="007B798A"/>
    <w:rsid w:val="007B7E1D"/>
    <w:rsid w:val="007C05B4"/>
    <w:rsid w:val="007C0E4B"/>
    <w:rsid w:val="007C129B"/>
    <w:rsid w:val="007C16AB"/>
    <w:rsid w:val="007C19D0"/>
    <w:rsid w:val="007C1D0A"/>
    <w:rsid w:val="007C22D9"/>
    <w:rsid w:val="007C2918"/>
    <w:rsid w:val="007C2B10"/>
    <w:rsid w:val="007C3567"/>
    <w:rsid w:val="007C3C1C"/>
    <w:rsid w:val="007C40DC"/>
    <w:rsid w:val="007C43A7"/>
    <w:rsid w:val="007C44CD"/>
    <w:rsid w:val="007C4996"/>
    <w:rsid w:val="007C4F8B"/>
    <w:rsid w:val="007C58FD"/>
    <w:rsid w:val="007C66F8"/>
    <w:rsid w:val="007C6A31"/>
    <w:rsid w:val="007C6D7C"/>
    <w:rsid w:val="007C728A"/>
    <w:rsid w:val="007C752A"/>
    <w:rsid w:val="007C77A2"/>
    <w:rsid w:val="007C7D36"/>
    <w:rsid w:val="007C7EF5"/>
    <w:rsid w:val="007D0442"/>
    <w:rsid w:val="007D11AA"/>
    <w:rsid w:val="007D172C"/>
    <w:rsid w:val="007D1774"/>
    <w:rsid w:val="007D1893"/>
    <w:rsid w:val="007D34FD"/>
    <w:rsid w:val="007D3C40"/>
    <w:rsid w:val="007D3CB6"/>
    <w:rsid w:val="007D3ED6"/>
    <w:rsid w:val="007D4056"/>
    <w:rsid w:val="007D4124"/>
    <w:rsid w:val="007D4BEA"/>
    <w:rsid w:val="007D54D5"/>
    <w:rsid w:val="007D5900"/>
    <w:rsid w:val="007D5931"/>
    <w:rsid w:val="007D6055"/>
    <w:rsid w:val="007D63F0"/>
    <w:rsid w:val="007D77BB"/>
    <w:rsid w:val="007D780B"/>
    <w:rsid w:val="007D79E1"/>
    <w:rsid w:val="007E024E"/>
    <w:rsid w:val="007E0492"/>
    <w:rsid w:val="007E04BE"/>
    <w:rsid w:val="007E2600"/>
    <w:rsid w:val="007E33F7"/>
    <w:rsid w:val="007E3D0F"/>
    <w:rsid w:val="007E42F9"/>
    <w:rsid w:val="007E4745"/>
    <w:rsid w:val="007E48EB"/>
    <w:rsid w:val="007E4DC5"/>
    <w:rsid w:val="007E4E7E"/>
    <w:rsid w:val="007E4EB2"/>
    <w:rsid w:val="007E518C"/>
    <w:rsid w:val="007E5339"/>
    <w:rsid w:val="007E5BB2"/>
    <w:rsid w:val="007E5F23"/>
    <w:rsid w:val="007E60E8"/>
    <w:rsid w:val="007E6976"/>
    <w:rsid w:val="007E6CDB"/>
    <w:rsid w:val="007E79AE"/>
    <w:rsid w:val="007E7FE6"/>
    <w:rsid w:val="007F02B7"/>
    <w:rsid w:val="007F0D71"/>
    <w:rsid w:val="007F18DC"/>
    <w:rsid w:val="007F1E95"/>
    <w:rsid w:val="007F218A"/>
    <w:rsid w:val="007F271B"/>
    <w:rsid w:val="007F304A"/>
    <w:rsid w:val="007F31BD"/>
    <w:rsid w:val="007F3A75"/>
    <w:rsid w:val="007F4399"/>
    <w:rsid w:val="007F57FD"/>
    <w:rsid w:val="007F6385"/>
    <w:rsid w:val="007F6738"/>
    <w:rsid w:val="007F6A75"/>
    <w:rsid w:val="007F70ED"/>
    <w:rsid w:val="007F7DE0"/>
    <w:rsid w:val="0080097F"/>
    <w:rsid w:val="00800F49"/>
    <w:rsid w:val="008015DD"/>
    <w:rsid w:val="00801621"/>
    <w:rsid w:val="00801A6E"/>
    <w:rsid w:val="00801ADF"/>
    <w:rsid w:val="00801DC2"/>
    <w:rsid w:val="00801EA9"/>
    <w:rsid w:val="00801F40"/>
    <w:rsid w:val="00802096"/>
    <w:rsid w:val="008022FA"/>
    <w:rsid w:val="008023BD"/>
    <w:rsid w:val="0080258E"/>
    <w:rsid w:val="0080274C"/>
    <w:rsid w:val="00802938"/>
    <w:rsid w:val="00802AAA"/>
    <w:rsid w:val="00802D55"/>
    <w:rsid w:val="00803066"/>
    <w:rsid w:val="008046CC"/>
    <w:rsid w:val="00804D29"/>
    <w:rsid w:val="00804D2E"/>
    <w:rsid w:val="0080603D"/>
    <w:rsid w:val="0080688E"/>
    <w:rsid w:val="00806A37"/>
    <w:rsid w:val="00806BB0"/>
    <w:rsid w:val="0080702B"/>
    <w:rsid w:val="008072C9"/>
    <w:rsid w:val="00807874"/>
    <w:rsid w:val="00807E54"/>
    <w:rsid w:val="00807E69"/>
    <w:rsid w:val="0081036A"/>
    <w:rsid w:val="00810CCC"/>
    <w:rsid w:val="00810E90"/>
    <w:rsid w:val="00810F5E"/>
    <w:rsid w:val="008126B8"/>
    <w:rsid w:val="0081309B"/>
    <w:rsid w:val="00813116"/>
    <w:rsid w:val="00813404"/>
    <w:rsid w:val="008138DC"/>
    <w:rsid w:val="00814151"/>
    <w:rsid w:val="0081418D"/>
    <w:rsid w:val="00814B22"/>
    <w:rsid w:val="00814EED"/>
    <w:rsid w:val="0081526E"/>
    <w:rsid w:val="008156BF"/>
    <w:rsid w:val="00815810"/>
    <w:rsid w:val="00815B81"/>
    <w:rsid w:val="008167B0"/>
    <w:rsid w:val="00816AF0"/>
    <w:rsid w:val="00817981"/>
    <w:rsid w:val="008200CF"/>
    <w:rsid w:val="00820203"/>
    <w:rsid w:val="00820530"/>
    <w:rsid w:val="00820D27"/>
    <w:rsid w:val="00820D95"/>
    <w:rsid w:val="00821401"/>
    <w:rsid w:val="00821829"/>
    <w:rsid w:val="00821C61"/>
    <w:rsid w:val="00821CF4"/>
    <w:rsid w:val="00822437"/>
    <w:rsid w:val="00823209"/>
    <w:rsid w:val="00823407"/>
    <w:rsid w:val="008236AD"/>
    <w:rsid w:val="0082371E"/>
    <w:rsid w:val="0082396B"/>
    <w:rsid w:val="0082420D"/>
    <w:rsid w:val="008249E4"/>
    <w:rsid w:val="00824EF0"/>
    <w:rsid w:val="0082603A"/>
    <w:rsid w:val="008263A2"/>
    <w:rsid w:val="008263AE"/>
    <w:rsid w:val="00826AD6"/>
    <w:rsid w:val="008271E3"/>
    <w:rsid w:val="008276E1"/>
    <w:rsid w:val="00827CD2"/>
    <w:rsid w:val="008302B6"/>
    <w:rsid w:val="008305AE"/>
    <w:rsid w:val="00830A39"/>
    <w:rsid w:val="00830D5B"/>
    <w:rsid w:val="00830DEB"/>
    <w:rsid w:val="00830EF0"/>
    <w:rsid w:val="00831979"/>
    <w:rsid w:val="00832251"/>
    <w:rsid w:val="00832577"/>
    <w:rsid w:val="008329FB"/>
    <w:rsid w:val="00832C51"/>
    <w:rsid w:val="00833274"/>
    <w:rsid w:val="00833709"/>
    <w:rsid w:val="008337E5"/>
    <w:rsid w:val="008339CD"/>
    <w:rsid w:val="00833B84"/>
    <w:rsid w:val="0083474B"/>
    <w:rsid w:val="00834D2F"/>
    <w:rsid w:val="00835B2C"/>
    <w:rsid w:val="00835EF6"/>
    <w:rsid w:val="00835F3F"/>
    <w:rsid w:val="00836870"/>
    <w:rsid w:val="008369AA"/>
    <w:rsid w:val="00836F61"/>
    <w:rsid w:val="00837919"/>
    <w:rsid w:val="00840C62"/>
    <w:rsid w:val="00841307"/>
    <w:rsid w:val="00842ECC"/>
    <w:rsid w:val="00842EE8"/>
    <w:rsid w:val="00843345"/>
    <w:rsid w:val="00843D36"/>
    <w:rsid w:val="00843FA8"/>
    <w:rsid w:val="00844AC7"/>
    <w:rsid w:val="00844EE4"/>
    <w:rsid w:val="0084537D"/>
    <w:rsid w:val="00845B03"/>
    <w:rsid w:val="00845F9F"/>
    <w:rsid w:val="0084673A"/>
    <w:rsid w:val="00846809"/>
    <w:rsid w:val="00846839"/>
    <w:rsid w:val="00846E06"/>
    <w:rsid w:val="00847987"/>
    <w:rsid w:val="00847F99"/>
    <w:rsid w:val="00850F2D"/>
    <w:rsid w:val="008514F4"/>
    <w:rsid w:val="00851DC4"/>
    <w:rsid w:val="00851F73"/>
    <w:rsid w:val="00852130"/>
    <w:rsid w:val="0085252C"/>
    <w:rsid w:val="00853BD7"/>
    <w:rsid w:val="00853F56"/>
    <w:rsid w:val="0085475E"/>
    <w:rsid w:val="008551C7"/>
    <w:rsid w:val="008557E9"/>
    <w:rsid w:val="00855837"/>
    <w:rsid w:val="00855AA9"/>
    <w:rsid w:val="00855B30"/>
    <w:rsid w:val="00857203"/>
    <w:rsid w:val="00860040"/>
    <w:rsid w:val="00861207"/>
    <w:rsid w:val="00861485"/>
    <w:rsid w:val="008615E4"/>
    <w:rsid w:val="00861B4B"/>
    <w:rsid w:val="00861C83"/>
    <w:rsid w:val="00861DCB"/>
    <w:rsid w:val="00862446"/>
    <w:rsid w:val="00862CC1"/>
    <w:rsid w:val="00862CDB"/>
    <w:rsid w:val="00863791"/>
    <w:rsid w:val="00864135"/>
    <w:rsid w:val="008641F1"/>
    <w:rsid w:val="008650CE"/>
    <w:rsid w:val="00865915"/>
    <w:rsid w:val="00867968"/>
    <w:rsid w:val="00867C4E"/>
    <w:rsid w:val="008702A5"/>
    <w:rsid w:val="0087079F"/>
    <w:rsid w:val="00870976"/>
    <w:rsid w:val="0087098C"/>
    <w:rsid w:val="00870C96"/>
    <w:rsid w:val="00870FA5"/>
    <w:rsid w:val="00871146"/>
    <w:rsid w:val="00872D42"/>
    <w:rsid w:val="00873041"/>
    <w:rsid w:val="00873105"/>
    <w:rsid w:val="0087314D"/>
    <w:rsid w:val="0087375C"/>
    <w:rsid w:val="00873797"/>
    <w:rsid w:val="00873C7B"/>
    <w:rsid w:val="00873F25"/>
    <w:rsid w:val="00874560"/>
    <w:rsid w:val="008745D0"/>
    <w:rsid w:val="00874793"/>
    <w:rsid w:val="00874DDF"/>
    <w:rsid w:val="00875397"/>
    <w:rsid w:val="00876153"/>
    <w:rsid w:val="0087652F"/>
    <w:rsid w:val="00876599"/>
    <w:rsid w:val="008771BD"/>
    <w:rsid w:val="0087756A"/>
    <w:rsid w:val="00880E12"/>
    <w:rsid w:val="00881F0D"/>
    <w:rsid w:val="008824F2"/>
    <w:rsid w:val="008827FC"/>
    <w:rsid w:val="008838D9"/>
    <w:rsid w:val="00883BFD"/>
    <w:rsid w:val="00883E10"/>
    <w:rsid w:val="0088484E"/>
    <w:rsid w:val="008848EF"/>
    <w:rsid w:val="0088498F"/>
    <w:rsid w:val="00884BF5"/>
    <w:rsid w:val="00884FB9"/>
    <w:rsid w:val="008858DC"/>
    <w:rsid w:val="00885E86"/>
    <w:rsid w:val="008864AD"/>
    <w:rsid w:val="00886843"/>
    <w:rsid w:val="00886D3A"/>
    <w:rsid w:val="0089028D"/>
    <w:rsid w:val="008902F8"/>
    <w:rsid w:val="008917C2"/>
    <w:rsid w:val="00891BC1"/>
    <w:rsid w:val="008927C5"/>
    <w:rsid w:val="0089294F"/>
    <w:rsid w:val="00892CC0"/>
    <w:rsid w:val="00892D3B"/>
    <w:rsid w:val="00892E56"/>
    <w:rsid w:val="008933E2"/>
    <w:rsid w:val="0089341D"/>
    <w:rsid w:val="0089370F"/>
    <w:rsid w:val="00893EBD"/>
    <w:rsid w:val="008942BE"/>
    <w:rsid w:val="0089432F"/>
    <w:rsid w:val="008944F9"/>
    <w:rsid w:val="00895696"/>
    <w:rsid w:val="00895D5B"/>
    <w:rsid w:val="00895D6D"/>
    <w:rsid w:val="00895FDF"/>
    <w:rsid w:val="0089691C"/>
    <w:rsid w:val="00896B96"/>
    <w:rsid w:val="0089779A"/>
    <w:rsid w:val="008A14BE"/>
    <w:rsid w:val="008A169F"/>
    <w:rsid w:val="008A187A"/>
    <w:rsid w:val="008A1C13"/>
    <w:rsid w:val="008A200E"/>
    <w:rsid w:val="008A212B"/>
    <w:rsid w:val="008A2238"/>
    <w:rsid w:val="008A2CAD"/>
    <w:rsid w:val="008A32CF"/>
    <w:rsid w:val="008A3D5D"/>
    <w:rsid w:val="008A43FF"/>
    <w:rsid w:val="008A57B2"/>
    <w:rsid w:val="008A5A1B"/>
    <w:rsid w:val="008A5B56"/>
    <w:rsid w:val="008A5B8D"/>
    <w:rsid w:val="008A6030"/>
    <w:rsid w:val="008A64F1"/>
    <w:rsid w:val="008A6DD0"/>
    <w:rsid w:val="008A75C2"/>
    <w:rsid w:val="008B00FC"/>
    <w:rsid w:val="008B0259"/>
    <w:rsid w:val="008B028A"/>
    <w:rsid w:val="008B0DE7"/>
    <w:rsid w:val="008B0E6C"/>
    <w:rsid w:val="008B222F"/>
    <w:rsid w:val="008B2AEF"/>
    <w:rsid w:val="008B3169"/>
    <w:rsid w:val="008B33BB"/>
    <w:rsid w:val="008B3B36"/>
    <w:rsid w:val="008B3DA0"/>
    <w:rsid w:val="008B44D7"/>
    <w:rsid w:val="008B4CE4"/>
    <w:rsid w:val="008B5563"/>
    <w:rsid w:val="008B57CA"/>
    <w:rsid w:val="008B5B05"/>
    <w:rsid w:val="008B63B4"/>
    <w:rsid w:val="008B6597"/>
    <w:rsid w:val="008B6B6D"/>
    <w:rsid w:val="008B6C8D"/>
    <w:rsid w:val="008B79AD"/>
    <w:rsid w:val="008B7AD8"/>
    <w:rsid w:val="008B7D9F"/>
    <w:rsid w:val="008C07A4"/>
    <w:rsid w:val="008C0AFF"/>
    <w:rsid w:val="008C0BF5"/>
    <w:rsid w:val="008C1009"/>
    <w:rsid w:val="008C11B2"/>
    <w:rsid w:val="008C1222"/>
    <w:rsid w:val="008C15C2"/>
    <w:rsid w:val="008C1BB9"/>
    <w:rsid w:val="008C299E"/>
    <w:rsid w:val="008C3CC7"/>
    <w:rsid w:val="008C3E99"/>
    <w:rsid w:val="008C4BBA"/>
    <w:rsid w:val="008C4C29"/>
    <w:rsid w:val="008C55D0"/>
    <w:rsid w:val="008C5976"/>
    <w:rsid w:val="008C63A0"/>
    <w:rsid w:val="008C6DF3"/>
    <w:rsid w:val="008D13E7"/>
    <w:rsid w:val="008D13FE"/>
    <w:rsid w:val="008D15CF"/>
    <w:rsid w:val="008D1A7D"/>
    <w:rsid w:val="008D2037"/>
    <w:rsid w:val="008D251D"/>
    <w:rsid w:val="008D261D"/>
    <w:rsid w:val="008D2A0C"/>
    <w:rsid w:val="008D319D"/>
    <w:rsid w:val="008D451B"/>
    <w:rsid w:val="008D4E3A"/>
    <w:rsid w:val="008D55C7"/>
    <w:rsid w:val="008D5949"/>
    <w:rsid w:val="008D5E43"/>
    <w:rsid w:val="008D5FE2"/>
    <w:rsid w:val="008D6D4C"/>
    <w:rsid w:val="008D73CF"/>
    <w:rsid w:val="008D78CC"/>
    <w:rsid w:val="008D7CB3"/>
    <w:rsid w:val="008E0105"/>
    <w:rsid w:val="008E04FB"/>
    <w:rsid w:val="008E0564"/>
    <w:rsid w:val="008E13B6"/>
    <w:rsid w:val="008E1540"/>
    <w:rsid w:val="008E19DE"/>
    <w:rsid w:val="008E21A3"/>
    <w:rsid w:val="008E297B"/>
    <w:rsid w:val="008E2EC9"/>
    <w:rsid w:val="008E3192"/>
    <w:rsid w:val="008E3921"/>
    <w:rsid w:val="008E39E7"/>
    <w:rsid w:val="008E3FFB"/>
    <w:rsid w:val="008E4243"/>
    <w:rsid w:val="008E490C"/>
    <w:rsid w:val="008E4F8A"/>
    <w:rsid w:val="008E6B44"/>
    <w:rsid w:val="008E7603"/>
    <w:rsid w:val="008E7744"/>
    <w:rsid w:val="008E7B5A"/>
    <w:rsid w:val="008F0C5C"/>
    <w:rsid w:val="008F0F92"/>
    <w:rsid w:val="008F12D6"/>
    <w:rsid w:val="008F149D"/>
    <w:rsid w:val="008F1B4A"/>
    <w:rsid w:val="008F23B1"/>
    <w:rsid w:val="008F2AF4"/>
    <w:rsid w:val="008F2C13"/>
    <w:rsid w:val="008F3304"/>
    <w:rsid w:val="008F348F"/>
    <w:rsid w:val="008F34A2"/>
    <w:rsid w:val="008F4343"/>
    <w:rsid w:val="008F4B7E"/>
    <w:rsid w:val="008F5225"/>
    <w:rsid w:val="008F52D3"/>
    <w:rsid w:val="008F5BF1"/>
    <w:rsid w:val="008F663B"/>
    <w:rsid w:val="008F694B"/>
    <w:rsid w:val="008F6E15"/>
    <w:rsid w:val="008F73A8"/>
    <w:rsid w:val="00900EBB"/>
    <w:rsid w:val="00900FD4"/>
    <w:rsid w:val="0090132C"/>
    <w:rsid w:val="009013FD"/>
    <w:rsid w:val="0090172E"/>
    <w:rsid w:val="00901C93"/>
    <w:rsid w:val="009023BE"/>
    <w:rsid w:val="009027EB"/>
    <w:rsid w:val="00902FF1"/>
    <w:rsid w:val="009036F0"/>
    <w:rsid w:val="00903A70"/>
    <w:rsid w:val="00903BEF"/>
    <w:rsid w:val="00904B45"/>
    <w:rsid w:val="009051FF"/>
    <w:rsid w:val="00905718"/>
    <w:rsid w:val="00905886"/>
    <w:rsid w:val="00905BF2"/>
    <w:rsid w:val="009068F2"/>
    <w:rsid w:val="00907040"/>
    <w:rsid w:val="00911598"/>
    <w:rsid w:val="00911FD3"/>
    <w:rsid w:val="009132C8"/>
    <w:rsid w:val="009135DB"/>
    <w:rsid w:val="009138B9"/>
    <w:rsid w:val="00913996"/>
    <w:rsid w:val="00914305"/>
    <w:rsid w:val="009143D9"/>
    <w:rsid w:val="00914720"/>
    <w:rsid w:val="009148D5"/>
    <w:rsid w:val="009149F3"/>
    <w:rsid w:val="00914BDC"/>
    <w:rsid w:val="0091571D"/>
    <w:rsid w:val="00915841"/>
    <w:rsid w:val="00915B3E"/>
    <w:rsid w:val="00915BBA"/>
    <w:rsid w:val="00916017"/>
    <w:rsid w:val="00916234"/>
    <w:rsid w:val="00917244"/>
    <w:rsid w:val="00917487"/>
    <w:rsid w:val="009175CA"/>
    <w:rsid w:val="00917730"/>
    <w:rsid w:val="00917840"/>
    <w:rsid w:val="0092004A"/>
    <w:rsid w:val="009201CA"/>
    <w:rsid w:val="009205BB"/>
    <w:rsid w:val="00920647"/>
    <w:rsid w:val="00920654"/>
    <w:rsid w:val="00920676"/>
    <w:rsid w:val="00920DB6"/>
    <w:rsid w:val="0092103F"/>
    <w:rsid w:val="0092135F"/>
    <w:rsid w:val="009217D3"/>
    <w:rsid w:val="00921CC7"/>
    <w:rsid w:val="00922263"/>
    <w:rsid w:val="00922A50"/>
    <w:rsid w:val="0092393F"/>
    <w:rsid w:val="00923FD9"/>
    <w:rsid w:val="009241AB"/>
    <w:rsid w:val="0092445E"/>
    <w:rsid w:val="0092457A"/>
    <w:rsid w:val="0092459C"/>
    <w:rsid w:val="00924B20"/>
    <w:rsid w:val="00924D2D"/>
    <w:rsid w:val="0092519B"/>
    <w:rsid w:val="0092538E"/>
    <w:rsid w:val="0092582D"/>
    <w:rsid w:val="00925902"/>
    <w:rsid w:val="009259FF"/>
    <w:rsid w:val="00925F03"/>
    <w:rsid w:val="009264B1"/>
    <w:rsid w:val="0092668A"/>
    <w:rsid w:val="00926998"/>
    <w:rsid w:val="00926CBC"/>
    <w:rsid w:val="00927118"/>
    <w:rsid w:val="0092749D"/>
    <w:rsid w:val="00927B65"/>
    <w:rsid w:val="0093097E"/>
    <w:rsid w:val="0093108B"/>
    <w:rsid w:val="0093115D"/>
    <w:rsid w:val="00931267"/>
    <w:rsid w:val="00931825"/>
    <w:rsid w:val="00932A5C"/>
    <w:rsid w:val="00933BFE"/>
    <w:rsid w:val="00933DC9"/>
    <w:rsid w:val="00934192"/>
    <w:rsid w:val="00934486"/>
    <w:rsid w:val="00934B40"/>
    <w:rsid w:val="00935FCD"/>
    <w:rsid w:val="00936CF5"/>
    <w:rsid w:val="009372F0"/>
    <w:rsid w:val="00937373"/>
    <w:rsid w:val="009378BF"/>
    <w:rsid w:val="00940138"/>
    <w:rsid w:val="009407E1"/>
    <w:rsid w:val="00940CFC"/>
    <w:rsid w:val="009413BD"/>
    <w:rsid w:val="009417BB"/>
    <w:rsid w:val="00941B4A"/>
    <w:rsid w:val="00941E7E"/>
    <w:rsid w:val="00942454"/>
    <w:rsid w:val="009438F3"/>
    <w:rsid w:val="00943D37"/>
    <w:rsid w:val="00943ED1"/>
    <w:rsid w:val="00944F20"/>
    <w:rsid w:val="00945251"/>
    <w:rsid w:val="009452B3"/>
    <w:rsid w:val="00945681"/>
    <w:rsid w:val="00946488"/>
    <w:rsid w:val="0094668A"/>
    <w:rsid w:val="00946A55"/>
    <w:rsid w:val="009471C9"/>
    <w:rsid w:val="009472CD"/>
    <w:rsid w:val="00947798"/>
    <w:rsid w:val="009478F5"/>
    <w:rsid w:val="00947934"/>
    <w:rsid w:val="0095021D"/>
    <w:rsid w:val="00950452"/>
    <w:rsid w:val="0095103A"/>
    <w:rsid w:val="00951514"/>
    <w:rsid w:val="009542DC"/>
    <w:rsid w:val="00954F02"/>
    <w:rsid w:val="00954FDF"/>
    <w:rsid w:val="00955088"/>
    <w:rsid w:val="0095664D"/>
    <w:rsid w:val="00957387"/>
    <w:rsid w:val="009573AF"/>
    <w:rsid w:val="009579EC"/>
    <w:rsid w:val="00957EC8"/>
    <w:rsid w:val="009614D8"/>
    <w:rsid w:val="00962849"/>
    <w:rsid w:val="00962873"/>
    <w:rsid w:val="00963496"/>
    <w:rsid w:val="00963A19"/>
    <w:rsid w:val="00963C5C"/>
    <w:rsid w:val="00963EA9"/>
    <w:rsid w:val="009651B3"/>
    <w:rsid w:val="009656F2"/>
    <w:rsid w:val="00965717"/>
    <w:rsid w:val="00965A2C"/>
    <w:rsid w:val="00965E46"/>
    <w:rsid w:val="0096662A"/>
    <w:rsid w:val="00966BB7"/>
    <w:rsid w:val="00966D45"/>
    <w:rsid w:val="00967D69"/>
    <w:rsid w:val="0097023B"/>
    <w:rsid w:val="009709BD"/>
    <w:rsid w:val="00971202"/>
    <w:rsid w:val="009716A8"/>
    <w:rsid w:val="009716D7"/>
    <w:rsid w:val="00971FE4"/>
    <w:rsid w:val="00972845"/>
    <w:rsid w:val="009735FE"/>
    <w:rsid w:val="009745F9"/>
    <w:rsid w:val="009767C7"/>
    <w:rsid w:val="0097771C"/>
    <w:rsid w:val="009777FB"/>
    <w:rsid w:val="00977A3A"/>
    <w:rsid w:val="00977A94"/>
    <w:rsid w:val="00980141"/>
    <w:rsid w:val="00980BCD"/>
    <w:rsid w:val="00980F93"/>
    <w:rsid w:val="00981020"/>
    <w:rsid w:val="00981905"/>
    <w:rsid w:val="00981C26"/>
    <w:rsid w:val="00981C2F"/>
    <w:rsid w:val="00981EF8"/>
    <w:rsid w:val="00982A18"/>
    <w:rsid w:val="009830A9"/>
    <w:rsid w:val="00983364"/>
    <w:rsid w:val="00983A73"/>
    <w:rsid w:val="00983B4B"/>
    <w:rsid w:val="00984018"/>
    <w:rsid w:val="0098419A"/>
    <w:rsid w:val="0098474A"/>
    <w:rsid w:val="00984D4A"/>
    <w:rsid w:val="009858C4"/>
    <w:rsid w:val="00985A1F"/>
    <w:rsid w:val="00985E2A"/>
    <w:rsid w:val="009869E6"/>
    <w:rsid w:val="00986E52"/>
    <w:rsid w:val="00987287"/>
    <w:rsid w:val="00987CBA"/>
    <w:rsid w:val="00987CC9"/>
    <w:rsid w:val="00987F2C"/>
    <w:rsid w:val="009908DE"/>
    <w:rsid w:val="00990ECC"/>
    <w:rsid w:val="00991702"/>
    <w:rsid w:val="00991E91"/>
    <w:rsid w:val="00992825"/>
    <w:rsid w:val="00992B13"/>
    <w:rsid w:val="00992E35"/>
    <w:rsid w:val="00992FFE"/>
    <w:rsid w:val="00993661"/>
    <w:rsid w:val="009938BC"/>
    <w:rsid w:val="00994059"/>
    <w:rsid w:val="00994601"/>
    <w:rsid w:val="00994D9C"/>
    <w:rsid w:val="009951AF"/>
    <w:rsid w:val="0099553A"/>
    <w:rsid w:val="009957EF"/>
    <w:rsid w:val="0099581B"/>
    <w:rsid w:val="00995BB4"/>
    <w:rsid w:val="009965CD"/>
    <w:rsid w:val="00996846"/>
    <w:rsid w:val="00996EF9"/>
    <w:rsid w:val="00997696"/>
    <w:rsid w:val="009977F0"/>
    <w:rsid w:val="00997DA5"/>
    <w:rsid w:val="009A0B80"/>
    <w:rsid w:val="009A0C4E"/>
    <w:rsid w:val="009A149A"/>
    <w:rsid w:val="009A33F4"/>
    <w:rsid w:val="009A4222"/>
    <w:rsid w:val="009A4443"/>
    <w:rsid w:val="009A4A99"/>
    <w:rsid w:val="009A4D2D"/>
    <w:rsid w:val="009A4E64"/>
    <w:rsid w:val="009A5041"/>
    <w:rsid w:val="009A5785"/>
    <w:rsid w:val="009A5797"/>
    <w:rsid w:val="009A5984"/>
    <w:rsid w:val="009A5E40"/>
    <w:rsid w:val="009A686E"/>
    <w:rsid w:val="009A76F7"/>
    <w:rsid w:val="009A7D24"/>
    <w:rsid w:val="009B04A8"/>
    <w:rsid w:val="009B09A8"/>
    <w:rsid w:val="009B1A0E"/>
    <w:rsid w:val="009B21B0"/>
    <w:rsid w:val="009B29AA"/>
    <w:rsid w:val="009B2B62"/>
    <w:rsid w:val="009B2F6E"/>
    <w:rsid w:val="009B3502"/>
    <w:rsid w:val="009B3621"/>
    <w:rsid w:val="009B495F"/>
    <w:rsid w:val="009B4CE7"/>
    <w:rsid w:val="009B53F5"/>
    <w:rsid w:val="009B5964"/>
    <w:rsid w:val="009B5B8F"/>
    <w:rsid w:val="009B6F49"/>
    <w:rsid w:val="009B708D"/>
    <w:rsid w:val="009B790C"/>
    <w:rsid w:val="009C0448"/>
    <w:rsid w:val="009C0BEC"/>
    <w:rsid w:val="009C2191"/>
    <w:rsid w:val="009C27E6"/>
    <w:rsid w:val="009C5202"/>
    <w:rsid w:val="009C67C4"/>
    <w:rsid w:val="009C715C"/>
    <w:rsid w:val="009C747B"/>
    <w:rsid w:val="009C748A"/>
    <w:rsid w:val="009C7796"/>
    <w:rsid w:val="009C78BC"/>
    <w:rsid w:val="009C7950"/>
    <w:rsid w:val="009D0278"/>
    <w:rsid w:val="009D0D3A"/>
    <w:rsid w:val="009D1256"/>
    <w:rsid w:val="009D2387"/>
    <w:rsid w:val="009D2491"/>
    <w:rsid w:val="009D256B"/>
    <w:rsid w:val="009D293E"/>
    <w:rsid w:val="009D3787"/>
    <w:rsid w:val="009D3E11"/>
    <w:rsid w:val="009D4739"/>
    <w:rsid w:val="009D48ED"/>
    <w:rsid w:val="009D5E86"/>
    <w:rsid w:val="009D6985"/>
    <w:rsid w:val="009D6A66"/>
    <w:rsid w:val="009D6D30"/>
    <w:rsid w:val="009D752A"/>
    <w:rsid w:val="009D7CBB"/>
    <w:rsid w:val="009E023C"/>
    <w:rsid w:val="009E0608"/>
    <w:rsid w:val="009E08BC"/>
    <w:rsid w:val="009E09DE"/>
    <w:rsid w:val="009E10AD"/>
    <w:rsid w:val="009E1E90"/>
    <w:rsid w:val="009E223B"/>
    <w:rsid w:val="009E2C53"/>
    <w:rsid w:val="009E3273"/>
    <w:rsid w:val="009E388A"/>
    <w:rsid w:val="009E397B"/>
    <w:rsid w:val="009E3FEC"/>
    <w:rsid w:val="009E412C"/>
    <w:rsid w:val="009E458D"/>
    <w:rsid w:val="009E4786"/>
    <w:rsid w:val="009E4C39"/>
    <w:rsid w:val="009E4DD6"/>
    <w:rsid w:val="009E5259"/>
    <w:rsid w:val="009E536F"/>
    <w:rsid w:val="009E5B39"/>
    <w:rsid w:val="009E5DB6"/>
    <w:rsid w:val="009E750E"/>
    <w:rsid w:val="009E78E0"/>
    <w:rsid w:val="009F0303"/>
    <w:rsid w:val="009F0FD2"/>
    <w:rsid w:val="009F12BA"/>
    <w:rsid w:val="009F1AD8"/>
    <w:rsid w:val="009F1C12"/>
    <w:rsid w:val="009F2191"/>
    <w:rsid w:val="009F31AB"/>
    <w:rsid w:val="009F356C"/>
    <w:rsid w:val="009F4535"/>
    <w:rsid w:val="009F4628"/>
    <w:rsid w:val="009F4B20"/>
    <w:rsid w:val="009F5350"/>
    <w:rsid w:val="009F5658"/>
    <w:rsid w:val="009F5DFC"/>
    <w:rsid w:val="009F5E59"/>
    <w:rsid w:val="009F6A47"/>
    <w:rsid w:val="009F794D"/>
    <w:rsid w:val="009F7A36"/>
    <w:rsid w:val="009F7A63"/>
    <w:rsid w:val="009F7B4A"/>
    <w:rsid w:val="009F7CA1"/>
    <w:rsid w:val="00A0034A"/>
    <w:rsid w:val="00A007A5"/>
    <w:rsid w:val="00A007C4"/>
    <w:rsid w:val="00A009FA"/>
    <w:rsid w:val="00A00F02"/>
    <w:rsid w:val="00A01C3E"/>
    <w:rsid w:val="00A01C8C"/>
    <w:rsid w:val="00A02BDB"/>
    <w:rsid w:val="00A02D89"/>
    <w:rsid w:val="00A03071"/>
    <w:rsid w:val="00A04D75"/>
    <w:rsid w:val="00A04F36"/>
    <w:rsid w:val="00A0643F"/>
    <w:rsid w:val="00A06928"/>
    <w:rsid w:val="00A0785F"/>
    <w:rsid w:val="00A1070D"/>
    <w:rsid w:val="00A10B27"/>
    <w:rsid w:val="00A113F3"/>
    <w:rsid w:val="00A127B7"/>
    <w:rsid w:val="00A1354E"/>
    <w:rsid w:val="00A13CA7"/>
    <w:rsid w:val="00A13E4D"/>
    <w:rsid w:val="00A14951"/>
    <w:rsid w:val="00A14A53"/>
    <w:rsid w:val="00A153A9"/>
    <w:rsid w:val="00A16082"/>
    <w:rsid w:val="00A1610F"/>
    <w:rsid w:val="00A16DBE"/>
    <w:rsid w:val="00A17424"/>
    <w:rsid w:val="00A175FF"/>
    <w:rsid w:val="00A178DE"/>
    <w:rsid w:val="00A206CA"/>
    <w:rsid w:val="00A20A07"/>
    <w:rsid w:val="00A213D0"/>
    <w:rsid w:val="00A2157F"/>
    <w:rsid w:val="00A21805"/>
    <w:rsid w:val="00A22090"/>
    <w:rsid w:val="00A220A6"/>
    <w:rsid w:val="00A2288E"/>
    <w:rsid w:val="00A22C87"/>
    <w:rsid w:val="00A236CE"/>
    <w:rsid w:val="00A241E3"/>
    <w:rsid w:val="00A249A7"/>
    <w:rsid w:val="00A25013"/>
    <w:rsid w:val="00A25156"/>
    <w:rsid w:val="00A251E8"/>
    <w:rsid w:val="00A26080"/>
    <w:rsid w:val="00A267A5"/>
    <w:rsid w:val="00A27A06"/>
    <w:rsid w:val="00A30528"/>
    <w:rsid w:val="00A30A02"/>
    <w:rsid w:val="00A30CFD"/>
    <w:rsid w:val="00A3106F"/>
    <w:rsid w:val="00A327A9"/>
    <w:rsid w:val="00A327AE"/>
    <w:rsid w:val="00A331AA"/>
    <w:rsid w:val="00A33505"/>
    <w:rsid w:val="00A34098"/>
    <w:rsid w:val="00A344F3"/>
    <w:rsid w:val="00A34547"/>
    <w:rsid w:val="00A34794"/>
    <w:rsid w:val="00A34999"/>
    <w:rsid w:val="00A34D1B"/>
    <w:rsid w:val="00A3573C"/>
    <w:rsid w:val="00A359AC"/>
    <w:rsid w:val="00A359E2"/>
    <w:rsid w:val="00A35D20"/>
    <w:rsid w:val="00A36631"/>
    <w:rsid w:val="00A36DE6"/>
    <w:rsid w:val="00A373CD"/>
    <w:rsid w:val="00A3741D"/>
    <w:rsid w:val="00A37794"/>
    <w:rsid w:val="00A37E94"/>
    <w:rsid w:val="00A40593"/>
    <w:rsid w:val="00A40AFE"/>
    <w:rsid w:val="00A40ED5"/>
    <w:rsid w:val="00A41707"/>
    <w:rsid w:val="00A41AE6"/>
    <w:rsid w:val="00A41C97"/>
    <w:rsid w:val="00A41DDB"/>
    <w:rsid w:val="00A41E50"/>
    <w:rsid w:val="00A4221F"/>
    <w:rsid w:val="00A42994"/>
    <w:rsid w:val="00A42B4F"/>
    <w:rsid w:val="00A42BBB"/>
    <w:rsid w:val="00A42FC9"/>
    <w:rsid w:val="00A4371A"/>
    <w:rsid w:val="00A442A2"/>
    <w:rsid w:val="00A44D32"/>
    <w:rsid w:val="00A44DA7"/>
    <w:rsid w:val="00A44EF8"/>
    <w:rsid w:val="00A4502A"/>
    <w:rsid w:val="00A45D1C"/>
    <w:rsid w:val="00A45EC8"/>
    <w:rsid w:val="00A46115"/>
    <w:rsid w:val="00A465C5"/>
    <w:rsid w:val="00A47066"/>
    <w:rsid w:val="00A4707F"/>
    <w:rsid w:val="00A47660"/>
    <w:rsid w:val="00A47CE3"/>
    <w:rsid w:val="00A510A0"/>
    <w:rsid w:val="00A5124C"/>
    <w:rsid w:val="00A51C2A"/>
    <w:rsid w:val="00A51D43"/>
    <w:rsid w:val="00A52904"/>
    <w:rsid w:val="00A53608"/>
    <w:rsid w:val="00A53E29"/>
    <w:rsid w:val="00A53FB0"/>
    <w:rsid w:val="00A54AF2"/>
    <w:rsid w:val="00A54EF2"/>
    <w:rsid w:val="00A55391"/>
    <w:rsid w:val="00A55F21"/>
    <w:rsid w:val="00A56305"/>
    <w:rsid w:val="00A5671F"/>
    <w:rsid w:val="00A569D5"/>
    <w:rsid w:val="00A56A2A"/>
    <w:rsid w:val="00A57F2D"/>
    <w:rsid w:val="00A60CC0"/>
    <w:rsid w:val="00A60DA0"/>
    <w:rsid w:val="00A60F52"/>
    <w:rsid w:val="00A615AB"/>
    <w:rsid w:val="00A617F5"/>
    <w:rsid w:val="00A61871"/>
    <w:rsid w:val="00A61E60"/>
    <w:rsid w:val="00A639D7"/>
    <w:rsid w:val="00A6458C"/>
    <w:rsid w:val="00A654FE"/>
    <w:rsid w:val="00A66A5A"/>
    <w:rsid w:val="00A67191"/>
    <w:rsid w:val="00A701C5"/>
    <w:rsid w:val="00A703BB"/>
    <w:rsid w:val="00A71719"/>
    <w:rsid w:val="00A71A96"/>
    <w:rsid w:val="00A71AF4"/>
    <w:rsid w:val="00A71CD2"/>
    <w:rsid w:val="00A72EA2"/>
    <w:rsid w:val="00A730FE"/>
    <w:rsid w:val="00A7373F"/>
    <w:rsid w:val="00A73D77"/>
    <w:rsid w:val="00A73DCA"/>
    <w:rsid w:val="00A740F1"/>
    <w:rsid w:val="00A7414D"/>
    <w:rsid w:val="00A7416C"/>
    <w:rsid w:val="00A75136"/>
    <w:rsid w:val="00A75323"/>
    <w:rsid w:val="00A756F2"/>
    <w:rsid w:val="00A75ADF"/>
    <w:rsid w:val="00A75BC2"/>
    <w:rsid w:val="00A75F04"/>
    <w:rsid w:val="00A76DDB"/>
    <w:rsid w:val="00A77181"/>
    <w:rsid w:val="00A77319"/>
    <w:rsid w:val="00A800BF"/>
    <w:rsid w:val="00A807FC"/>
    <w:rsid w:val="00A80AD7"/>
    <w:rsid w:val="00A80D60"/>
    <w:rsid w:val="00A80F99"/>
    <w:rsid w:val="00A8126D"/>
    <w:rsid w:val="00A82120"/>
    <w:rsid w:val="00A82211"/>
    <w:rsid w:val="00A8248D"/>
    <w:rsid w:val="00A83800"/>
    <w:rsid w:val="00A83F44"/>
    <w:rsid w:val="00A840EA"/>
    <w:rsid w:val="00A84134"/>
    <w:rsid w:val="00A8451C"/>
    <w:rsid w:val="00A84D91"/>
    <w:rsid w:val="00A85084"/>
    <w:rsid w:val="00A852A6"/>
    <w:rsid w:val="00A857A9"/>
    <w:rsid w:val="00A85E8B"/>
    <w:rsid w:val="00A860AF"/>
    <w:rsid w:val="00A860E9"/>
    <w:rsid w:val="00A861C2"/>
    <w:rsid w:val="00A870A0"/>
    <w:rsid w:val="00A87A0D"/>
    <w:rsid w:val="00A87ACE"/>
    <w:rsid w:val="00A87B98"/>
    <w:rsid w:val="00A90577"/>
    <w:rsid w:val="00A90C05"/>
    <w:rsid w:val="00A91A97"/>
    <w:rsid w:val="00A91AE3"/>
    <w:rsid w:val="00A92511"/>
    <w:rsid w:val="00A926A1"/>
    <w:rsid w:val="00A92F4A"/>
    <w:rsid w:val="00A93167"/>
    <w:rsid w:val="00A93386"/>
    <w:rsid w:val="00A93A6B"/>
    <w:rsid w:val="00A94BBB"/>
    <w:rsid w:val="00A94F03"/>
    <w:rsid w:val="00A954F1"/>
    <w:rsid w:val="00A95735"/>
    <w:rsid w:val="00A95CF4"/>
    <w:rsid w:val="00A95E72"/>
    <w:rsid w:val="00A95F5F"/>
    <w:rsid w:val="00A968D0"/>
    <w:rsid w:val="00A973B6"/>
    <w:rsid w:val="00A9740D"/>
    <w:rsid w:val="00A97733"/>
    <w:rsid w:val="00A97A6F"/>
    <w:rsid w:val="00AA0285"/>
    <w:rsid w:val="00AA0435"/>
    <w:rsid w:val="00AA073E"/>
    <w:rsid w:val="00AA0BEB"/>
    <w:rsid w:val="00AA0C44"/>
    <w:rsid w:val="00AA0C5C"/>
    <w:rsid w:val="00AA1414"/>
    <w:rsid w:val="00AA19EE"/>
    <w:rsid w:val="00AA1F52"/>
    <w:rsid w:val="00AA27FE"/>
    <w:rsid w:val="00AA3226"/>
    <w:rsid w:val="00AA32DA"/>
    <w:rsid w:val="00AA373A"/>
    <w:rsid w:val="00AA385A"/>
    <w:rsid w:val="00AA3F44"/>
    <w:rsid w:val="00AA404C"/>
    <w:rsid w:val="00AA40A6"/>
    <w:rsid w:val="00AA4857"/>
    <w:rsid w:val="00AA5773"/>
    <w:rsid w:val="00AA58F3"/>
    <w:rsid w:val="00AA5FF1"/>
    <w:rsid w:val="00AA6786"/>
    <w:rsid w:val="00AA6F6D"/>
    <w:rsid w:val="00AA790C"/>
    <w:rsid w:val="00AA7CC8"/>
    <w:rsid w:val="00AA7F28"/>
    <w:rsid w:val="00AB0328"/>
    <w:rsid w:val="00AB0527"/>
    <w:rsid w:val="00AB0EC5"/>
    <w:rsid w:val="00AB1478"/>
    <w:rsid w:val="00AB1485"/>
    <w:rsid w:val="00AB19C1"/>
    <w:rsid w:val="00AB1C18"/>
    <w:rsid w:val="00AB1F4E"/>
    <w:rsid w:val="00AB24EF"/>
    <w:rsid w:val="00AB29A0"/>
    <w:rsid w:val="00AB33B3"/>
    <w:rsid w:val="00AB3EDB"/>
    <w:rsid w:val="00AB4571"/>
    <w:rsid w:val="00AB5FA0"/>
    <w:rsid w:val="00AB6D78"/>
    <w:rsid w:val="00AB70E8"/>
    <w:rsid w:val="00AB7163"/>
    <w:rsid w:val="00AB73AD"/>
    <w:rsid w:val="00AB783C"/>
    <w:rsid w:val="00AC016B"/>
    <w:rsid w:val="00AC018D"/>
    <w:rsid w:val="00AC068E"/>
    <w:rsid w:val="00AC0DE5"/>
    <w:rsid w:val="00AC1457"/>
    <w:rsid w:val="00AC1673"/>
    <w:rsid w:val="00AC16BC"/>
    <w:rsid w:val="00AC1869"/>
    <w:rsid w:val="00AC23E5"/>
    <w:rsid w:val="00AC2514"/>
    <w:rsid w:val="00AC2624"/>
    <w:rsid w:val="00AC27BC"/>
    <w:rsid w:val="00AC29FC"/>
    <w:rsid w:val="00AC2BDC"/>
    <w:rsid w:val="00AC2DB9"/>
    <w:rsid w:val="00AC2E08"/>
    <w:rsid w:val="00AC3472"/>
    <w:rsid w:val="00AC3817"/>
    <w:rsid w:val="00AC387A"/>
    <w:rsid w:val="00AC4272"/>
    <w:rsid w:val="00AC4596"/>
    <w:rsid w:val="00AC578B"/>
    <w:rsid w:val="00AC5ED0"/>
    <w:rsid w:val="00AC6BA4"/>
    <w:rsid w:val="00AC6BB9"/>
    <w:rsid w:val="00AC7FB1"/>
    <w:rsid w:val="00AD1A3E"/>
    <w:rsid w:val="00AD1CBC"/>
    <w:rsid w:val="00AD3243"/>
    <w:rsid w:val="00AD3500"/>
    <w:rsid w:val="00AD390F"/>
    <w:rsid w:val="00AD407B"/>
    <w:rsid w:val="00AD4339"/>
    <w:rsid w:val="00AD45E3"/>
    <w:rsid w:val="00AD5D43"/>
    <w:rsid w:val="00AD6060"/>
    <w:rsid w:val="00AD612B"/>
    <w:rsid w:val="00AD6A85"/>
    <w:rsid w:val="00AD6CEA"/>
    <w:rsid w:val="00AD6DD9"/>
    <w:rsid w:val="00AD6FEB"/>
    <w:rsid w:val="00AD7195"/>
    <w:rsid w:val="00AD7AFB"/>
    <w:rsid w:val="00AE13FC"/>
    <w:rsid w:val="00AE1542"/>
    <w:rsid w:val="00AE1563"/>
    <w:rsid w:val="00AE17B1"/>
    <w:rsid w:val="00AE19E1"/>
    <w:rsid w:val="00AE1A2A"/>
    <w:rsid w:val="00AE1D28"/>
    <w:rsid w:val="00AE1D44"/>
    <w:rsid w:val="00AE2BA1"/>
    <w:rsid w:val="00AE30AA"/>
    <w:rsid w:val="00AE3AF4"/>
    <w:rsid w:val="00AE3B19"/>
    <w:rsid w:val="00AE3CA8"/>
    <w:rsid w:val="00AE3CBF"/>
    <w:rsid w:val="00AE41E0"/>
    <w:rsid w:val="00AE4CD2"/>
    <w:rsid w:val="00AE6099"/>
    <w:rsid w:val="00AE6B51"/>
    <w:rsid w:val="00AE6CBD"/>
    <w:rsid w:val="00AE6D42"/>
    <w:rsid w:val="00AE71EC"/>
    <w:rsid w:val="00AE7776"/>
    <w:rsid w:val="00AE7D72"/>
    <w:rsid w:val="00AF0544"/>
    <w:rsid w:val="00AF0B91"/>
    <w:rsid w:val="00AF22F5"/>
    <w:rsid w:val="00AF2D3D"/>
    <w:rsid w:val="00AF3058"/>
    <w:rsid w:val="00AF3D1D"/>
    <w:rsid w:val="00AF4FD3"/>
    <w:rsid w:val="00AF51E2"/>
    <w:rsid w:val="00AF532E"/>
    <w:rsid w:val="00AF5810"/>
    <w:rsid w:val="00AF5A0F"/>
    <w:rsid w:val="00AF60B5"/>
    <w:rsid w:val="00AF700D"/>
    <w:rsid w:val="00AF7AEA"/>
    <w:rsid w:val="00AF7B0B"/>
    <w:rsid w:val="00B006EB"/>
    <w:rsid w:val="00B016A0"/>
    <w:rsid w:val="00B0177C"/>
    <w:rsid w:val="00B0317B"/>
    <w:rsid w:val="00B03BA1"/>
    <w:rsid w:val="00B04547"/>
    <w:rsid w:val="00B04661"/>
    <w:rsid w:val="00B0487F"/>
    <w:rsid w:val="00B0562B"/>
    <w:rsid w:val="00B0597B"/>
    <w:rsid w:val="00B060C9"/>
    <w:rsid w:val="00B06821"/>
    <w:rsid w:val="00B06C37"/>
    <w:rsid w:val="00B072B0"/>
    <w:rsid w:val="00B0798C"/>
    <w:rsid w:val="00B100AB"/>
    <w:rsid w:val="00B10808"/>
    <w:rsid w:val="00B10A77"/>
    <w:rsid w:val="00B10DEC"/>
    <w:rsid w:val="00B10EB8"/>
    <w:rsid w:val="00B11436"/>
    <w:rsid w:val="00B117A9"/>
    <w:rsid w:val="00B1275E"/>
    <w:rsid w:val="00B1325C"/>
    <w:rsid w:val="00B1340A"/>
    <w:rsid w:val="00B137B1"/>
    <w:rsid w:val="00B13BAE"/>
    <w:rsid w:val="00B13E56"/>
    <w:rsid w:val="00B13F39"/>
    <w:rsid w:val="00B15687"/>
    <w:rsid w:val="00B15A4F"/>
    <w:rsid w:val="00B163E4"/>
    <w:rsid w:val="00B17020"/>
    <w:rsid w:val="00B173BF"/>
    <w:rsid w:val="00B1740C"/>
    <w:rsid w:val="00B22016"/>
    <w:rsid w:val="00B227DE"/>
    <w:rsid w:val="00B22D40"/>
    <w:rsid w:val="00B23F64"/>
    <w:rsid w:val="00B23FB3"/>
    <w:rsid w:val="00B24099"/>
    <w:rsid w:val="00B250B7"/>
    <w:rsid w:val="00B25715"/>
    <w:rsid w:val="00B25959"/>
    <w:rsid w:val="00B263E3"/>
    <w:rsid w:val="00B2664E"/>
    <w:rsid w:val="00B2712C"/>
    <w:rsid w:val="00B273E7"/>
    <w:rsid w:val="00B27BC4"/>
    <w:rsid w:val="00B30AD3"/>
    <w:rsid w:val="00B317BC"/>
    <w:rsid w:val="00B32656"/>
    <w:rsid w:val="00B32B3B"/>
    <w:rsid w:val="00B3333B"/>
    <w:rsid w:val="00B334BA"/>
    <w:rsid w:val="00B3357C"/>
    <w:rsid w:val="00B33FE8"/>
    <w:rsid w:val="00B34027"/>
    <w:rsid w:val="00B34BD7"/>
    <w:rsid w:val="00B34E03"/>
    <w:rsid w:val="00B360F9"/>
    <w:rsid w:val="00B36671"/>
    <w:rsid w:val="00B36802"/>
    <w:rsid w:val="00B369A6"/>
    <w:rsid w:val="00B36DB8"/>
    <w:rsid w:val="00B3738D"/>
    <w:rsid w:val="00B373BE"/>
    <w:rsid w:val="00B373E4"/>
    <w:rsid w:val="00B37BBF"/>
    <w:rsid w:val="00B406F1"/>
    <w:rsid w:val="00B41EE1"/>
    <w:rsid w:val="00B423A8"/>
    <w:rsid w:val="00B42AFF"/>
    <w:rsid w:val="00B43023"/>
    <w:rsid w:val="00B430D6"/>
    <w:rsid w:val="00B44997"/>
    <w:rsid w:val="00B45140"/>
    <w:rsid w:val="00B45AF1"/>
    <w:rsid w:val="00B460D8"/>
    <w:rsid w:val="00B46218"/>
    <w:rsid w:val="00B46709"/>
    <w:rsid w:val="00B46728"/>
    <w:rsid w:val="00B46B99"/>
    <w:rsid w:val="00B46D1D"/>
    <w:rsid w:val="00B46E86"/>
    <w:rsid w:val="00B4708D"/>
    <w:rsid w:val="00B474DF"/>
    <w:rsid w:val="00B47567"/>
    <w:rsid w:val="00B47B27"/>
    <w:rsid w:val="00B505BB"/>
    <w:rsid w:val="00B5061C"/>
    <w:rsid w:val="00B50A56"/>
    <w:rsid w:val="00B50B77"/>
    <w:rsid w:val="00B50E3D"/>
    <w:rsid w:val="00B50E7A"/>
    <w:rsid w:val="00B513D4"/>
    <w:rsid w:val="00B513E8"/>
    <w:rsid w:val="00B5173F"/>
    <w:rsid w:val="00B51E88"/>
    <w:rsid w:val="00B51F0F"/>
    <w:rsid w:val="00B539FE"/>
    <w:rsid w:val="00B5469E"/>
    <w:rsid w:val="00B548EA"/>
    <w:rsid w:val="00B56063"/>
    <w:rsid w:val="00B56DA7"/>
    <w:rsid w:val="00B56DDA"/>
    <w:rsid w:val="00B6052D"/>
    <w:rsid w:val="00B605AA"/>
    <w:rsid w:val="00B60735"/>
    <w:rsid w:val="00B617DE"/>
    <w:rsid w:val="00B6181B"/>
    <w:rsid w:val="00B61AD5"/>
    <w:rsid w:val="00B622FE"/>
    <w:rsid w:val="00B62D65"/>
    <w:rsid w:val="00B634A6"/>
    <w:rsid w:val="00B63755"/>
    <w:rsid w:val="00B6393F"/>
    <w:rsid w:val="00B64EF1"/>
    <w:rsid w:val="00B64FE3"/>
    <w:rsid w:val="00B65D6E"/>
    <w:rsid w:val="00B661E4"/>
    <w:rsid w:val="00B668AD"/>
    <w:rsid w:val="00B66AC5"/>
    <w:rsid w:val="00B66ACE"/>
    <w:rsid w:val="00B67095"/>
    <w:rsid w:val="00B672A5"/>
    <w:rsid w:val="00B674D8"/>
    <w:rsid w:val="00B703FE"/>
    <w:rsid w:val="00B711A1"/>
    <w:rsid w:val="00B71A06"/>
    <w:rsid w:val="00B721BC"/>
    <w:rsid w:val="00B73748"/>
    <w:rsid w:val="00B739F8"/>
    <w:rsid w:val="00B73B44"/>
    <w:rsid w:val="00B73CD3"/>
    <w:rsid w:val="00B7404E"/>
    <w:rsid w:val="00B740E4"/>
    <w:rsid w:val="00B7484D"/>
    <w:rsid w:val="00B748CB"/>
    <w:rsid w:val="00B75511"/>
    <w:rsid w:val="00B75547"/>
    <w:rsid w:val="00B7557A"/>
    <w:rsid w:val="00B75845"/>
    <w:rsid w:val="00B75D1D"/>
    <w:rsid w:val="00B777CB"/>
    <w:rsid w:val="00B80099"/>
    <w:rsid w:val="00B803E3"/>
    <w:rsid w:val="00B80910"/>
    <w:rsid w:val="00B818FE"/>
    <w:rsid w:val="00B8261D"/>
    <w:rsid w:val="00B82B7B"/>
    <w:rsid w:val="00B82C8D"/>
    <w:rsid w:val="00B839DF"/>
    <w:rsid w:val="00B839E5"/>
    <w:rsid w:val="00B83B24"/>
    <w:rsid w:val="00B84872"/>
    <w:rsid w:val="00B850E3"/>
    <w:rsid w:val="00B854EB"/>
    <w:rsid w:val="00B85FA3"/>
    <w:rsid w:val="00B86393"/>
    <w:rsid w:val="00B87247"/>
    <w:rsid w:val="00B90E45"/>
    <w:rsid w:val="00B912D1"/>
    <w:rsid w:val="00B92237"/>
    <w:rsid w:val="00B92701"/>
    <w:rsid w:val="00B9285C"/>
    <w:rsid w:val="00B9379C"/>
    <w:rsid w:val="00B937BA"/>
    <w:rsid w:val="00B93A52"/>
    <w:rsid w:val="00B93CF8"/>
    <w:rsid w:val="00B944B1"/>
    <w:rsid w:val="00B9476B"/>
    <w:rsid w:val="00B94AD2"/>
    <w:rsid w:val="00B94F49"/>
    <w:rsid w:val="00B9525D"/>
    <w:rsid w:val="00B95572"/>
    <w:rsid w:val="00B955B4"/>
    <w:rsid w:val="00B962F9"/>
    <w:rsid w:val="00B96BEC"/>
    <w:rsid w:val="00B9704F"/>
    <w:rsid w:val="00B97A7F"/>
    <w:rsid w:val="00B97BB5"/>
    <w:rsid w:val="00B97EA6"/>
    <w:rsid w:val="00BA225F"/>
    <w:rsid w:val="00BA27BB"/>
    <w:rsid w:val="00BA2853"/>
    <w:rsid w:val="00BA2A18"/>
    <w:rsid w:val="00BA2A64"/>
    <w:rsid w:val="00BA2BFE"/>
    <w:rsid w:val="00BA2D31"/>
    <w:rsid w:val="00BA426A"/>
    <w:rsid w:val="00BA5097"/>
    <w:rsid w:val="00BA5A13"/>
    <w:rsid w:val="00BA6751"/>
    <w:rsid w:val="00BA6F75"/>
    <w:rsid w:val="00BA70A4"/>
    <w:rsid w:val="00BA7513"/>
    <w:rsid w:val="00BA7857"/>
    <w:rsid w:val="00BB04E2"/>
    <w:rsid w:val="00BB06C3"/>
    <w:rsid w:val="00BB0D57"/>
    <w:rsid w:val="00BB0D6E"/>
    <w:rsid w:val="00BB0DD5"/>
    <w:rsid w:val="00BB16FF"/>
    <w:rsid w:val="00BB1760"/>
    <w:rsid w:val="00BB1946"/>
    <w:rsid w:val="00BB1D60"/>
    <w:rsid w:val="00BB1E68"/>
    <w:rsid w:val="00BB2803"/>
    <w:rsid w:val="00BB2973"/>
    <w:rsid w:val="00BB2CF7"/>
    <w:rsid w:val="00BB369C"/>
    <w:rsid w:val="00BB370F"/>
    <w:rsid w:val="00BB434B"/>
    <w:rsid w:val="00BB48CD"/>
    <w:rsid w:val="00BB4C8D"/>
    <w:rsid w:val="00BB51EA"/>
    <w:rsid w:val="00BB5293"/>
    <w:rsid w:val="00BB545E"/>
    <w:rsid w:val="00BB61F9"/>
    <w:rsid w:val="00BB64C2"/>
    <w:rsid w:val="00BB6627"/>
    <w:rsid w:val="00BB67E1"/>
    <w:rsid w:val="00BB6BE6"/>
    <w:rsid w:val="00BB6F14"/>
    <w:rsid w:val="00BB71BF"/>
    <w:rsid w:val="00BB7B8B"/>
    <w:rsid w:val="00BB7C1D"/>
    <w:rsid w:val="00BC04C0"/>
    <w:rsid w:val="00BC0A75"/>
    <w:rsid w:val="00BC121E"/>
    <w:rsid w:val="00BC200F"/>
    <w:rsid w:val="00BC21D2"/>
    <w:rsid w:val="00BC2814"/>
    <w:rsid w:val="00BC298D"/>
    <w:rsid w:val="00BC3062"/>
    <w:rsid w:val="00BC4087"/>
    <w:rsid w:val="00BC411A"/>
    <w:rsid w:val="00BC4812"/>
    <w:rsid w:val="00BC5731"/>
    <w:rsid w:val="00BC58D1"/>
    <w:rsid w:val="00BC5969"/>
    <w:rsid w:val="00BC6014"/>
    <w:rsid w:val="00BC6536"/>
    <w:rsid w:val="00BC65B6"/>
    <w:rsid w:val="00BC77F8"/>
    <w:rsid w:val="00BC79F4"/>
    <w:rsid w:val="00BD0E78"/>
    <w:rsid w:val="00BD34AC"/>
    <w:rsid w:val="00BD3E43"/>
    <w:rsid w:val="00BD4AAC"/>
    <w:rsid w:val="00BD7B47"/>
    <w:rsid w:val="00BD7DF2"/>
    <w:rsid w:val="00BE044C"/>
    <w:rsid w:val="00BE05EE"/>
    <w:rsid w:val="00BE0F96"/>
    <w:rsid w:val="00BE13E1"/>
    <w:rsid w:val="00BE1480"/>
    <w:rsid w:val="00BE158F"/>
    <w:rsid w:val="00BE1801"/>
    <w:rsid w:val="00BE25DE"/>
    <w:rsid w:val="00BE2726"/>
    <w:rsid w:val="00BE31E8"/>
    <w:rsid w:val="00BE375F"/>
    <w:rsid w:val="00BE3A4A"/>
    <w:rsid w:val="00BE3DF1"/>
    <w:rsid w:val="00BE412C"/>
    <w:rsid w:val="00BE4142"/>
    <w:rsid w:val="00BE471F"/>
    <w:rsid w:val="00BE4EBF"/>
    <w:rsid w:val="00BE59FB"/>
    <w:rsid w:val="00BE5A47"/>
    <w:rsid w:val="00BE5EEC"/>
    <w:rsid w:val="00BE6E4D"/>
    <w:rsid w:val="00BE73DF"/>
    <w:rsid w:val="00BE777B"/>
    <w:rsid w:val="00BF05C5"/>
    <w:rsid w:val="00BF06CC"/>
    <w:rsid w:val="00BF0A53"/>
    <w:rsid w:val="00BF0FC7"/>
    <w:rsid w:val="00BF1BF8"/>
    <w:rsid w:val="00BF2458"/>
    <w:rsid w:val="00BF2512"/>
    <w:rsid w:val="00BF2566"/>
    <w:rsid w:val="00BF2CA4"/>
    <w:rsid w:val="00BF35E5"/>
    <w:rsid w:val="00BF379C"/>
    <w:rsid w:val="00BF380D"/>
    <w:rsid w:val="00BF3FA5"/>
    <w:rsid w:val="00BF4544"/>
    <w:rsid w:val="00BF458D"/>
    <w:rsid w:val="00BF45AF"/>
    <w:rsid w:val="00BF46C9"/>
    <w:rsid w:val="00BF5555"/>
    <w:rsid w:val="00BF5746"/>
    <w:rsid w:val="00BF595E"/>
    <w:rsid w:val="00BF5A17"/>
    <w:rsid w:val="00BF5DA1"/>
    <w:rsid w:val="00BF623C"/>
    <w:rsid w:val="00BF63D1"/>
    <w:rsid w:val="00BF66F1"/>
    <w:rsid w:val="00BF6F93"/>
    <w:rsid w:val="00BF72AE"/>
    <w:rsid w:val="00BF730C"/>
    <w:rsid w:val="00BF7D03"/>
    <w:rsid w:val="00BF7DA1"/>
    <w:rsid w:val="00C0032A"/>
    <w:rsid w:val="00C00D41"/>
    <w:rsid w:val="00C0133C"/>
    <w:rsid w:val="00C018AF"/>
    <w:rsid w:val="00C02FF0"/>
    <w:rsid w:val="00C03C62"/>
    <w:rsid w:val="00C03FB3"/>
    <w:rsid w:val="00C048C2"/>
    <w:rsid w:val="00C04D1E"/>
    <w:rsid w:val="00C04F5A"/>
    <w:rsid w:val="00C0514C"/>
    <w:rsid w:val="00C05993"/>
    <w:rsid w:val="00C0617F"/>
    <w:rsid w:val="00C066C9"/>
    <w:rsid w:val="00C06B93"/>
    <w:rsid w:val="00C078A0"/>
    <w:rsid w:val="00C112FE"/>
    <w:rsid w:val="00C11847"/>
    <w:rsid w:val="00C122E9"/>
    <w:rsid w:val="00C1231E"/>
    <w:rsid w:val="00C138D9"/>
    <w:rsid w:val="00C13BE7"/>
    <w:rsid w:val="00C14887"/>
    <w:rsid w:val="00C15088"/>
    <w:rsid w:val="00C156BF"/>
    <w:rsid w:val="00C15867"/>
    <w:rsid w:val="00C15C81"/>
    <w:rsid w:val="00C15D4B"/>
    <w:rsid w:val="00C16331"/>
    <w:rsid w:val="00C16D10"/>
    <w:rsid w:val="00C1745B"/>
    <w:rsid w:val="00C174B9"/>
    <w:rsid w:val="00C20082"/>
    <w:rsid w:val="00C21936"/>
    <w:rsid w:val="00C21B39"/>
    <w:rsid w:val="00C21CAF"/>
    <w:rsid w:val="00C21D34"/>
    <w:rsid w:val="00C22195"/>
    <w:rsid w:val="00C22B3C"/>
    <w:rsid w:val="00C22CD9"/>
    <w:rsid w:val="00C23A3F"/>
    <w:rsid w:val="00C240DB"/>
    <w:rsid w:val="00C24741"/>
    <w:rsid w:val="00C24E12"/>
    <w:rsid w:val="00C24EB3"/>
    <w:rsid w:val="00C24FA3"/>
    <w:rsid w:val="00C258EB"/>
    <w:rsid w:val="00C25B3D"/>
    <w:rsid w:val="00C2647D"/>
    <w:rsid w:val="00C264F3"/>
    <w:rsid w:val="00C2770F"/>
    <w:rsid w:val="00C27E25"/>
    <w:rsid w:val="00C3031E"/>
    <w:rsid w:val="00C30842"/>
    <w:rsid w:val="00C3111A"/>
    <w:rsid w:val="00C3127E"/>
    <w:rsid w:val="00C31869"/>
    <w:rsid w:val="00C31B84"/>
    <w:rsid w:val="00C32210"/>
    <w:rsid w:val="00C329E3"/>
    <w:rsid w:val="00C33047"/>
    <w:rsid w:val="00C3433A"/>
    <w:rsid w:val="00C3475B"/>
    <w:rsid w:val="00C34A94"/>
    <w:rsid w:val="00C34C01"/>
    <w:rsid w:val="00C3503D"/>
    <w:rsid w:val="00C35058"/>
    <w:rsid w:val="00C35B54"/>
    <w:rsid w:val="00C35FE2"/>
    <w:rsid w:val="00C36942"/>
    <w:rsid w:val="00C36CA5"/>
    <w:rsid w:val="00C36DA4"/>
    <w:rsid w:val="00C3787F"/>
    <w:rsid w:val="00C4020C"/>
    <w:rsid w:val="00C41054"/>
    <w:rsid w:val="00C410D0"/>
    <w:rsid w:val="00C41AFE"/>
    <w:rsid w:val="00C41B0C"/>
    <w:rsid w:val="00C41D57"/>
    <w:rsid w:val="00C4215E"/>
    <w:rsid w:val="00C4228E"/>
    <w:rsid w:val="00C42B92"/>
    <w:rsid w:val="00C42C0B"/>
    <w:rsid w:val="00C42DF8"/>
    <w:rsid w:val="00C43287"/>
    <w:rsid w:val="00C4389D"/>
    <w:rsid w:val="00C43D96"/>
    <w:rsid w:val="00C444A1"/>
    <w:rsid w:val="00C44804"/>
    <w:rsid w:val="00C44870"/>
    <w:rsid w:val="00C44DD5"/>
    <w:rsid w:val="00C45089"/>
    <w:rsid w:val="00C45141"/>
    <w:rsid w:val="00C46548"/>
    <w:rsid w:val="00C47168"/>
    <w:rsid w:val="00C4760F"/>
    <w:rsid w:val="00C47E43"/>
    <w:rsid w:val="00C501EA"/>
    <w:rsid w:val="00C5050E"/>
    <w:rsid w:val="00C5053F"/>
    <w:rsid w:val="00C50710"/>
    <w:rsid w:val="00C51039"/>
    <w:rsid w:val="00C51688"/>
    <w:rsid w:val="00C5227D"/>
    <w:rsid w:val="00C524C3"/>
    <w:rsid w:val="00C52B1B"/>
    <w:rsid w:val="00C53C86"/>
    <w:rsid w:val="00C53F61"/>
    <w:rsid w:val="00C542D9"/>
    <w:rsid w:val="00C544DA"/>
    <w:rsid w:val="00C5465D"/>
    <w:rsid w:val="00C54CAF"/>
    <w:rsid w:val="00C55541"/>
    <w:rsid w:val="00C557BF"/>
    <w:rsid w:val="00C5588E"/>
    <w:rsid w:val="00C55A0D"/>
    <w:rsid w:val="00C55AA3"/>
    <w:rsid w:val="00C56118"/>
    <w:rsid w:val="00C5660A"/>
    <w:rsid w:val="00C56EA3"/>
    <w:rsid w:val="00C57021"/>
    <w:rsid w:val="00C570AE"/>
    <w:rsid w:val="00C57743"/>
    <w:rsid w:val="00C57B47"/>
    <w:rsid w:val="00C60BFE"/>
    <w:rsid w:val="00C60CE2"/>
    <w:rsid w:val="00C60E4A"/>
    <w:rsid w:val="00C61120"/>
    <w:rsid w:val="00C61C87"/>
    <w:rsid w:val="00C620E8"/>
    <w:rsid w:val="00C6354A"/>
    <w:rsid w:val="00C63831"/>
    <w:rsid w:val="00C64D06"/>
    <w:rsid w:val="00C6556C"/>
    <w:rsid w:val="00C65677"/>
    <w:rsid w:val="00C659B6"/>
    <w:rsid w:val="00C66297"/>
    <w:rsid w:val="00C6634E"/>
    <w:rsid w:val="00C66C76"/>
    <w:rsid w:val="00C6754C"/>
    <w:rsid w:val="00C67811"/>
    <w:rsid w:val="00C67908"/>
    <w:rsid w:val="00C67A06"/>
    <w:rsid w:val="00C67CFC"/>
    <w:rsid w:val="00C67E25"/>
    <w:rsid w:val="00C705D2"/>
    <w:rsid w:val="00C70E4A"/>
    <w:rsid w:val="00C714F6"/>
    <w:rsid w:val="00C716CC"/>
    <w:rsid w:val="00C7219A"/>
    <w:rsid w:val="00C724CE"/>
    <w:rsid w:val="00C72A46"/>
    <w:rsid w:val="00C74123"/>
    <w:rsid w:val="00C7466E"/>
    <w:rsid w:val="00C753C3"/>
    <w:rsid w:val="00C758EC"/>
    <w:rsid w:val="00C75B1C"/>
    <w:rsid w:val="00C75C70"/>
    <w:rsid w:val="00C761F0"/>
    <w:rsid w:val="00C76BC7"/>
    <w:rsid w:val="00C77926"/>
    <w:rsid w:val="00C8048D"/>
    <w:rsid w:val="00C8054F"/>
    <w:rsid w:val="00C81BEB"/>
    <w:rsid w:val="00C81D9A"/>
    <w:rsid w:val="00C81EF6"/>
    <w:rsid w:val="00C81F77"/>
    <w:rsid w:val="00C822F6"/>
    <w:rsid w:val="00C82479"/>
    <w:rsid w:val="00C8261B"/>
    <w:rsid w:val="00C83140"/>
    <w:rsid w:val="00C835D8"/>
    <w:rsid w:val="00C836F3"/>
    <w:rsid w:val="00C83873"/>
    <w:rsid w:val="00C83E8B"/>
    <w:rsid w:val="00C84BC0"/>
    <w:rsid w:val="00C84E04"/>
    <w:rsid w:val="00C85093"/>
    <w:rsid w:val="00C85362"/>
    <w:rsid w:val="00C855D2"/>
    <w:rsid w:val="00C86345"/>
    <w:rsid w:val="00C86428"/>
    <w:rsid w:val="00C8728E"/>
    <w:rsid w:val="00C872B6"/>
    <w:rsid w:val="00C87D63"/>
    <w:rsid w:val="00C901C5"/>
    <w:rsid w:val="00C9074D"/>
    <w:rsid w:val="00C90C25"/>
    <w:rsid w:val="00C9147E"/>
    <w:rsid w:val="00C914AE"/>
    <w:rsid w:val="00C9202A"/>
    <w:rsid w:val="00C92663"/>
    <w:rsid w:val="00C9275F"/>
    <w:rsid w:val="00C9287F"/>
    <w:rsid w:val="00C92AC0"/>
    <w:rsid w:val="00C93141"/>
    <w:rsid w:val="00C937D2"/>
    <w:rsid w:val="00C94549"/>
    <w:rsid w:val="00C94611"/>
    <w:rsid w:val="00C94896"/>
    <w:rsid w:val="00C95F27"/>
    <w:rsid w:val="00C96271"/>
    <w:rsid w:val="00C963B9"/>
    <w:rsid w:val="00C96AD4"/>
    <w:rsid w:val="00C96C47"/>
    <w:rsid w:val="00C973A8"/>
    <w:rsid w:val="00C97463"/>
    <w:rsid w:val="00C978DD"/>
    <w:rsid w:val="00CA0014"/>
    <w:rsid w:val="00CA07B7"/>
    <w:rsid w:val="00CA15B7"/>
    <w:rsid w:val="00CA20F9"/>
    <w:rsid w:val="00CA2647"/>
    <w:rsid w:val="00CA2773"/>
    <w:rsid w:val="00CA2AFC"/>
    <w:rsid w:val="00CA2F28"/>
    <w:rsid w:val="00CA370A"/>
    <w:rsid w:val="00CA3BF2"/>
    <w:rsid w:val="00CA3FB8"/>
    <w:rsid w:val="00CA40B8"/>
    <w:rsid w:val="00CA4137"/>
    <w:rsid w:val="00CA46CF"/>
    <w:rsid w:val="00CA48E9"/>
    <w:rsid w:val="00CA4E57"/>
    <w:rsid w:val="00CA52BA"/>
    <w:rsid w:val="00CA5C8F"/>
    <w:rsid w:val="00CA5DFA"/>
    <w:rsid w:val="00CA62DC"/>
    <w:rsid w:val="00CA6F1D"/>
    <w:rsid w:val="00CA780B"/>
    <w:rsid w:val="00CB05BD"/>
    <w:rsid w:val="00CB074C"/>
    <w:rsid w:val="00CB0805"/>
    <w:rsid w:val="00CB0BC6"/>
    <w:rsid w:val="00CB10E3"/>
    <w:rsid w:val="00CB1524"/>
    <w:rsid w:val="00CB199A"/>
    <w:rsid w:val="00CB247F"/>
    <w:rsid w:val="00CB275C"/>
    <w:rsid w:val="00CB3236"/>
    <w:rsid w:val="00CB324B"/>
    <w:rsid w:val="00CB32B8"/>
    <w:rsid w:val="00CB35F2"/>
    <w:rsid w:val="00CB3A2D"/>
    <w:rsid w:val="00CB3EE3"/>
    <w:rsid w:val="00CB4189"/>
    <w:rsid w:val="00CB41D9"/>
    <w:rsid w:val="00CB5084"/>
    <w:rsid w:val="00CB575B"/>
    <w:rsid w:val="00CB58E6"/>
    <w:rsid w:val="00CB641D"/>
    <w:rsid w:val="00CB6A10"/>
    <w:rsid w:val="00CB71D5"/>
    <w:rsid w:val="00CB73C9"/>
    <w:rsid w:val="00CB77AD"/>
    <w:rsid w:val="00CC00D7"/>
    <w:rsid w:val="00CC03D6"/>
    <w:rsid w:val="00CC0644"/>
    <w:rsid w:val="00CC07B7"/>
    <w:rsid w:val="00CC0D4A"/>
    <w:rsid w:val="00CC2E28"/>
    <w:rsid w:val="00CC3142"/>
    <w:rsid w:val="00CC32E8"/>
    <w:rsid w:val="00CC3531"/>
    <w:rsid w:val="00CC3809"/>
    <w:rsid w:val="00CC3D4B"/>
    <w:rsid w:val="00CC3DBC"/>
    <w:rsid w:val="00CC4355"/>
    <w:rsid w:val="00CC4C6D"/>
    <w:rsid w:val="00CC4D36"/>
    <w:rsid w:val="00CC4E16"/>
    <w:rsid w:val="00CC4E47"/>
    <w:rsid w:val="00CC5F22"/>
    <w:rsid w:val="00CC6548"/>
    <w:rsid w:val="00CC6637"/>
    <w:rsid w:val="00CC6A5A"/>
    <w:rsid w:val="00CC768C"/>
    <w:rsid w:val="00CC79C8"/>
    <w:rsid w:val="00CD0415"/>
    <w:rsid w:val="00CD0A9D"/>
    <w:rsid w:val="00CD1573"/>
    <w:rsid w:val="00CD27AB"/>
    <w:rsid w:val="00CD2B7A"/>
    <w:rsid w:val="00CD2FE1"/>
    <w:rsid w:val="00CD2FE3"/>
    <w:rsid w:val="00CD335C"/>
    <w:rsid w:val="00CD41DA"/>
    <w:rsid w:val="00CD432C"/>
    <w:rsid w:val="00CD47D5"/>
    <w:rsid w:val="00CD4979"/>
    <w:rsid w:val="00CD4F03"/>
    <w:rsid w:val="00CD5577"/>
    <w:rsid w:val="00CD574B"/>
    <w:rsid w:val="00CD60CD"/>
    <w:rsid w:val="00CD645A"/>
    <w:rsid w:val="00CD66CB"/>
    <w:rsid w:val="00CD6AD2"/>
    <w:rsid w:val="00CD6C44"/>
    <w:rsid w:val="00CD7494"/>
    <w:rsid w:val="00CD759D"/>
    <w:rsid w:val="00CD7C98"/>
    <w:rsid w:val="00CE0443"/>
    <w:rsid w:val="00CE04AD"/>
    <w:rsid w:val="00CE0525"/>
    <w:rsid w:val="00CE0600"/>
    <w:rsid w:val="00CE149A"/>
    <w:rsid w:val="00CE1B7A"/>
    <w:rsid w:val="00CE24D9"/>
    <w:rsid w:val="00CE28ED"/>
    <w:rsid w:val="00CE3D71"/>
    <w:rsid w:val="00CE4293"/>
    <w:rsid w:val="00CE496B"/>
    <w:rsid w:val="00CE49D1"/>
    <w:rsid w:val="00CE5C97"/>
    <w:rsid w:val="00CE62D6"/>
    <w:rsid w:val="00CE6DCB"/>
    <w:rsid w:val="00CE71F9"/>
    <w:rsid w:val="00CF0234"/>
    <w:rsid w:val="00CF03BF"/>
    <w:rsid w:val="00CF06E4"/>
    <w:rsid w:val="00CF09CB"/>
    <w:rsid w:val="00CF0B47"/>
    <w:rsid w:val="00CF1597"/>
    <w:rsid w:val="00CF22A2"/>
    <w:rsid w:val="00CF2871"/>
    <w:rsid w:val="00CF2AFA"/>
    <w:rsid w:val="00CF35F6"/>
    <w:rsid w:val="00CF3B62"/>
    <w:rsid w:val="00CF3C7C"/>
    <w:rsid w:val="00CF4D7F"/>
    <w:rsid w:val="00CF4F7A"/>
    <w:rsid w:val="00CF5BB7"/>
    <w:rsid w:val="00CF7325"/>
    <w:rsid w:val="00CF7912"/>
    <w:rsid w:val="00CF7B30"/>
    <w:rsid w:val="00D001E0"/>
    <w:rsid w:val="00D0057A"/>
    <w:rsid w:val="00D00642"/>
    <w:rsid w:val="00D0091C"/>
    <w:rsid w:val="00D01505"/>
    <w:rsid w:val="00D01B24"/>
    <w:rsid w:val="00D01D7E"/>
    <w:rsid w:val="00D02766"/>
    <w:rsid w:val="00D02B08"/>
    <w:rsid w:val="00D02EE3"/>
    <w:rsid w:val="00D037AC"/>
    <w:rsid w:val="00D05BE9"/>
    <w:rsid w:val="00D061B0"/>
    <w:rsid w:val="00D0630D"/>
    <w:rsid w:val="00D07040"/>
    <w:rsid w:val="00D071F3"/>
    <w:rsid w:val="00D075AE"/>
    <w:rsid w:val="00D0765C"/>
    <w:rsid w:val="00D07C14"/>
    <w:rsid w:val="00D103DE"/>
    <w:rsid w:val="00D1044C"/>
    <w:rsid w:val="00D1108E"/>
    <w:rsid w:val="00D11DDA"/>
    <w:rsid w:val="00D12675"/>
    <w:rsid w:val="00D12969"/>
    <w:rsid w:val="00D12E65"/>
    <w:rsid w:val="00D12F1D"/>
    <w:rsid w:val="00D139AC"/>
    <w:rsid w:val="00D139B2"/>
    <w:rsid w:val="00D13BD0"/>
    <w:rsid w:val="00D1463A"/>
    <w:rsid w:val="00D14802"/>
    <w:rsid w:val="00D14F6A"/>
    <w:rsid w:val="00D1525D"/>
    <w:rsid w:val="00D1531B"/>
    <w:rsid w:val="00D15D92"/>
    <w:rsid w:val="00D160CC"/>
    <w:rsid w:val="00D16251"/>
    <w:rsid w:val="00D162CA"/>
    <w:rsid w:val="00D16317"/>
    <w:rsid w:val="00D16CBE"/>
    <w:rsid w:val="00D17131"/>
    <w:rsid w:val="00D2084F"/>
    <w:rsid w:val="00D20E16"/>
    <w:rsid w:val="00D22C46"/>
    <w:rsid w:val="00D241E4"/>
    <w:rsid w:val="00D302EF"/>
    <w:rsid w:val="00D31191"/>
    <w:rsid w:val="00D311F3"/>
    <w:rsid w:val="00D31408"/>
    <w:rsid w:val="00D31728"/>
    <w:rsid w:val="00D32949"/>
    <w:rsid w:val="00D33FC9"/>
    <w:rsid w:val="00D3415E"/>
    <w:rsid w:val="00D34C11"/>
    <w:rsid w:val="00D35880"/>
    <w:rsid w:val="00D35971"/>
    <w:rsid w:val="00D35C47"/>
    <w:rsid w:val="00D35CDB"/>
    <w:rsid w:val="00D378CE"/>
    <w:rsid w:val="00D4004B"/>
    <w:rsid w:val="00D4047D"/>
    <w:rsid w:val="00D40AF9"/>
    <w:rsid w:val="00D40B9A"/>
    <w:rsid w:val="00D40DA8"/>
    <w:rsid w:val="00D40E79"/>
    <w:rsid w:val="00D416F7"/>
    <w:rsid w:val="00D416FA"/>
    <w:rsid w:val="00D42A9A"/>
    <w:rsid w:val="00D42F7B"/>
    <w:rsid w:val="00D4376C"/>
    <w:rsid w:val="00D43DC5"/>
    <w:rsid w:val="00D44354"/>
    <w:rsid w:val="00D4435E"/>
    <w:rsid w:val="00D445FE"/>
    <w:rsid w:val="00D44647"/>
    <w:rsid w:val="00D4481B"/>
    <w:rsid w:val="00D44C37"/>
    <w:rsid w:val="00D458D1"/>
    <w:rsid w:val="00D46739"/>
    <w:rsid w:val="00D4696B"/>
    <w:rsid w:val="00D46BBC"/>
    <w:rsid w:val="00D46E52"/>
    <w:rsid w:val="00D472B7"/>
    <w:rsid w:val="00D4779F"/>
    <w:rsid w:val="00D4799D"/>
    <w:rsid w:val="00D47ECD"/>
    <w:rsid w:val="00D50719"/>
    <w:rsid w:val="00D50F2C"/>
    <w:rsid w:val="00D51E5B"/>
    <w:rsid w:val="00D5205D"/>
    <w:rsid w:val="00D521C8"/>
    <w:rsid w:val="00D5243A"/>
    <w:rsid w:val="00D52713"/>
    <w:rsid w:val="00D527C6"/>
    <w:rsid w:val="00D53025"/>
    <w:rsid w:val="00D5328F"/>
    <w:rsid w:val="00D53621"/>
    <w:rsid w:val="00D538A9"/>
    <w:rsid w:val="00D53AAA"/>
    <w:rsid w:val="00D53B0F"/>
    <w:rsid w:val="00D5486E"/>
    <w:rsid w:val="00D548E8"/>
    <w:rsid w:val="00D549B8"/>
    <w:rsid w:val="00D54D09"/>
    <w:rsid w:val="00D54E1C"/>
    <w:rsid w:val="00D550E9"/>
    <w:rsid w:val="00D555CB"/>
    <w:rsid w:val="00D55F06"/>
    <w:rsid w:val="00D56F91"/>
    <w:rsid w:val="00D57004"/>
    <w:rsid w:val="00D5745B"/>
    <w:rsid w:val="00D57516"/>
    <w:rsid w:val="00D578D7"/>
    <w:rsid w:val="00D60057"/>
    <w:rsid w:val="00D602E5"/>
    <w:rsid w:val="00D60D89"/>
    <w:rsid w:val="00D61E31"/>
    <w:rsid w:val="00D62695"/>
    <w:rsid w:val="00D62CE9"/>
    <w:rsid w:val="00D63028"/>
    <w:rsid w:val="00D63F47"/>
    <w:rsid w:val="00D65D13"/>
    <w:rsid w:val="00D6663D"/>
    <w:rsid w:val="00D704ED"/>
    <w:rsid w:val="00D70853"/>
    <w:rsid w:val="00D70BC9"/>
    <w:rsid w:val="00D71482"/>
    <w:rsid w:val="00D717EC"/>
    <w:rsid w:val="00D71941"/>
    <w:rsid w:val="00D71B8C"/>
    <w:rsid w:val="00D71DB3"/>
    <w:rsid w:val="00D72659"/>
    <w:rsid w:val="00D729AB"/>
    <w:rsid w:val="00D72A50"/>
    <w:rsid w:val="00D72FA4"/>
    <w:rsid w:val="00D73576"/>
    <w:rsid w:val="00D73B26"/>
    <w:rsid w:val="00D74EFF"/>
    <w:rsid w:val="00D75282"/>
    <w:rsid w:val="00D753E1"/>
    <w:rsid w:val="00D7638F"/>
    <w:rsid w:val="00D7656A"/>
    <w:rsid w:val="00D766EB"/>
    <w:rsid w:val="00D76A30"/>
    <w:rsid w:val="00D76D78"/>
    <w:rsid w:val="00D7749B"/>
    <w:rsid w:val="00D77B0B"/>
    <w:rsid w:val="00D77D57"/>
    <w:rsid w:val="00D77F8D"/>
    <w:rsid w:val="00D80DC5"/>
    <w:rsid w:val="00D81A46"/>
    <w:rsid w:val="00D820C9"/>
    <w:rsid w:val="00D82644"/>
    <w:rsid w:val="00D82A57"/>
    <w:rsid w:val="00D8336A"/>
    <w:rsid w:val="00D833DE"/>
    <w:rsid w:val="00D83D38"/>
    <w:rsid w:val="00D83FB2"/>
    <w:rsid w:val="00D84DEE"/>
    <w:rsid w:val="00D8514B"/>
    <w:rsid w:val="00D851BD"/>
    <w:rsid w:val="00D8565C"/>
    <w:rsid w:val="00D858CA"/>
    <w:rsid w:val="00D86F06"/>
    <w:rsid w:val="00D870CC"/>
    <w:rsid w:val="00D87418"/>
    <w:rsid w:val="00D87500"/>
    <w:rsid w:val="00D875A0"/>
    <w:rsid w:val="00D87FE5"/>
    <w:rsid w:val="00D90BF4"/>
    <w:rsid w:val="00D90E9F"/>
    <w:rsid w:val="00D9134E"/>
    <w:rsid w:val="00D9212C"/>
    <w:rsid w:val="00D922F2"/>
    <w:rsid w:val="00D92398"/>
    <w:rsid w:val="00D92551"/>
    <w:rsid w:val="00D92C35"/>
    <w:rsid w:val="00D93364"/>
    <w:rsid w:val="00D93C0E"/>
    <w:rsid w:val="00D93F9C"/>
    <w:rsid w:val="00D945C5"/>
    <w:rsid w:val="00D948BB"/>
    <w:rsid w:val="00D95593"/>
    <w:rsid w:val="00D95631"/>
    <w:rsid w:val="00D95C66"/>
    <w:rsid w:val="00D96091"/>
    <w:rsid w:val="00D96106"/>
    <w:rsid w:val="00D9614F"/>
    <w:rsid w:val="00D964F1"/>
    <w:rsid w:val="00D97077"/>
    <w:rsid w:val="00D9719F"/>
    <w:rsid w:val="00D977AE"/>
    <w:rsid w:val="00D97A80"/>
    <w:rsid w:val="00D97C87"/>
    <w:rsid w:val="00D97D85"/>
    <w:rsid w:val="00D97DEB"/>
    <w:rsid w:val="00DA265A"/>
    <w:rsid w:val="00DA268A"/>
    <w:rsid w:val="00DA2FA4"/>
    <w:rsid w:val="00DA347D"/>
    <w:rsid w:val="00DA3AE6"/>
    <w:rsid w:val="00DA3D5D"/>
    <w:rsid w:val="00DA40CF"/>
    <w:rsid w:val="00DA4193"/>
    <w:rsid w:val="00DA4483"/>
    <w:rsid w:val="00DA5217"/>
    <w:rsid w:val="00DA554E"/>
    <w:rsid w:val="00DA65B3"/>
    <w:rsid w:val="00DA708A"/>
    <w:rsid w:val="00DB0441"/>
    <w:rsid w:val="00DB0635"/>
    <w:rsid w:val="00DB20B7"/>
    <w:rsid w:val="00DB26A6"/>
    <w:rsid w:val="00DB3F97"/>
    <w:rsid w:val="00DB47E0"/>
    <w:rsid w:val="00DB4845"/>
    <w:rsid w:val="00DB4855"/>
    <w:rsid w:val="00DB4934"/>
    <w:rsid w:val="00DB51F9"/>
    <w:rsid w:val="00DB5255"/>
    <w:rsid w:val="00DB60D3"/>
    <w:rsid w:val="00DB6230"/>
    <w:rsid w:val="00DB638A"/>
    <w:rsid w:val="00DB64D5"/>
    <w:rsid w:val="00DB6977"/>
    <w:rsid w:val="00DB701F"/>
    <w:rsid w:val="00DB76E3"/>
    <w:rsid w:val="00DB78A2"/>
    <w:rsid w:val="00DB7A4F"/>
    <w:rsid w:val="00DC0994"/>
    <w:rsid w:val="00DC0CA1"/>
    <w:rsid w:val="00DC189C"/>
    <w:rsid w:val="00DC1D1A"/>
    <w:rsid w:val="00DC1DDF"/>
    <w:rsid w:val="00DC1F05"/>
    <w:rsid w:val="00DC2011"/>
    <w:rsid w:val="00DC2A27"/>
    <w:rsid w:val="00DC2DF9"/>
    <w:rsid w:val="00DC3072"/>
    <w:rsid w:val="00DC3E65"/>
    <w:rsid w:val="00DC57CD"/>
    <w:rsid w:val="00DC5B33"/>
    <w:rsid w:val="00DC69CF"/>
    <w:rsid w:val="00DC6FC4"/>
    <w:rsid w:val="00DC79C1"/>
    <w:rsid w:val="00DC7FBB"/>
    <w:rsid w:val="00DD0CBA"/>
    <w:rsid w:val="00DD1A6E"/>
    <w:rsid w:val="00DD1A84"/>
    <w:rsid w:val="00DD1F63"/>
    <w:rsid w:val="00DD1FBB"/>
    <w:rsid w:val="00DD1FD2"/>
    <w:rsid w:val="00DD2176"/>
    <w:rsid w:val="00DD22AA"/>
    <w:rsid w:val="00DD29A9"/>
    <w:rsid w:val="00DD2AE4"/>
    <w:rsid w:val="00DD2BB5"/>
    <w:rsid w:val="00DD2F80"/>
    <w:rsid w:val="00DD338F"/>
    <w:rsid w:val="00DD33D3"/>
    <w:rsid w:val="00DD3A89"/>
    <w:rsid w:val="00DD3B12"/>
    <w:rsid w:val="00DD42D3"/>
    <w:rsid w:val="00DD4E64"/>
    <w:rsid w:val="00DD5B77"/>
    <w:rsid w:val="00DD61B2"/>
    <w:rsid w:val="00DD6360"/>
    <w:rsid w:val="00DD6CB0"/>
    <w:rsid w:val="00DD6F9C"/>
    <w:rsid w:val="00DD7578"/>
    <w:rsid w:val="00DD7763"/>
    <w:rsid w:val="00DD79E2"/>
    <w:rsid w:val="00DE05A1"/>
    <w:rsid w:val="00DE0825"/>
    <w:rsid w:val="00DE0929"/>
    <w:rsid w:val="00DE1520"/>
    <w:rsid w:val="00DE1740"/>
    <w:rsid w:val="00DE1F71"/>
    <w:rsid w:val="00DE2697"/>
    <w:rsid w:val="00DE2719"/>
    <w:rsid w:val="00DE29D4"/>
    <w:rsid w:val="00DE2FB4"/>
    <w:rsid w:val="00DE3699"/>
    <w:rsid w:val="00DE3B83"/>
    <w:rsid w:val="00DE4912"/>
    <w:rsid w:val="00DE4EB5"/>
    <w:rsid w:val="00DE5BE4"/>
    <w:rsid w:val="00DE71B4"/>
    <w:rsid w:val="00DE77C4"/>
    <w:rsid w:val="00DF0462"/>
    <w:rsid w:val="00DF07DF"/>
    <w:rsid w:val="00DF07F7"/>
    <w:rsid w:val="00DF09EB"/>
    <w:rsid w:val="00DF09FB"/>
    <w:rsid w:val="00DF0F95"/>
    <w:rsid w:val="00DF2A8E"/>
    <w:rsid w:val="00DF3202"/>
    <w:rsid w:val="00DF3F6D"/>
    <w:rsid w:val="00DF3F9A"/>
    <w:rsid w:val="00DF44A9"/>
    <w:rsid w:val="00DF4B03"/>
    <w:rsid w:val="00DF4B7A"/>
    <w:rsid w:val="00DF5199"/>
    <w:rsid w:val="00DF51CB"/>
    <w:rsid w:val="00DF57F1"/>
    <w:rsid w:val="00DF59C9"/>
    <w:rsid w:val="00DF5A4E"/>
    <w:rsid w:val="00DF5BCF"/>
    <w:rsid w:val="00DF6975"/>
    <w:rsid w:val="00DF6A28"/>
    <w:rsid w:val="00DF7679"/>
    <w:rsid w:val="00DF7847"/>
    <w:rsid w:val="00DF788D"/>
    <w:rsid w:val="00E01950"/>
    <w:rsid w:val="00E026AF"/>
    <w:rsid w:val="00E02F28"/>
    <w:rsid w:val="00E03268"/>
    <w:rsid w:val="00E047D7"/>
    <w:rsid w:val="00E04D6E"/>
    <w:rsid w:val="00E0568D"/>
    <w:rsid w:val="00E0584F"/>
    <w:rsid w:val="00E0598A"/>
    <w:rsid w:val="00E05BEE"/>
    <w:rsid w:val="00E05E66"/>
    <w:rsid w:val="00E06370"/>
    <w:rsid w:val="00E07387"/>
    <w:rsid w:val="00E073B5"/>
    <w:rsid w:val="00E07BF0"/>
    <w:rsid w:val="00E10486"/>
    <w:rsid w:val="00E10B44"/>
    <w:rsid w:val="00E10CAE"/>
    <w:rsid w:val="00E112CB"/>
    <w:rsid w:val="00E11C66"/>
    <w:rsid w:val="00E11C69"/>
    <w:rsid w:val="00E1265C"/>
    <w:rsid w:val="00E12C30"/>
    <w:rsid w:val="00E14296"/>
    <w:rsid w:val="00E151DE"/>
    <w:rsid w:val="00E15D8E"/>
    <w:rsid w:val="00E15F35"/>
    <w:rsid w:val="00E16805"/>
    <w:rsid w:val="00E16A91"/>
    <w:rsid w:val="00E16E34"/>
    <w:rsid w:val="00E171B8"/>
    <w:rsid w:val="00E17321"/>
    <w:rsid w:val="00E1739A"/>
    <w:rsid w:val="00E17627"/>
    <w:rsid w:val="00E17872"/>
    <w:rsid w:val="00E20561"/>
    <w:rsid w:val="00E20609"/>
    <w:rsid w:val="00E20653"/>
    <w:rsid w:val="00E206CC"/>
    <w:rsid w:val="00E206EA"/>
    <w:rsid w:val="00E207FA"/>
    <w:rsid w:val="00E21E0D"/>
    <w:rsid w:val="00E223B2"/>
    <w:rsid w:val="00E22934"/>
    <w:rsid w:val="00E22C55"/>
    <w:rsid w:val="00E23041"/>
    <w:rsid w:val="00E23BEC"/>
    <w:rsid w:val="00E2405A"/>
    <w:rsid w:val="00E240CA"/>
    <w:rsid w:val="00E24A07"/>
    <w:rsid w:val="00E24B30"/>
    <w:rsid w:val="00E24E62"/>
    <w:rsid w:val="00E253E8"/>
    <w:rsid w:val="00E25B71"/>
    <w:rsid w:val="00E26318"/>
    <w:rsid w:val="00E2684D"/>
    <w:rsid w:val="00E268E6"/>
    <w:rsid w:val="00E26CFF"/>
    <w:rsid w:val="00E270F6"/>
    <w:rsid w:val="00E274A9"/>
    <w:rsid w:val="00E27AEF"/>
    <w:rsid w:val="00E27DC6"/>
    <w:rsid w:val="00E300FC"/>
    <w:rsid w:val="00E307EF"/>
    <w:rsid w:val="00E3096B"/>
    <w:rsid w:val="00E30B68"/>
    <w:rsid w:val="00E315FE"/>
    <w:rsid w:val="00E31C18"/>
    <w:rsid w:val="00E32202"/>
    <w:rsid w:val="00E32559"/>
    <w:rsid w:val="00E327B5"/>
    <w:rsid w:val="00E32EBE"/>
    <w:rsid w:val="00E3346A"/>
    <w:rsid w:val="00E33611"/>
    <w:rsid w:val="00E33843"/>
    <w:rsid w:val="00E3388C"/>
    <w:rsid w:val="00E343B6"/>
    <w:rsid w:val="00E35613"/>
    <w:rsid w:val="00E35B2E"/>
    <w:rsid w:val="00E36B5B"/>
    <w:rsid w:val="00E36BB6"/>
    <w:rsid w:val="00E36D81"/>
    <w:rsid w:val="00E373E0"/>
    <w:rsid w:val="00E37489"/>
    <w:rsid w:val="00E37CF9"/>
    <w:rsid w:val="00E37F1C"/>
    <w:rsid w:val="00E40384"/>
    <w:rsid w:val="00E40C21"/>
    <w:rsid w:val="00E41427"/>
    <w:rsid w:val="00E4150B"/>
    <w:rsid w:val="00E423D8"/>
    <w:rsid w:val="00E42582"/>
    <w:rsid w:val="00E4312B"/>
    <w:rsid w:val="00E4367F"/>
    <w:rsid w:val="00E43BA8"/>
    <w:rsid w:val="00E445C1"/>
    <w:rsid w:val="00E4490B"/>
    <w:rsid w:val="00E44B61"/>
    <w:rsid w:val="00E44C05"/>
    <w:rsid w:val="00E4522A"/>
    <w:rsid w:val="00E4594C"/>
    <w:rsid w:val="00E47721"/>
    <w:rsid w:val="00E478F8"/>
    <w:rsid w:val="00E47B32"/>
    <w:rsid w:val="00E47E15"/>
    <w:rsid w:val="00E47FF7"/>
    <w:rsid w:val="00E512E4"/>
    <w:rsid w:val="00E51E7A"/>
    <w:rsid w:val="00E52C75"/>
    <w:rsid w:val="00E536DE"/>
    <w:rsid w:val="00E53C1F"/>
    <w:rsid w:val="00E53F00"/>
    <w:rsid w:val="00E5436D"/>
    <w:rsid w:val="00E54855"/>
    <w:rsid w:val="00E54AF2"/>
    <w:rsid w:val="00E55476"/>
    <w:rsid w:val="00E5626D"/>
    <w:rsid w:val="00E564B9"/>
    <w:rsid w:val="00E569A7"/>
    <w:rsid w:val="00E57513"/>
    <w:rsid w:val="00E57D34"/>
    <w:rsid w:val="00E614DC"/>
    <w:rsid w:val="00E61E91"/>
    <w:rsid w:val="00E620E3"/>
    <w:rsid w:val="00E622A0"/>
    <w:rsid w:val="00E62417"/>
    <w:rsid w:val="00E626B8"/>
    <w:rsid w:val="00E6275F"/>
    <w:rsid w:val="00E62DDF"/>
    <w:rsid w:val="00E62F11"/>
    <w:rsid w:val="00E63F64"/>
    <w:rsid w:val="00E6484D"/>
    <w:rsid w:val="00E64A8A"/>
    <w:rsid w:val="00E64FF4"/>
    <w:rsid w:val="00E64FFE"/>
    <w:rsid w:val="00E6520E"/>
    <w:rsid w:val="00E65AD4"/>
    <w:rsid w:val="00E65AF8"/>
    <w:rsid w:val="00E66470"/>
    <w:rsid w:val="00E66B47"/>
    <w:rsid w:val="00E66CCF"/>
    <w:rsid w:val="00E66E53"/>
    <w:rsid w:val="00E67DF4"/>
    <w:rsid w:val="00E67F62"/>
    <w:rsid w:val="00E70144"/>
    <w:rsid w:val="00E702AC"/>
    <w:rsid w:val="00E70440"/>
    <w:rsid w:val="00E705B1"/>
    <w:rsid w:val="00E70871"/>
    <w:rsid w:val="00E70997"/>
    <w:rsid w:val="00E70BF5"/>
    <w:rsid w:val="00E70E7E"/>
    <w:rsid w:val="00E71574"/>
    <w:rsid w:val="00E71DC0"/>
    <w:rsid w:val="00E71EAE"/>
    <w:rsid w:val="00E73466"/>
    <w:rsid w:val="00E73648"/>
    <w:rsid w:val="00E73F71"/>
    <w:rsid w:val="00E74695"/>
    <w:rsid w:val="00E7571E"/>
    <w:rsid w:val="00E76DDE"/>
    <w:rsid w:val="00E77084"/>
    <w:rsid w:val="00E7765B"/>
    <w:rsid w:val="00E776BF"/>
    <w:rsid w:val="00E776F0"/>
    <w:rsid w:val="00E80061"/>
    <w:rsid w:val="00E800C5"/>
    <w:rsid w:val="00E8083A"/>
    <w:rsid w:val="00E8089F"/>
    <w:rsid w:val="00E8107A"/>
    <w:rsid w:val="00E813F3"/>
    <w:rsid w:val="00E819E2"/>
    <w:rsid w:val="00E81C63"/>
    <w:rsid w:val="00E81DC8"/>
    <w:rsid w:val="00E81DD4"/>
    <w:rsid w:val="00E82846"/>
    <w:rsid w:val="00E8309D"/>
    <w:rsid w:val="00E83364"/>
    <w:rsid w:val="00E835E9"/>
    <w:rsid w:val="00E8383D"/>
    <w:rsid w:val="00E83FE3"/>
    <w:rsid w:val="00E8439F"/>
    <w:rsid w:val="00E848A5"/>
    <w:rsid w:val="00E8512E"/>
    <w:rsid w:val="00E854ED"/>
    <w:rsid w:val="00E85E92"/>
    <w:rsid w:val="00E863F3"/>
    <w:rsid w:val="00E86FA7"/>
    <w:rsid w:val="00E87C75"/>
    <w:rsid w:val="00E9067A"/>
    <w:rsid w:val="00E90E07"/>
    <w:rsid w:val="00E914EA"/>
    <w:rsid w:val="00E91A82"/>
    <w:rsid w:val="00E91F11"/>
    <w:rsid w:val="00E92359"/>
    <w:rsid w:val="00E930E0"/>
    <w:rsid w:val="00E935E2"/>
    <w:rsid w:val="00E93C85"/>
    <w:rsid w:val="00E93FBF"/>
    <w:rsid w:val="00E94062"/>
    <w:rsid w:val="00E941EA"/>
    <w:rsid w:val="00E9427B"/>
    <w:rsid w:val="00E94DFE"/>
    <w:rsid w:val="00E95B2D"/>
    <w:rsid w:val="00E9637D"/>
    <w:rsid w:val="00E96E8E"/>
    <w:rsid w:val="00E972EA"/>
    <w:rsid w:val="00EA10C8"/>
    <w:rsid w:val="00EA18AF"/>
    <w:rsid w:val="00EA1D1C"/>
    <w:rsid w:val="00EA4441"/>
    <w:rsid w:val="00EA4766"/>
    <w:rsid w:val="00EA4BB2"/>
    <w:rsid w:val="00EA4DCD"/>
    <w:rsid w:val="00EA4E24"/>
    <w:rsid w:val="00EA4FC4"/>
    <w:rsid w:val="00EA53D7"/>
    <w:rsid w:val="00EA61D2"/>
    <w:rsid w:val="00EA687C"/>
    <w:rsid w:val="00EA695C"/>
    <w:rsid w:val="00EA6BBF"/>
    <w:rsid w:val="00EA76D1"/>
    <w:rsid w:val="00EB06C9"/>
    <w:rsid w:val="00EB0F72"/>
    <w:rsid w:val="00EB10BD"/>
    <w:rsid w:val="00EB2479"/>
    <w:rsid w:val="00EB2991"/>
    <w:rsid w:val="00EB2BF5"/>
    <w:rsid w:val="00EB3C1C"/>
    <w:rsid w:val="00EB3C7D"/>
    <w:rsid w:val="00EB4186"/>
    <w:rsid w:val="00EB4460"/>
    <w:rsid w:val="00EB4598"/>
    <w:rsid w:val="00EB4964"/>
    <w:rsid w:val="00EB5BF8"/>
    <w:rsid w:val="00EB7292"/>
    <w:rsid w:val="00EB73FD"/>
    <w:rsid w:val="00EC0366"/>
    <w:rsid w:val="00EC09CA"/>
    <w:rsid w:val="00EC13C9"/>
    <w:rsid w:val="00EC1FB4"/>
    <w:rsid w:val="00EC24C2"/>
    <w:rsid w:val="00EC2762"/>
    <w:rsid w:val="00EC2AA1"/>
    <w:rsid w:val="00EC3093"/>
    <w:rsid w:val="00EC38D7"/>
    <w:rsid w:val="00EC3CA5"/>
    <w:rsid w:val="00EC5088"/>
    <w:rsid w:val="00EC58AF"/>
    <w:rsid w:val="00EC6192"/>
    <w:rsid w:val="00EC61BC"/>
    <w:rsid w:val="00EC6A5B"/>
    <w:rsid w:val="00EC6C32"/>
    <w:rsid w:val="00EC6D2A"/>
    <w:rsid w:val="00EC6F00"/>
    <w:rsid w:val="00EC7681"/>
    <w:rsid w:val="00EC76FB"/>
    <w:rsid w:val="00EC795E"/>
    <w:rsid w:val="00EC7B96"/>
    <w:rsid w:val="00EC7F1E"/>
    <w:rsid w:val="00ED0587"/>
    <w:rsid w:val="00ED05A3"/>
    <w:rsid w:val="00ED0D78"/>
    <w:rsid w:val="00ED2438"/>
    <w:rsid w:val="00ED2F3C"/>
    <w:rsid w:val="00ED2F99"/>
    <w:rsid w:val="00ED2FF5"/>
    <w:rsid w:val="00ED32E6"/>
    <w:rsid w:val="00ED3E30"/>
    <w:rsid w:val="00ED4CBE"/>
    <w:rsid w:val="00ED4F33"/>
    <w:rsid w:val="00ED5C0C"/>
    <w:rsid w:val="00ED6453"/>
    <w:rsid w:val="00ED6837"/>
    <w:rsid w:val="00EE0C81"/>
    <w:rsid w:val="00EE0FDE"/>
    <w:rsid w:val="00EE16D9"/>
    <w:rsid w:val="00EE26D4"/>
    <w:rsid w:val="00EE2F3E"/>
    <w:rsid w:val="00EE34E3"/>
    <w:rsid w:val="00EE3D38"/>
    <w:rsid w:val="00EE43F0"/>
    <w:rsid w:val="00EE4F7A"/>
    <w:rsid w:val="00EE5B52"/>
    <w:rsid w:val="00EE5B9D"/>
    <w:rsid w:val="00EE6CF4"/>
    <w:rsid w:val="00EF0A5B"/>
    <w:rsid w:val="00EF1D04"/>
    <w:rsid w:val="00EF220B"/>
    <w:rsid w:val="00EF24DE"/>
    <w:rsid w:val="00EF2E20"/>
    <w:rsid w:val="00EF3036"/>
    <w:rsid w:val="00EF3C6C"/>
    <w:rsid w:val="00EF3EC0"/>
    <w:rsid w:val="00EF47D9"/>
    <w:rsid w:val="00EF4A5D"/>
    <w:rsid w:val="00EF4D02"/>
    <w:rsid w:val="00EF5428"/>
    <w:rsid w:val="00EF608D"/>
    <w:rsid w:val="00EF644F"/>
    <w:rsid w:val="00EF645A"/>
    <w:rsid w:val="00EF6B1E"/>
    <w:rsid w:val="00EF778D"/>
    <w:rsid w:val="00EF7ABB"/>
    <w:rsid w:val="00EF7B22"/>
    <w:rsid w:val="00EF7FF8"/>
    <w:rsid w:val="00F003FE"/>
    <w:rsid w:val="00F00B34"/>
    <w:rsid w:val="00F00DF2"/>
    <w:rsid w:val="00F010D3"/>
    <w:rsid w:val="00F01AB6"/>
    <w:rsid w:val="00F01B7C"/>
    <w:rsid w:val="00F01D7A"/>
    <w:rsid w:val="00F0214B"/>
    <w:rsid w:val="00F021F2"/>
    <w:rsid w:val="00F02C2D"/>
    <w:rsid w:val="00F03330"/>
    <w:rsid w:val="00F034A5"/>
    <w:rsid w:val="00F03E86"/>
    <w:rsid w:val="00F04718"/>
    <w:rsid w:val="00F04BD9"/>
    <w:rsid w:val="00F05327"/>
    <w:rsid w:val="00F07CEB"/>
    <w:rsid w:val="00F07DFB"/>
    <w:rsid w:val="00F10243"/>
    <w:rsid w:val="00F10338"/>
    <w:rsid w:val="00F10390"/>
    <w:rsid w:val="00F10B10"/>
    <w:rsid w:val="00F1105F"/>
    <w:rsid w:val="00F116E5"/>
    <w:rsid w:val="00F118EA"/>
    <w:rsid w:val="00F119CD"/>
    <w:rsid w:val="00F11A2F"/>
    <w:rsid w:val="00F11F0A"/>
    <w:rsid w:val="00F126A8"/>
    <w:rsid w:val="00F13397"/>
    <w:rsid w:val="00F13889"/>
    <w:rsid w:val="00F13A76"/>
    <w:rsid w:val="00F1512C"/>
    <w:rsid w:val="00F15583"/>
    <w:rsid w:val="00F159B3"/>
    <w:rsid w:val="00F15EE2"/>
    <w:rsid w:val="00F15F48"/>
    <w:rsid w:val="00F16218"/>
    <w:rsid w:val="00F162CB"/>
    <w:rsid w:val="00F16400"/>
    <w:rsid w:val="00F16738"/>
    <w:rsid w:val="00F16C29"/>
    <w:rsid w:val="00F1731D"/>
    <w:rsid w:val="00F173AF"/>
    <w:rsid w:val="00F17610"/>
    <w:rsid w:val="00F17727"/>
    <w:rsid w:val="00F200C2"/>
    <w:rsid w:val="00F20432"/>
    <w:rsid w:val="00F2047D"/>
    <w:rsid w:val="00F2105F"/>
    <w:rsid w:val="00F227EF"/>
    <w:rsid w:val="00F22B5A"/>
    <w:rsid w:val="00F22B9A"/>
    <w:rsid w:val="00F22EE2"/>
    <w:rsid w:val="00F23158"/>
    <w:rsid w:val="00F239AC"/>
    <w:rsid w:val="00F23D25"/>
    <w:rsid w:val="00F2455E"/>
    <w:rsid w:val="00F25234"/>
    <w:rsid w:val="00F259B2"/>
    <w:rsid w:val="00F25C23"/>
    <w:rsid w:val="00F25F32"/>
    <w:rsid w:val="00F26502"/>
    <w:rsid w:val="00F267A1"/>
    <w:rsid w:val="00F26C71"/>
    <w:rsid w:val="00F26EDC"/>
    <w:rsid w:val="00F26F75"/>
    <w:rsid w:val="00F27650"/>
    <w:rsid w:val="00F27CB8"/>
    <w:rsid w:val="00F27EF1"/>
    <w:rsid w:val="00F30077"/>
    <w:rsid w:val="00F306B2"/>
    <w:rsid w:val="00F3077E"/>
    <w:rsid w:val="00F30AD8"/>
    <w:rsid w:val="00F315D7"/>
    <w:rsid w:val="00F3240E"/>
    <w:rsid w:val="00F32420"/>
    <w:rsid w:val="00F32A77"/>
    <w:rsid w:val="00F32FBD"/>
    <w:rsid w:val="00F3346F"/>
    <w:rsid w:val="00F33687"/>
    <w:rsid w:val="00F34032"/>
    <w:rsid w:val="00F3451E"/>
    <w:rsid w:val="00F34DA2"/>
    <w:rsid w:val="00F35B0C"/>
    <w:rsid w:val="00F35C43"/>
    <w:rsid w:val="00F35D0E"/>
    <w:rsid w:val="00F35ECC"/>
    <w:rsid w:val="00F360F5"/>
    <w:rsid w:val="00F363A1"/>
    <w:rsid w:val="00F36AA9"/>
    <w:rsid w:val="00F37F8B"/>
    <w:rsid w:val="00F40013"/>
    <w:rsid w:val="00F4011B"/>
    <w:rsid w:val="00F418A0"/>
    <w:rsid w:val="00F4221A"/>
    <w:rsid w:val="00F42298"/>
    <w:rsid w:val="00F423CD"/>
    <w:rsid w:val="00F423EB"/>
    <w:rsid w:val="00F42EC9"/>
    <w:rsid w:val="00F436A6"/>
    <w:rsid w:val="00F43A45"/>
    <w:rsid w:val="00F43EBE"/>
    <w:rsid w:val="00F44088"/>
    <w:rsid w:val="00F4444C"/>
    <w:rsid w:val="00F44B73"/>
    <w:rsid w:val="00F4509E"/>
    <w:rsid w:val="00F455A8"/>
    <w:rsid w:val="00F4596C"/>
    <w:rsid w:val="00F45C1C"/>
    <w:rsid w:val="00F45C7D"/>
    <w:rsid w:val="00F46FC9"/>
    <w:rsid w:val="00F4776C"/>
    <w:rsid w:val="00F47851"/>
    <w:rsid w:val="00F4792E"/>
    <w:rsid w:val="00F47CF2"/>
    <w:rsid w:val="00F50062"/>
    <w:rsid w:val="00F50311"/>
    <w:rsid w:val="00F5096C"/>
    <w:rsid w:val="00F50C15"/>
    <w:rsid w:val="00F51297"/>
    <w:rsid w:val="00F518D6"/>
    <w:rsid w:val="00F51A8F"/>
    <w:rsid w:val="00F51C4B"/>
    <w:rsid w:val="00F52039"/>
    <w:rsid w:val="00F526A2"/>
    <w:rsid w:val="00F52923"/>
    <w:rsid w:val="00F52997"/>
    <w:rsid w:val="00F53385"/>
    <w:rsid w:val="00F538AD"/>
    <w:rsid w:val="00F54393"/>
    <w:rsid w:val="00F54C7F"/>
    <w:rsid w:val="00F5532E"/>
    <w:rsid w:val="00F55368"/>
    <w:rsid w:val="00F5595C"/>
    <w:rsid w:val="00F5659D"/>
    <w:rsid w:val="00F566D6"/>
    <w:rsid w:val="00F5761C"/>
    <w:rsid w:val="00F601AE"/>
    <w:rsid w:val="00F6038F"/>
    <w:rsid w:val="00F603F8"/>
    <w:rsid w:val="00F604AE"/>
    <w:rsid w:val="00F6092E"/>
    <w:rsid w:val="00F60D24"/>
    <w:rsid w:val="00F60D9E"/>
    <w:rsid w:val="00F61ADC"/>
    <w:rsid w:val="00F61CEF"/>
    <w:rsid w:val="00F621DB"/>
    <w:rsid w:val="00F62351"/>
    <w:rsid w:val="00F623D0"/>
    <w:rsid w:val="00F6280F"/>
    <w:rsid w:val="00F62DE2"/>
    <w:rsid w:val="00F62DEF"/>
    <w:rsid w:val="00F63980"/>
    <w:rsid w:val="00F63BB4"/>
    <w:rsid w:val="00F63DD8"/>
    <w:rsid w:val="00F63DF8"/>
    <w:rsid w:val="00F6511F"/>
    <w:rsid w:val="00F6545B"/>
    <w:rsid w:val="00F6552B"/>
    <w:rsid w:val="00F6576E"/>
    <w:rsid w:val="00F66536"/>
    <w:rsid w:val="00F66833"/>
    <w:rsid w:val="00F679F8"/>
    <w:rsid w:val="00F67CCC"/>
    <w:rsid w:val="00F67E31"/>
    <w:rsid w:val="00F67F8C"/>
    <w:rsid w:val="00F7012D"/>
    <w:rsid w:val="00F705E5"/>
    <w:rsid w:val="00F71133"/>
    <w:rsid w:val="00F711B9"/>
    <w:rsid w:val="00F716CA"/>
    <w:rsid w:val="00F716CE"/>
    <w:rsid w:val="00F72ACD"/>
    <w:rsid w:val="00F72B78"/>
    <w:rsid w:val="00F72DB3"/>
    <w:rsid w:val="00F73829"/>
    <w:rsid w:val="00F73A98"/>
    <w:rsid w:val="00F7463C"/>
    <w:rsid w:val="00F74DB0"/>
    <w:rsid w:val="00F75DC7"/>
    <w:rsid w:val="00F763D5"/>
    <w:rsid w:val="00F768D1"/>
    <w:rsid w:val="00F76DE6"/>
    <w:rsid w:val="00F77309"/>
    <w:rsid w:val="00F80341"/>
    <w:rsid w:val="00F80AAE"/>
    <w:rsid w:val="00F81586"/>
    <w:rsid w:val="00F81E6B"/>
    <w:rsid w:val="00F82BBC"/>
    <w:rsid w:val="00F82CF3"/>
    <w:rsid w:val="00F844BA"/>
    <w:rsid w:val="00F84B2E"/>
    <w:rsid w:val="00F84B46"/>
    <w:rsid w:val="00F84F9E"/>
    <w:rsid w:val="00F85642"/>
    <w:rsid w:val="00F876B9"/>
    <w:rsid w:val="00F90587"/>
    <w:rsid w:val="00F905B8"/>
    <w:rsid w:val="00F910F1"/>
    <w:rsid w:val="00F91F6A"/>
    <w:rsid w:val="00F930D0"/>
    <w:rsid w:val="00F9348E"/>
    <w:rsid w:val="00F9447E"/>
    <w:rsid w:val="00F94BB7"/>
    <w:rsid w:val="00F94D8B"/>
    <w:rsid w:val="00F94D95"/>
    <w:rsid w:val="00F950BF"/>
    <w:rsid w:val="00F9563C"/>
    <w:rsid w:val="00F9610C"/>
    <w:rsid w:val="00F9656F"/>
    <w:rsid w:val="00F96620"/>
    <w:rsid w:val="00F96A4B"/>
    <w:rsid w:val="00F971A2"/>
    <w:rsid w:val="00F97335"/>
    <w:rsid w:val="00F974B7"/>
    <w:rsid w:val="00F9787B"/>
    <w:rsid w:val="00F979B4"/>
    <w:rsid w:val="00FA0085"/>
    <w:rsid w:val="00FA0DA0"/>
    <w:rsid w:val="00FA0E5E"/>
    <w:rsid w:val="00FA10D7"/>
    <w:rsid w:val="00FA19D6"/>
    <w:rsid w:val="00FA1EC6"/>
    <w:rsid w:val="00FA2001"/>
    <w:rsid w:val="00FA2643"/>
    <w:rsid w:val="00FA2B52"/>
    <w:rsid w:val="00FA3814"/>
    <w:rsid w:val="00FA4403"/>
    <w:rsid w:val="00FA46CC"/>
    <w:rsid w:val="00FA5197"/>
    <w:rsid w:val="00FA56B0"/>
    <w:rsid w:val="00FA56ED"/>
    <w:rsid w:val="00FA57D6"/>
    <w:rsid w:val="00FA6398"/>
    <w:rsid w:val="00FA6890"/>
    <w:rsid w:val="00FA727E"/>
    <w:rsid w:val="00FA74A7"/>
    <w:rsid w:val="00FB002B"/>
    <w:rsid w:val="00FB0082"/>
    <w:rsid w:val="00FB07A1"/>
    <w:rsid w:val="00FB0813"/>
    <w:rsid w:val="00FB0AC2"/>
    <w:rsid w:val="00FB0DA3"/>
    <w:rsid w:val="00FB158E"/>
    <w:rsid w:val="00FB1AF9"/>
    <w:rsid w:val="00FB1DC0"/>
    <w:rsid w:val="00FB2AD0"/>
    <w:rsid w:val="00FB2DDE"/>
    <w:rsid w:val="00FB37C5"/>
    <w:rsid w:val="00FB3887"/>
    <w:rsid w:val="00FB3AFC"/>
    <w:rsid w:val="00FB4C0E"/>
    <w:rsid w:val="00FB4E59"/>
    <w:rsid w:val="00FB500D"/>
    <w:rsid w:val="00FB54BF"/>
    <w:rsid w:val="00FB6ECB"/>
    <w:rsid w:val="00FB7256"/>
    <w:rsid w:val="00FB7619"/>
    <w:rsid w:val="00FB7B6D"/>
    <w:rsid w:val="00FC00A3"/>
    <w:rsid w:val="00FC0472"/>
    <w:rsid w:val="00FC060E"/>
    <w:rsid w:val="00FC069B"/>
    <w:rsid w:val="00FC185C"/>
    <w:rsid w:val="00FC3263"/>
    <w:rsid w:val="00FC3A8F"/>
    <w:rsid w:val="00FC43BB"/>
    <w:rsid w:val="00FC5301"/>
    <w:rsid w:val="00FC5334"/>
    <w:rsid w:val="00FC585E"/>
    <w:rsid w:val="00FC5933"/>
    <w:rsid w:val="00FC5A1A"/>
    <w:rsid w:val="00FC5A2F"/>
    <w:rsid w:val="00FC5A45"/>
    <w:rsid w:val="00FC68B7"/>
    <w:rsid w:val="00FC6C0A"/>
    <w:rsid w:val="00FC6C35"/>
    <w:rsid w:val="00FC6E37"/>
    <w:rsid w:val="00FC7D4A"/>
    <w:rsid w:val="00FD0247"/>
    <w:rsid w:val="00FD027D"/>
    <w:rsid w:val="00FD071A"/>
    <w:rsid w:val="00FD0B7C"/>
    <w:rsid w:val="00FD0F87"/>
    <w:rsid w:val="00FD11DD"/>
    <w:rsid w:val="00FD1673"/>
    <w:rsid w:val="00FD1D1C"/>
    <w:rsid w:val="00FD1E6B"/>
    <w:rsid w:val="00FD1EB7"/>
    <w:rsid w:val="00FD2329"/>
    <w:rsid w:val="00FD25C5"/>
    <w:rsid w:val="00FD32D4"/>
    <w:rsid w:val="00FD3713"/>
    <w:rsid w:val="00FD3A5D"/>
    <w:rsid w:val="00FD3EFB"/>
    <w:rsid w:val="00FD4305"/>
    <w:rsid w:val="00FD4687"/>
    <w:rsid w:val="00FD4E9A"/>
    <w:rsid w:val="00FD629E"/>
    <w:rsid w:val="00FD6FDA"/>
    <w:rsid w:val="00FD7665"/>
    <w:rsid w:val="00FD7CD9"/>
    <w:rsid w:val="00FE0208"/>
    <w:rsid w:val="00FE0679"/>
    <w:rsid w:val="00FE0DA4"/>
    <w:rsid w:val="00FE1125"/>
    <w:rsid w:val="00FE13EF"/>
    <w:rsid w:val="00FE14F8"/>
    <w:rsid w:val="00FE1527"/>
    <w:rsid w:val="00FE1929"/>
    <w:rsid w:val="00FE20C0"/>
    <w:rsid w:val="00FE2305"/>
    <w:rsid w:val="00FE295D"/>
    <w:rsid w:val="00FE2C80"/>
    <w:rsid w:val="00FE2CF0"/>
    <w:rsid w:val="00FE3173"/>
    <w:rsid w:val="00FE342C"/>
    <w:rsid w:val="00FE3E9F"/>
    <w:rsid w:val="00FE3FAF"/>
    <w:rsid w:val="00FE4333"/>
    <w:rsid w:val="00FE43B9"/>
    <w:rsid w:val="00FE4619"/>
    <w:rsid w:val="00FE47D3"/>
    <w:rsid w:val="00FE47FD"/>
    <w:rsid w:val="00FE4A00"/>
    <w:rsid w:val="00FE4C0E"/>
    <w:rsid w:val="00FE5366"/>
    <w:rsid w:val="00FE53BB"/>
    <w:rsid w:val="00FE5720"/>
    <w:rsid w:val="00FE5A89"/>
    <w:rsid w:val="00FE5C8E"/>
    <w:rsid w:val="00FE5CEA"/>
    <w:rsid w:val="00FE62FE"/>
    <w:rsid w:val="00FE6328"/>
    <w:rsid w:val="00FE7CB2"/>
    <w:rsid w:val="00FE7FE6"/>
    <w:rsid w:val="00FF018D"/>
    <w:rsid w:val="00FF02A4"/>
    <w:rsid w:val="00FF0F53"/>
    <w:rsid w:val="00FF113F"/>
    <w:rsid w:val="00FF1B94"/>
    <w:rsid w:val="00FF2953"/>
    <w:rsid w:val="00FF2B2F"/>
    <w:rsid w:val="00FF343D"/>
    <w:rsid w:val="00FF4752"/>
    <w:rsid w:val="00FF5C00"/>
    <w:rsid w:val="00FF5F35"/>
    <w:rsid w:val="00FF61FA"/>
    <w:rsid w:val="00FF75D2"/>
    <w:rsid w:val="00FF7E33"/>
    <w:rsid w:val="0170F866"/>
    <w:rsid w:val="0A948FC5"/>
    <w:rsid w:val="0AD460BE"/>
    <w:rsid w:val="0B3729BA"/>
    <w:rsid w:val="0E5A0FC4"/>
    <w:rsid w:val="0ED1F47D"/>
    <w:rsid w:val="12187EBF"/>
    <w:rsid w:val="135308BA"/>
    <w:rsid w:val="1685D33C"/>
    <w:rsid w:val="1C2E5BA3"/>
    <w:rsid w:val="1CCD00D2"/>
    <w:rsid w:val="1D0806E5"/>
    <w:rsid w:val="1D1A853C"/>
    <w:rsid w:val="23ED540F"/>
    <w:rsid w:val="242EF549"/>
    <w:rsid w:val="25A3F308"/>
    <w:rsid w:val="29C1CCD8"/>
    <w:rsid w:val="2C50D080"/>
    <w:rsid w:val="2DC7E8BE"/>
    <w:rsid w:val="2E8B9FFD"/>
    <w:rsid w:val="31130611"/>
    <w:rsid w:val="314B98B3"/>
    <w:rsid w:val="380A5E9A"/>
    <w:rsid w:val="39A92FE6"/>
    <w:rsid w:val="3A97D8F7"/>
    <w:rsid w:val="3D2D9BA4"/>
    <w:rsid w:val="3E6AB20B"/>
    <w:rsid w:val="3F15EB33"/>
    <w:rsid w:val="40D10A3F"/>
    <w:rsid w:val="40FD365E"/>
    <w:rsid w:val="42499D03"/>
    <w:rsid w:val="448A8514"/>
    <w:rsid w:val="46B91BA2"/>
    <w:rsid w:val="495B32CF"/>
    <w:rsid w:val="4C4E1B22"/>
    <w:rsid w:val="4E0EBAFB"/>
    <w:rsid w:val="50F91B05"/>
    <w:rsid w:val="54184E02"/>
    <w:rsid w:val="57E416D3"/>
    <w:rsid w:val="5BD89E84"/>
    <w:rsid w:val="61E3BDF2"/>
    <w:rsid w:val="63ECBF9C"/>
    <w:rsid w:val="657AA534"/>
    <w:rsid w:val="685288AB"/>
    <w:rsid w:val="6899A6A4"/>
    <w:rsid w:val="6F9CF6AF"/>
    <w:rsid w:val="7331D734"/>
    <w:rsid w:val="75CC944A"/>
    <w:rsid w:val="771F9B23"/>
    <w:rsid w:val="7842F5C2"/>
    <w:rsid w:val="79F58951"/>
    <w:rsid w:val="7B7DC629"/>
    <w:rsid w:val="7E8F5099"/>
    <w:rsid w:val="7F88D6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1546FB"/>
  <w15:chartTrackingRefBased/>
  <w15:docId w15:val="{65BD7592-EB69-45C4-AFA1-CF1BF5D9DE2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62849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Ttulo1">
    <w:name w:val="heading 1"/>
    <w:basedOn w:val="Normal"/>
    <w:next w:val="Normal"/>
    <w:link w:val="Ttulo1Char"/>
    <w:qFormat/>
    <w:rsid w:val="00804D29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2">
    <w:name w:val="heading 2"/>
    <w:basedOn w:val="Normal"/>
    <w:next w:val="Normal"/>
    <w:link w:val="Ttulo2Char"/>
    <w:autoRedefine/>
    <w:uiPriority w:val="9"/>
    <w:unhideWhenUsed/>
    <w:qFormat/>
    <w:rsid w:val="002424B0"/>
    <w:pPr>
      <w:keepNext/>
      <w:keepLines/>
      <w:spacing w:before="40" w:line="360" w:lineRule="auto"/>
      <w:jc w:val="both"/>
      <w:outlineLvl w:val="1"/>
    </w:pPr>
    <w:rPr>
      <w:rFonts w:asciiTheme="majorHAnsi" w:eastAsiaTheme="majorEastAsia" w:hAnsiTheme="majorHAnsi" w:cstheme="majorBidi"/>
      <w:b/>
      <w:bCs/>
      <w:color w:val="2F5496" w:themeColor="accent1" w:themeShade="BF"/>
      <w:sz w:val="32"/>
      <w:szCs w:val="26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AD433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3763" w:themeColor="accent1" w:themeShade="7F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E1739A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CabealhoChar">
    <w:name w:val="Cabeçalho Char"/>
    <w:basedOn w:val="Fontepargpadro"/>
    <w:link w:val="Cabealho"/>
    <w:uiPriority w:val="99"/>
    <w:rsid w:val="00E1739A"/>
  </w:style>
  <w:style w:type="paragraph" w:styleId="Rodap">
    <w:name w:val="footer"/>
    <w:basedOn w:val="Normal"/>
    <w:link w:val="RodapChar"/>
    <w:uiPriority w:val="99"/>
    <w:unhideWhenUsed/>
    <w:rsid w:val="00E1739A"/>
    <w:pPr>
      <w:tabs>
        <w:tab w:val="center" w:pos="4252"/>
        <w:tab w:val="right" w:pos="8504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RodapChar">
    <w:name w:val="Rodapé Char"/>
    <w:basedOn w:val="Fontepargpadro"/>
    <w:link w:val="Rodap"/>
    <w:uiPriority w:val="99"/>
    <w:rsid w:val="00E1739A"/>
  </w:style>
  <w:style w:type="paragraph" w:styleId="Ttulo">
    <w:name w:val="Title"/>
    <w:basedOn w:val="Normal"/>
    <w:link w:val="TtuloChar"/>
    <w:uiPriority w:val="10"/>
    <w:qFormat/>
    <w:rsid w:val="00E1739A"/>
    <w:pPr>
      <w:widowControl w:val="0"/>
      <w:autoSpaceDE w:val="0"/>
      <w:autoSpaceDN w:val="0"/>
      <w:spacing w:before="83"/>
      <w:ind w:left="277" w:right="310"/>
      <w:jc w:val="center"/>
    </w:pPr>
    <w:rPr>
      <w:rFonts w:ascii="Arial" w:eastAsia="Arial" w:hAnsi="Arial" w:cs="Arial"/>
      <w:b/>
      <w:bCs/>
      <w:sz w:val="23"/>
      <w:szCs w:val="23"/>
      <w:lang w:val="pt-PT" w:eastAsia="en-US"/>
    </w:rPr>
  </w:style>
  <w:style w:type="character" w:customStyle="1" w:styleId="TtuloChar">
    <w:name w:val="Título Char"/>
    <w:basedOn w:val="Fontepargpadro"/>
    <w:link w:val="Ttulo"/>
    <w:uiPriority w:val="10"/>
    <w:rsid w:val="00E1739A"/>
    <w:rPr>
      <w:rFonts w:ascii="Arial" w:eastAsia="Arial" w:hAnsi="Arial" w:cs="Arial"/>
      <w:b/>
      <w:bCs/>
      <w:sz w:val="23"/>
      <w:szCs w:val="23"/>
      <w:lang w:val="pt-PT"/>
    </w:rPr>
  </w:style>
  <w:style w:type="paragraph" w:customStyle="1" w:styleId="Default">
    <w:name w:val="Default"/>
    <w:rsid w:val="00E1739A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pt-BR"/>
    </w:rPr>
  </w:style>
  <w:style w:type="table" w:styleId="Tabelacomgrade">
    <w:name w:val="Table Grid"/>
    <w:basedOn w:val="Tabelanormal"/>
    <w:uiPriority w:val="39"/>
    <w:rsid w:val="00E1739A"/>
    <w:pPr>
      <w:spacing w:after="0" w:line="240" w:lineRule="auto"/>
    </w:pPr>
    <w:tblPr/>
  </w:style>
  <w:style w:type="paragraph" w:styleId="PargrafodaLista">
    <w:name w:val="List Paragraph"/>
    <w:basedOn w:val="Normal"/>
    <w:uiPriority w:val="34"/>
    <w:qFormat/>
    <w:rsid w:val="00E1739A"/>
    <w:pPr>
      <w:ind w:left="720"/>
      <w:contextualSpacing/>
    </w:pPr>
  </w:style>
  <w:style w:type="character" w:styleId="Refdecomentrio">
    <w:name w:val="annotation reference"/>
    <w:basedOn w:val="Fontepargpadro"/>
    <w:uiPriority w:val="99"/>
    <w:semiHidden/>
    <w:unhideWhenUsed/>
    <w:rsid w:val="008D319D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8D319D"/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8D319D"/>
    <w:rPr>
      <w:rFonts w:ascii="Times New Roman" w:eastAsia="Times New Roman" w:hAnsi="Times New Roman" w:cs="Times New Roman"/>
      <w:sz w:val="20"/>
      <w:szCs w:val="20"/>
      <w:lang w:eastAsia="pt-BR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8D319D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8D319D"/>
    <w:rPr>
      <w:rFonts w:ascii="Times New Roman" w:eastAsia="Times New Roman" w:hAnsi="Times New Roman" w:cs="Times New Roman"/>
      <w:b/>
      <w:bCs/>
      <w:sz w:val="20"/>
      <w:szCs w:val="20"/>
      <w:lang w:eastAsia="pt-BR"/>
    </w:rPr>
  </w:style>
  <w:style w:type="paragraph" w:styleId="Textodenotaderodap">
    <w:name w:val="footnote text"/>
    <w:basedOn w:val="Normal"/>
    <w:link w:val="TextodenotaderodapChar"/>
    <w:uiPriority w:val="99"/>
    <w:semiHidden/>
    <w:unhideWhenUsed/>
    <w:rsid w:val="004F1658"/>
    <w:rPr>
      <w:sz w:val="20"/>
      <w:szCs w:val="20"/>
    </w:rPr>
  </w:style>
  <w:style w:type="character" w:customStyle="1" w:styleId="TextodenotaderodapChar">
    <w:name w:val="Texto de nota de rodapé Char"/>
    <w:basedOn w:val="Fontepargpadro"/>
    <w:link w:val="Textodenotaderodap"/>
    <w:uiPriority w:val="99"/>
    <w:semiHidden/>
    <w:rsid w:val="004F1658"/>
    <w:rPr>
      <w:rFonts w:ascii="Times New Roman" w:eastAsia="Times New Roman" w:hAnsi="Times New Roman" w:cs="Times New Roman"/>
      <w:sz w:val="20"/>
      <w:szCs w:val="20"/>
      <w:lang w:eastAsia="pt-BR"/>
    </w:rPr>
  </w:style>
  <w:style w:type="character" w:styleId="Refdenotaderodap">
    <w:name w:val="footnote reference"/>
    <w:basedOn w:val="Fontepargpadro"/>
    <w:uiPriority w:val="99"/>
    <w:semiHidden/>
    <w:unhideWhenUsed/>
    <w:rsid w:val="004F1658"/>
    <w:rPr>
      <w:vertAlign w:val="superscript"/>
    </w:rPr>
  </w:style>
  <w:style w:type="character" w:styleId="Hyperlink">
    <w:name w:val="Hyperlink"/>
    <w:basedOn w:val="Fontepargpadro"/>
    <w:uiPriority w:val="99"/>
    <w:unhideWhenUsed/>
    <w:rsid w:val="00337F4F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337F4F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53087B"/>
    <w:rPr>
      <w:color w:val="954F72" w:themeColor="followedHyperlink"/>
      <w:u w:val="single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F94BB7"/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F94BB7"/>
    <w:rPr>
      <w:rFonts w:ascii="Segoe UI" w:eastAsia="Times New Roman" w:hAnsi="Segoe UI" w:cs="Segoe UI"/>
      <w:sz w:val="18"/>
      <w:szCs w:val="18"/>
      <w:lang w:eastAsia="pt-BR"/>
    </w:rPr>
  </w:style>
  <w:style w:type="paragraph" w:styleId="Reviso">
    <w:name w:val="Revision"/>
    <w:hidden/>
    <w:uiPriority w:val="99"/>
    <w:semiHidden/>
    <w:rsid w:val="00D549B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Corpodetexto">
    <w:name w:val="Body Text"/>
    <w:basedOn w:val="Normal"/>
    <w:link w:val="CorpodetextoChar"/>
    <w:rsid w:val="00FD11DD"/>
    <w:pPr>
      <w:autoSpaceDE w:val="0"/>
      <w:autoSpaceDN w:val="0"/>
      <w:adjustRightInd w:val="0"/>
      <w:jc w:val="both"/>
    </w:pPr>
    <w:rPr>
      <w:rFonts w:ascii="TimesNewRoman" w:hAnsi="TimesNewRoman"/>
      <w:sz w:val="19"/>
      <w:szCs w:val="19"/>
    </w:rPr>
  </w:style>
  <w:style w:type="character" w:customStyle="1" w:styleId="CorpodetextoChar">
    <w:name w:val="Corpo de texto Char"/>
    <w:basedOn w:val="Fontepargpadro"/>
    <w:link w:val="Corpodetexto"/>
    <w:rsid w:val="00FD11DD"/>
    <w:rPr>
      <w:rFonts w:ascii="TimesNewRoman" w:eastAsia="Times New Roman" w:hAnsi="TimesNewRoman" w:cs="Times New Roman"/>
      <w:sz w:val="19"/>
      <w:szCs w:val="19"/>
      <w:lang w:eastAsia="pt-BR"/>
    </w:rPr>
  </w:style>
  <w:style w:type="character" w:customStyle="1" w:styleId="Ttulo1Char">
    <w:name w:val="Título 1 Char"/>
    <w:basedOn w:val="Fontepargpadro"/>
    <w:link w:val="Ttulo1"/>
    <w:rsid w:val="00804D29"/>
    <w:rPr>
      <w:rFonts w:asciiTheme="majorHAnsi" w:eastAsiaTheme="majorEastAsia" w:hAnsiTheme="majorHAnsi" w:cstheme="majorBidi"/>
      <w:color w:val="2F5496" w:themeColor="accent1" w:themeShade="BF"/>
      <w:sz w:val="32"/>
      <w:szCs w:val="32"/>
      <w:lang w:eastAsia="pt-BR"/>
    </w:rPr>
  </w:style>
  <w:style w:type="character" w:customStyle="1" w:styleId="citation-25">
    <w:name w:val="citation-25"/>
    <w:basedOn w:val="Fontepargpadro"/>
    <w:rsid w:val="00804D29"/>
  </w:style>
  <w:style w:type="character" w:customStyle="1" w:styleId="Ttulo2Char">
    <w:name w:val="Título 2 Char"/>
    <w:basedOn w:val="Fontepargpadro"/>
    <w:link w:val="Ttulo2"/>
    <w:uiPriority w:val="9"/>
    <w:rsid w:val="002424B0"/>
    <w:rPr>
      <w:rFonts w:asciiTheme="majorHAnsi" w:eastAsiaTheme="majorEastAsia" w:hAnsiTheme="majorHAnsi" w:cstheme="majorBidi"/>
      <w:b/>
      <w:bCs/>
      <w:color w:val="2F5496" w:themeColor="accent1" w:themeShade="BF"/>
      <w:sz w:val="32"/>
      <w:szCs w:val="26"/>
      <w:lang w:eastAsia="pt-BR"/>
    </w:rPr>
  </w:style>
  <w:style w:type="table" w:styleId="TabeladeGrade4-nfase1">
    <w:name w:val="Grid Table 4 Accent 1"/>
    <w:basedOn w:val="Tabelanormal"/>
    <w:uiPriority w:val="49"/>
    <w:rsid w:val="00EF645A"/>
    <w:pPr>
      <w:spacing w:after="0" w:line="240" w:lineRule="auto"/>
    </w:pPr>
    <w:tblPr>
      <w:tblStyleRowBandSize w:val="1"/>
      <w:tblStyleColBandSize w:val="1"/>
    </w:tblPr>
    <w:tcPr>
      <w:shd w:val="clear" w:color="auto" w:fill="D9E2F3" w:themeFill="accen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1"/>
          <w:left w:val="single" w:sz="4" w:space="0" w:color="4472C4" w:themeColor="accent1"/>
          <w:bottom w:val="single" w:sz="4" w:space="0" w:color="4472C4" w:themeColor="accent1"/>
          <w:right w:val="single" w:sz="4" w:space="0" w:color="4472C4" w:themeColor="accent1"/>
          <w:insideH w:val="nil"/>
          <w:insideV w:val="nil"/>
        </w:tcBorders>
        <w:shd w:val="clear" w:color="auto" w:fill="4472C4" w:themeFill="accent1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1" w:themeFillTint="33"/>
      </w:tcPr>
    </w:tblStylePr>
  </w:style>
  <w:style w:type="character" w:customStyle="1" w:styleId="citation-116">
    <w:name w:val="citation-116"/>
    <w:basedOn w:val="Fontepargpadro"/>
    <w:rsid w:val="00C53C86"/>
  </w:style>
  <w:style w:type="character" w:customStyle="1" w:styleId="citation-115">
    <w:name w:val="citation-115"/>
    <w:basedOn w:val="Fontepargpadro"/>
    <w:rsid w:val="00C53C86"/>
  </w:style>
  <w:style w:type="character" w:customStyle="1" w:styleId="citation-114">
    <w:name w:val="citation-114"/>
    <w:basedOn w:val="Fontepargpadro"/>
    <w:rsid w:val="00C53C86"/>
  </w:style>
  <w:style w:type="character" w:customStyle="1" w:styleId="citation-113">
    <w:name w:val="citation-113"/>
    <w:basedOn w:val="Fontepargpadro"/>
    <w:rsid w:val="00C53C86"/>
  </w:style>
  <w:style w:type="character" w:customStyle="1" w:styleId="citation-111">
    <w:name w:val="citation-111"/>
    <w:basedOn w:val="Fontepargpadro"/>
    <w:rsid w:val="00C53C86"/>
  </w:style>
  <w:style w:type="character" w:customStyle="1" w:styleId="citation-109">
    <w:name w:val="citation-109"/>
    <w:basedOn w:val="Fontepargpadro"/>
    <w:rsid w:val="00C53C86"/>
  </w:style>
  <w:style w:type="paragraph" w:styleId="NormalWeb">
    <w:name w:val="Normal (Web)"/>
    <w:basedOn w:val="Normal"/>
    <w:uiPriority w:val="99"/>
    <w:unhideWhenUsed/>
    <w:rsid w:val="004C3099"/>
    <w:pPr>
      <w:spacing w:before="100" w:beforeAutospacing="1" w:after="100" w:afterAutospacing="1"/>
    </w:pPr>
  </w:style>
  <w:style w:type="character" w:customStyle="1" w:styleId="citation-257">
    <w:name w:val="citation-257"/>
    <w:basedOn w:val="Fontepargpadro"/>
    <w:rsid w:val="004C3099"/>
  </w:style>
  <w:style w:type="character" w:customStyle="1" w:styleId="citation-256">
    <w:name w:val="citation-256"/>
    <w:basedOn w:val="Fontepargpadro"/>
    <w:rsid w:val="006B7374"/>
  </w:style>
  <w:style w:type="character" w:customStyle="1" w:styleId="citation-255">
    <w:name w:val="citation-255"/>
    <w:basedOn w:val="Fontepargpadro"/>
    <w:rsid w:val="006B7374"/>
  </w:style>
  <w:style w:type="character" w:customStyle="1" w:styleId="citation-254">
    <w:name w:val="citation-254"/>
    <w:basedOn w:val="Fontepargpadro"/>
    <w:rsid w:val="006B7374"/>
  </w:style>
  <w:style w:type="character" w:customStyle="1" w:styleId="citation-253">
    <w:name w:val="citation-253"/>
    <w:basedOn w:val="Fontepargpadro"/>
    <w:rsid w:val="006B7374"/>
  </w:style>
  <w:style w:type="character" w:customStyle="1" w:styleId="citation-27">
    <w:name w:val="citation-27"/>
    <w:basedOn w:val="Fontepargpadro"/>
    <w:rsid w:val="00940138"/>
  </w:style>
  <w:style w:type="character" w:customStyle="1" w:styleId="citation-26">
    <w:name w:val="citation-26"/>
    <w:basedOn w:val="Fontepargpadro"/>
    <w:rsid w:val="00940138"/>
  </w:style>
  <w:style w:type="character" w:customStyle="1" w:styleId="citation-24">
    <w:name w:val="citation-24"/>
    <w:basedOn w:val="Fontepargpadro"/>
    <w:rsid w:val="00940138"/>
  </w:style>
  <w:style w:type="character" w:customStyle="1" w:styleId="citation-23">
    <w:name w:val="citation-23"/>
    <w:basedOn w:val="Fontepargpadro"/>
    <w:rsid w:val="00940138"/>
  </w:style>
  <w:style w:type="character" w:customStyle="1" w:styleId="citation-22">
    <w:name w:val="citation-22"/>
    <w:basedOn w:val="Fontepargpadro"/>
    <w:rsid w:val="00940138"/>
  </w:style>
  <w:style w:type="character" w:customStyle="1" w:styleId="citation-21">
    <w:name w:val="citation-21"/>
    <w:basedOn w:val="Fontepargpadro"/>
    <w:rsid w:val="00940138"/>
  </w:style>
  <w:style w:type="character" w:customStyle="1" w:styleId="citation-20">
    <w:name w:val="citation-20"/>
    <w:basedOn w:val="Fontepargpadro"/>
    <w:rsid w:val="00940138"/>
  </w:style>
  <w:style w:type="character" w:customStyle="1" w:styleId="citation-19">
    <w:name w:val="citation-19"/>
    <w:basedOn w:val="Fontepargpadro"/>
    <w:rsid w:val="00940138"/>
  </w:style>
  <w:style w:type="character" w:customStyle="1" w:styleId="citation-18">
    <w:name w:val="citation-18"/>
    <w:basedOn w:val="Fontepargpadro"/>
    <w:rsid w:val="00940138"/>
  </w:style>
  <w:style w:type="character" w:customStyle="1" w:styleId="citation-17">
    <w:name w:val="citation-17"/>
    <w:basedOn w:val="Fontepargpadro"/>
    <w:rsid w:val="00940138"/>
  </w:style>
  <w:style w:type="character" w:customStyle="1" w:styleId="citation-16">
    <w:name w:val="citation-16"/>
    <w:basedOn w:val="Fontepargpadro"/>
    <w:rsid w:val="00940138"/>
  </w:style>
  <w:style w:type="character" w:customStyle="1" w:styleId="citation-15">
    <w:name w:val="citation-15"/>
    <w:basedOn w:val="Fontepargpadro"/>
    <w:rsid w:val="00940138"/>
  </w:style>
  <w:style w:type="character" w:customStyle="1" w:styleId="citation-14">
    <w:name w:val="citation-14"/>
    <w:basedOn w:val="Fontepargpadro"/>
    <w:rsid w:val="00940138"/>
  </w:style>
  <w:style w:type="character" w:customStyle="1" w:styleId="citation-13">
    <w:name w:val="citation-13"/>
    <w:basedOn w:val="Fontepargpadro"/>
    <w:rsid w:val="00940138"/>
  </w:style>
  <w:style w:type="character" w:customStyle="1" w:styleId="citation-12">
    <w:name w:val="citation-12"/>
    <w:basedOn w:val="Fontepargpadro"/>
    <w:rsid w:val="00940138"/>
  </w:style>
  <w:style w:type="character" w:customStyle="1" w:styleId="citation-11">
    <w:name w:val="citation-11"/>
    <w:basedOn w:val="Fontepargpadro"/>
    <w:rsid w:val="00940138"/>
  </w:style>
  <w:style w:type="character" w:customStyle="1" w:styleId="citation-10">
    <w:name w:val="citation-10"/>
    <w:basedOn w:val="Fontepargpadro"/>
    <w:rsid w:val="00B854EB"/>
  </w:style>
  <w:style w:type="character" w:customStyle="1" w:styleId="citation-9">
    <w:name w:val="citation-9"/>
    <w:basedOn w:val="Fontepargpadro"/>
    <w:rsid w:val="00B854EB"/>
  </w:style>
  <w:style w:type="character" w:customStyle="1" w:styleId="citation-8">
    <w:name w:val="citation-8"/>
    <w:basedOn w:val="Fontepargpadro"/>
    <w:rsid w:val="00B854EB"/>
  </w:style>
  <w:style w:type="character" w:customStyle="1" w:styleId="citation-7">
    <w:name w:val="citation-7"/>
    <w:basedOn w:val="Fontepargpadro"/>
    <w:rsid w:val="00B854EB"/>
  </w:style>
  <w:style w:type="character" w:customStyle="1" w:styleId="citation-102">
    <w:name w:val="citation-102"/>
    <w:basedOn w:val="Fontepargpadro"/>
    <w:rsid w:val="00F32A77"/>
  </w:style>
  <w:style w:type="character" w:customStyle="1" w:styleId="citation-101">
    <w:name w:val="citation-101"/>
    <w:basedOn w:val="Fontepargpadro"/>
    <w:rsid w:val="00F32A77"/>
  </w:style>
  <w:style w:type="character" w:customStyle="1" w:styleId="citation-98">
    <w:name w:val="citation-98"/>
    <w:basedOn w:val="Fontepargpadro"/>
    <w:rsid w:val="00F32A77"/>
  </w:style>
  <w:style w:type="character" w:customStyle="1" w:styleId="citation-147">
    <w:name w:val="citation-147"/>
    <w:basedOn w:val="Fontepargpadro"/>
    <w:rsid w:val="003B75D2"/>
  </w:style>
  <w:style w:type="character" w:customStyle="1" w:styleId="citation-146">
    <w:name w:val="citation-146"/>
    <w:basedOn w:val="Fontepargpadro"/>
    <w:rsid w:val="003B75D2"/>
  </w:style>
  <w:style w:type="character" w:customStyle="1" w:styleId="citation-145">
    <w:name w:val="citation-145"/>
    <w:basedOn w:val="Fontepargpadro"/>
    <w:rsid w:val="003B75D2"/>
  </w:style>
  <w:style w:type="character" w:customStyle="1" w:styleId="citation-144">
    <w:name w:val="citation-144"/>
    <w:basedOn w:val="Fontepargpadro"/>
    <w:rsid w:val="003B75D2"/>
  </w:style>
  <w:style w:type="character" w:customStyle="1" w:styleId="citation-142">
    <w:name w:val="citation-142"/>
    <w:basedOn w:val="Fontepargpadro"/>
    <w:rsid w:val="0094668A"/>
  </w:style>
  <w:style w:type="character" w:customStyle="1" w:styleId="citation-141">
    <w:name w:val="citation-141"/>
    <w:basedOn w:val="Fontepargpadro"/>
    <w:rsid w:val="0094668A"/>
  </w:style>
  <w:style w:type="character" w:customStyle="1" w:styleId="Ttulo3Char">
    <w:name w:val="Título 3 Char"/>
    <w:basedOn w:val="Fontepargpadro"/>
    <w:link w:val="Ttulo3"/>
    <w:uiPriority w:val="9"/>
    <w:semiHidden/>
    <w:rsid w:val="00AD4339"/>
    <w:rPr>
      <w:rFonts w:asciiTheme="majorHAnsi" w:eastAsiaTheme="majorEastAsia" w:hAnsiTheme="majorHAnsi" w:cstheme="majorBidi"/>
      <w:color w:val="1F3763" w:themeColor="accent1" w:themeShade="7F"/>
      <w:sz w:val="24"/>
      <w:szCs w:val="24"/>
      <w:lang w:eastAsia="pt-BR"/>
    </w:rPr>
  </w:style>
  <w:style w:type="character" w:customStyle="1" w:styleId="citation-105">
    <w:name w:val="citation-105"/>
    <w:basedOn w:val="Fontepargpadro"/>
    <w:rsid w:val="00352FBD"/>
  </w:style>
  <w:style w:type="character" w:customStyle="1" w:styleId="normaltextrun">
    <w:name w:val="normaltextrun"/>
    <w:basedOn w:val="Fontepargpadro"/>
    <w:rsid w:val="00557E4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5668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19338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385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624616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16623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724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09945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66165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6185008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69538120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7309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3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955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411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283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11141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29929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9811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282923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01107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089575539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130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6254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7412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64342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13252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875275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00995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048258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3142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979073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443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53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7026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070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66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0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195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358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549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9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867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5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23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5779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990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49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73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38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0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959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5406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96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77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543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4793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65532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033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0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836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98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18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71561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4649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902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15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352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341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08123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175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4775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9659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270471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06941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50183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0772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6323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41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51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5864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499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541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54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5949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231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2716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3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430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0185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5832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868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2420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5134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556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63697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9391013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9770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9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542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/Relationships>
</file>

<file path=word/_rels/header1.xml.rels><?xml version='1.0' encoding='UTF-8' standalone='yes'?>
<Relationships xmlns="http://schemas.openxmlformats.org/package/2006/relationships"><Relationship Id="rId2" Type="http://schemas.openxmlformats.org/officeDocument/2006/relationships/image" Target="media/image2.sv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FDBC2031823944CAE7A47B474980AF9" ma:contentTypeVersion="11" ma:contentTypeDescription="Crie um novo documento." ma:contentTypeScope="" ma:versionID="855b8a9cb39ccb1a7b580d7bd67e6c38">
  <xsd:schema xmlns:xsd="http://www.w3.org/2001/XMLSchema" xmlns:xs="http://www.w3.org/2001/XMLSchema" xmlns:p="http://schemas.microsoft.com/office/2006/metadata/properties" xmlns:ns2="725921e2-8998-4eb1-9fb8-0a15db1010ad" xmlns:ns3="92c5a728-2296-426d-baf2-0ff787f497e1" targetNamespace="http://schemas.microsoft.com/office/2006/metadata/properties" ma:root="true" ma:fieldsID="1d1296c8fba1412a6f6c28c7bf1b5c6f" ns2:_="" ns3:_="">
    <xsd:import namespace="725921e2-8998-4eb1-9fb8-0a15db1010ad"/>
    <xsd:import namespace="92c5a728-2296-426d-baf2-0ff787f497e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ObjectDetectorVersion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25921e2-8998-4eb1-9fb8-0a15db1010ad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DateTaken" ma:index="1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Marcações de imagem" ma:readOnly="false" ma:fieldId="{5cf76f15-5ced-4ddc-b409-7134ff3c332f}" ma:taxonomyMulti="true" ma:sspId="b94074d8-97da-4deb-a367-6d65a6a9ab58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2c5a728-2296-426d-baf2-0ff787f497e1" elementFormDefault="qualified">
    <xsd:import namespace="http://schemas.microsoft.com/office/2006/documentManagement/types"/>
    <xsd:import namespace="http://schemas.microsoft.com/office/infopath/2007/PartnerControls"/>
    <xsd:element name="TaxCatchAll" ma:index="15" nillable="true" ma:displayName="Taxonomy Catch All Column" ma:hidden="true" ma:list="{d5f72d34-8b74-44f7-91a5-e89f3854a116}" ma:internalName="TaxCatchAll" ma:showField="CatchAllData" ma:web="92c5a728-2296-426d-baf2-0ff787f497e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92c5a728-2296-426d-baf2-0ff787f497e1" xsi:nil="true"/>
    <lcf76f155ced4ddcb4097134ff3c332f xmlns="725921e2-8998-4eb1-9fb8-0a15db1010ad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B3B699C-58A5-4E30-B28D-A0EBD2730770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A7A7FD6-6C0C-4048-ACD6-4408BAE703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25921e2-8998-4eb1-9fb8-0a15db1010ad"/>
    <ds:schemaRef ds:uri="92c5a728-2296-426d-baf2-0ff787f497e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09CE5C4D-344E-4B9A-BACC-B692E5F42C94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FBFA4F3B-2708-4731-A0D3-85F4C0631F4E}">
  <ds:schemaRefs>
    <ds:schemaRef ds:uri="http://schemas.microsoft.com/office/2006/metadata/properties"/>
    <ds:schemaRef ds:uri="http://schemas.microsoft.com/office/infopath/2007/PartnerControls"/>
    <ds:schemaRef ds:uri="92c5a728-2296-426d-baf2-0ff787f497e1"/>
    <ds:schemaRef ds:uri="725921e2-8998-4eb1-9fb8-0a15db1010a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5852</TotalTime>
  <Pages>12</Pages>
  <Words>7958</Words>
  <Characters>40273</Characters>
  <Application>Microsoft Office Word</Application>
  <DocSecurity>0</DocSecurity>
  <Lines>4474</Lines>
  <Paragraphs>2296</Paragraphs>
  <ScaleCrop>false</ScaleCrop>
  <Company/>
  <LinksUpToDate>false</LinksUpToDate>
  <CharactersWithSpaces>45935</CharactersWithSpaces>
  <SharedDoc>false</SharedDoc>
  <HLinks>
    <vt:vector size="372" baseType="variant">
      <vt:variant>
        <vt:i4>3801138</vt:i4>
      </vt:variant>
      <vt:variant>
        <vt:i4>183</vt:i4>
      </vt:variant>
      <vt:variant>
        <vt:i4>0</vt:i4>
      </vt:variant>
      <vt:variant>
        <vt:i4>5</vt:i4>
      </vt:variant>
      <vt:variant>
        <vt:lpwstr>https://www.cisecurity.org/controls</vt:lpwstr>
      </vt:variant>
      <vt:variant>
        <vt:lpwstr/>
      </vt:variant>
      <vt:variant>
        <vt:i4>7077994</vt:i4>
      </vt:variant>
      <vt:variant>
        <vt:i4>180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/>
      </vt:variant>
      <vt:variant>
        <vt:i4>6422634</vt:i4>
      </vt:variant>
      <vt:variant>
        <vt:i4>177</vt:i4>
      </vt:variant>
      <vt:variant>
        <vt:i4>0</vt:i4>
      </vt:variant>
      <vt:variant>
        <vt:i4>5</vt:i4>
      </vt:variant>
      <vt:variant>
        <vt:lpwstr>https://www.planalto.gov.br/ccivil_03/_ato2011-2014/2011/lei/l12527.htm</vt:lpwstr>
      </vt:variant>
      <vt:variant>
        <vt:lpwstr/>
      </vt:variant>
      <vt:variant>
        <vt:i4>7077994</vt:i4>
      </vt:variant>
      <vt:variant>
        <vt:i4>174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/>
      </vt:variant>
      <vt:variant>
        <vt:i4>3801138</vt:i4>
      </vt:variant>
      <vt:variant>
        <vt:i4>171</vt:i4>
      </vt:variant>
      <vt:variant>
        <vt:i4>0</vt:i4>
      </vt:variant>
      <vt:variant>
        <vt:i4>5</vt:i4>
      </vt:variant>
      <vt:variant>
        <vt:lpwstr>https://www.cisecurity.org/controls</vt:lpwstr>
      </vt:variant>
      <vt:variant>
        <vt:lpwstr/>
      </vt:variant>
      <vt:variant>
        <vt:i4>7077994</vt:i4>
      </vt:variant>
      <vt:variant>
        <vt:i4>168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/>
      </vt:variant>
      <vt:variant>
        <vt:i4>6422634</vt:i4>
      </vt:variant>
      <vt:variant>
        <vt:i4>165</vt:i4>
      </vt:variant>
      <vt:variant>
        <vt:i4>0</vt:i4>
      </vt:variant>
      <vt:variant>
        <vt:i4>5</vt:i4>
      </vt:variant>
      <vt:variant>
        <vt:lpwstr>https://www.planalto.gov.br/ccivil_03/_ato2011-2014/2011/lei/l12527.htm</vt:lpwstr>
      </vt:variant>
      <vt:variant>
        <vt:lpwstr/>
      </vt:variant>
      <vt:variant>
        <vt:i4>3211381</vt:i4>
      </vt:variant>
      <vt:variant>
        <vt:i4>162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159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1769557</vt:i4>
      </vt:variant>
      <vt:variant>
        <vt:i4>156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153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150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147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144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141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138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135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132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129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126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123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120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117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1769557</vt:i4>
      </vt:variant>
      <vt:variant>
        <vt:i4>114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111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108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105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102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99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96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93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90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87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84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81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78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75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72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69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66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63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60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57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54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51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48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45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42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39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36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33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30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27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24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21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  <vt:variant>
        <vt:i4>3211381</vt:i4>
      </vt:variant>
      <vt:variant>
        <vt:i4>18</vt:i4>
      </vt:variant>
      <vt:variant>
        <vt:i4>0</vt:i4>
      </vt:variant>
      <vt:variant>
        <vt:i4>5</vt:i4>
      </vt:variant>
      <vt:variant>
        <vt:lpwstr>https://www.cnmp.mp.br/portal/images/CALJ/resolucoes/Resoluo-n-294d.pdf</vt:lpwstr>
      </vt:variant>
      <vt:variant>
        <vt:lpwstr/>
      </vt:variant>
      <vt:variant>
        <vt:i4>3604597</vt:i4>
      </vt:variant>
      <vt:variant>
        <vt:i4>15</vt:i4>
      </vt:variant>
      <vt:variant>
        <vt:i4>0</vt:i4>
      </vt:variant>
      <vt:variant>
        <vt:i4>5</vt:i4>
      </vt:variant>
      <vt:variant>
        <vt:lpwstr>https://www.tjrj.jus.br/documents/10136/0/resolucao-tjoe-28-2022-estrategia_si_pjerj.pdf/b7113e47-b697-a7f5-afd8-e41df0b52bbd?t=1666287585082</vt:lpwstr>
      </vt:variant>
      <vt:variant>
        <vt:lpwstr/>
      </vt:variant>
      <vt:variant>
        <vt:i4>5701662</vt:i4>
      </vt:variant>
      <vt:variant>
        <vt:i4>12</vt:i4>
      </vt:variant>
      <vt:variant>
        <vt:i4>0</vt:i4>
      </vt:variant>
      <vt:variant>
        <vt:i4>5</vt:i4>
      </vt:variant>
      <vt:variant>
        <vt:lpwstr>https://www.rj.gov.br/proderj/sites/default/files/Arquivos_IN/Anexo_Unico___Manual_de_Seguranca_da_Informacao___editado___gestao_atualizada %281%29.pdf</vt:lpwstr>
      </vt:variant>
      <vt:variant>
        <vt:lpwstr/>
      </vt:variant>
      <vt:variant>
        <vt:i4>1769557</vt:i4>
      </vt:variant>
      <vt:variant>
        <vt:i4>9</vt:i4>
      </vt:variant>
      <vt:variant>
        <vt:i4>0</vt:i4>
      </vt:variant>
      <vt:variant>
        <vt:i4>5</vt:i4>
      </vt:variant>
      <vt:variant>
        <vt:lpwstr>https://learn.cisecurity.org/cis-controls-download-v8</vt:lpwstr>
      </vt:variant>
      <vt:variant>
        <vt:lpwstr/>
      </vt:variant>
      <vt:variant>
        <vt:i4>2752639</vt:i4>
      </vt:variant>
      <vt:variant>
        <vt:i4>6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art47</vt:lpwstr>
      </vt:variant>
      <vt:variant>
        <vt:i4>2752639</vt:i4>
      </vt:variant>
      <vt:variant>
        <vt:i4>3</vt:i4>
      </vt:variant>
      <vt:variant>
        <vt:i4>0</vt:i4>
      </vt:variant>
      <vt:variant>
        <vt:i4>5</vt:i4>
      </vt:variant>
      <vt:variant>
        <vt:lpwstr>https://www.planalto.gov.br/ccivil_03/_ato2015-2018/2018/lei/l13709.htm</vt:lpwstr>
      </vt:variant>
      <vt:variant>
        <vt:lpwstr>art46</vt:lpwstr>
      </vt:variant>
      <vt:variant>
        <vt:i4>7209071</vt:i4>
      </vt:variant>
      <vt:variant>
        <vt:i4>0</vt:i4>
      </vt:variant>
      <vt:variant>
        <vt:i4>0</vt:i4>
      </vt:variant>
      <vt:variant>
        <vt:i4>5</vt:i4>
      </vt:variant>
      <vt:variant>
        <vt:lpwstr>https://www.planalto.gov.br/ccivil_03/_ato2019-2022/2021/lei/l14133.htm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Fabio Souza Lima</dc:creator>
  <cp:keywords/>
  <dc:description/>
  <cp:lastModifiedBy>Augusto Cesar Benvenuto de Almeida</cp:lastModifiedBy>
  <cp:revision>3218</cp:revision>
  <cp:lastPrinted>2025-10-21T03:58:00Z</cp:lastPrinted>
  <dcterms:created xsi:type="dcterms:W3CDTF">2023-08-10T07:29:00Z</dcterms:created>
  <dcterms:modified xsi:type="dcterms:W3CDTF">2026-09-02T16:08:00Z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0x0101003FDBC2031823944CAE7A47B474980AF9</vt:lpwstr>
  </property>
  <property fmtid="{D5CDD505-2E9C-101B-9397-08002B2CF9AE}" pid="3" name="Order">
    <vt:r8>61100</vt:r8>
  </property>
  <property fmtid="{D5CDD505-2E9C-101B-9397-08002B2CF9AE}" pid="4" name="xd_Signature">
    <vt:bool>false</vt:bool>
  </property>
  <property fmtid="{D5CDD505-2E9C-101B-9397-08002B2CF9AE}" pid="5" name="xd_ProgID">
    <vt:lpwstr/>
  </property>
  <property fmtid="{D5CDD505-2E9C-101B-9397-08002B2CF9AE}" pid="6" name="ComplianceAssetId">
    <vt:lpwstr/>
  </property>
  <property fmtid="{D5CDD505-2E9C-101B-9397-08002B2CF9AE}" pid="7" name="TemplateUrl">
    <vt:lpwstr/>
  </property>
  <property fmtid="{D5CDD505-2E9C-101B-9397-08002B2CF9AE}" pid="8" name="_ExtendedDescription">
    <vt:lpwstr/>
  </property>
  <property fmtid="{D5CDD505-2E9C-101B-9397-08002B2CF9AE}" pid="9" name="TriggerFlowInfo">
    <vt:lpwstr/>
  </property>
  <property fmtid="{D5CDD505-2E9C-101B-9397-08002B2CF9AE}" pid="10" name="MediaServiceImageTags">
    <vt:lpwstr/>
  </property>
  <property fmtid="{D5CDD505-2E9C-101B-9397-08002B2CF9AE}" pid="11" name="docLang">
    <vt:lpwstr>pt</vt:lpwstr>
  </property>
</Properties>
</file>