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FDBFE" w14:textId="77777777" w:rsidR="002D2D31" w:rsidRDefault="002D2D31" w:rsidP="001E6730">
      <w:pPr>
        <w:jc w:val="center"/>
        <w:rPr>
          <w:rFonts w:ascii="Arial" w:hAnsi="Arial" w:cs="Arial"/>
          <w:b/>
        </w:rPr>
      </w:pPr>
    </w:p>
    <w:p w14:paraId="37E75FF0" w14:textId="77777777" w:rsidR="00AE7776" w:rsidRDefault="002D2D31" w:rsidP="001E6730">
      <w:pPr>
        <w:jc w:val="center"/>
        <w:rPr>
          <w:rFonts w:ascii="Arial" w:hAnsi="Arial" w:cs="Arial"/>
          <w:b/>
        </w:rPr>
      </w:pPr>
      <w:r>
        <w:rPr>
          <w:rFonts w:ascii="Arial" w:hAnsi="Arial" w:cs="Arial"/>
          <w:b/>
        </w:rPr>
        <w:t>MATRIZ DE ACHADOS</w:t>
      </w:r>
    </w:p>
    <w:p w14:paraId="42584AA9" w14:textId="77777777" w:rsidR="00644DA6" w:rsidRDefault="00644DA6" w:rsidP="001E6730">
      <w:pPr>
        <w:jc w:val="center"/>
        <w:rPr>
          <w:rFonts w:ascii="Arial" w:hAnsi="Arial" w:cs="Arial"/>
          <w:b/>
        </w:rPr>
      </w:pPr>
    </w:p>
    <w:tbl>
      <w:tblPr>
        <w:tblStyle w:val="Tabelacomgrad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6"/>
        <w:gridCol w:w="3364"/>
        <w:gridCol w:w="3364"/>
        <w:gridCol w:w="3534"/>
        <w:gridCol w:w="3179"/>
        <w:gridCol w:w="6801"/>
      </w:tblGrid>
      <w:tr w:rsidR="004A3674" w:rsidRPr="00636B72" w14:paraId="08F5CB99" w14:textId="77777777" w:rsidTr="004A3674">
        <w:trPr>
          <w:trHeight w:val="300"/>
          <w:tblHeader/>
        </w:trPr>
        <w:tc>
          <w:tcPr>
            <w:tcW w:w="473" w:type="pct"/>
          </w:tcPr>
          <w:p w14:paraId="50351261" w14:textId="77777777" w:rsidR="004A3674" w:rsidRPr="00636B72" w:rsidRDefault="004A3674">
            <w:pPr>
              <w:autoSpaceDE w:val="0"/>
              <w:autoSpaceDN w:val="0"/>
              <w:adjustRightInd w:val="0"/>
              <w:spacing w:before="40" w:after="60"/>
              <w:jc w:val="center"/>
              <w:rPr>
                <w:rFonts w:ascii="Arial" w:hAnsi="Arial" w:cs="Arial"/>
                <w:b/>
                <w:bCs/>
                <w:sz w:val="16"/>
                <w:szCs w:val="16"/>
              </w:rPr>
            </w:pPr>
            <w:r>
              <w:rPr>
                <w:rFonts w:ascii="Arial" w:hAnsi="Arial" w:cs="Arial"/>
                <w:b/>
                <w:bCs/>
                <w:sz w:val="16"/>
                <w:szCs w:val="16"/>
              </w:rPr>
              <w:t>ACHADO</w:t>
            </w:r>
          </w:p>
        </w:tc>
        <w:tc>
          <w:tcPr>
            <w:tcW w:w="752" w:type="pct"/>
            <w:vAlign w:val="center"/>
          </w:tcPr>
          <w:p w14:paraId="1F0EFD0A" w14:textId="77777777" w:rsidR="004A3674" w:rsidRPr="00636B72" w:rsidRDefault="004A3674">
            <w:pPr>
              <w:autoSpaceDE w:val="0"/>
              <w:autoSpaceDN w:val="0"/>
              <w:adjustRightInd w:val="0"/>
              <w:spacing w:before="40" w:after="60"/>
              <w:jc w:val="center"/>
              <w:rPr>
                <w:rFonts w:ascii="Arial" w:hAnsi="Arial" w:cs="Arial"/>
                <w:b/>
                <w:bCs/>
                <w:sz w:val="16"/>
                <w:szCs w:val="16"/>
              </w:rPr>
            </w:pPr>
            <w:r>
              <w:rPr>
                <w:rFonts w:ascii="Arial" w:hAnsi="Arial" w:cs="Arial"/>
                <w:b/>
                <w:bCs/>
                <w:sz w:val="16"/>
                <w:szCs w:val="16"/>
              </w:rPr>
              <w:t>CRITÉRIO</w:t>
            </w:r>
          </w:p>
        </w:tc>
        <w:tc>
          <w:tcPr>
            <w:tcW w:w="752" w:type="pct"/>
            <w:vAlign w:val="center"/>
          </w:tcPr>
          <w:p w14:paraId="1D0E2E65" w14:textId="77777777" w:rsidR="004A3674" w:rsidRPr="00636B72" w:rsidRDefault="004A3674">
            <w:pPr>
              <w:spacing w:before="40" w:after="60"/>
              <w:jc w:val="center"/>
              <w:rPr>
                <w:rFonts w:ascii="Arial" w:hAnsi="Arial" w:cs="Arial"/>
                <w:b/>
                <w:bCs/>
                <w:sz w:val="16"/>
                <w:szCs w:val="16"/>
              </w:rPr>
            </w:pPr>
            <w:r>
              <w:rPr>
                <w:rFonts w:ascii="Arial" w:hAnsi="Arial" w:cs="Arial"/>
                <w:b/>
                <w:bCs/>
                <w:sz w:val="16"/>
                <w:szCs w:val="16"/>
              </w:rPr>
              <w:t>EVIDÊNCIA</w:t>
            </w:r>
          </w:p>
        </w:tc>
        <w:tc>
          <w:tcPr>
            <w:tcW w:w="790" w:type="pct"/>
            <w:vAlign w:val="center"/>
          </w:tcPr>
          <w:p w14:paraId="4416904A" w14:textId="77777777" w:rsidR="004A3674" w:rsidRPr="00636B72" w:rsidRDefault="004A3674">
            <w:pPr>
              <w:spacing w:before="40" w:after="60"/>
              <w:jc w:val="center"/>
              <w:rPr>
                <w:rFonts w:ascii="Arial" w:hAnsi="Arial" w:cs="Arial"/>
                <w:b/>
                <w:bCs/>
                <w:strike/>
                <w:sz w:val="16"/>
                <w:szCs w:val="16"/>
              </w:rPr>
            </w:pPr>
            <w:r>
              <w:rPr>
                <w:rFonts w:ascii="Arial" w:hAnsi="Arial" w:cs="Arial"/>
                <w:b/>
                <w:bCs/>
                <w:sz w:val="16"/>
                <w:szCs w:val="16"/>
              </w:rPr>
              <w:t>CAUSA</w:t>
            </w:r>
          </w:p>
        </w:tc>
        <w:tc>
          <w:tcPr>
            <w:tcW w:w="711" w:type="pct"/>
            <w:vAlign w:val="center"/>
          </w:tcPr>
          <w:p w14:paraId="30AA382E" w14:textId="77777777" w:rsidR="004A3674" w:rsidRPr="00636B72" w:rsidRDefault="004A3674">
            <w:pPr>
              <w:spacing w:before="40" w:after="60"/>
              <w:jc w:val="center"/>
              <w:rPr>
                <w:rFonts w:ascii="Arial" w:hAnsi="Arial" w:cs="Arial"/>
                <w:b/>
                <w:bCs/>
                <w:sz w:val="16"/>
                <w:szCs w:val="16"/>
              </w:rPr>
            </w:pPr>
            <w:r>
              <w:rPr>
                <w:rFonts w:ascii="Arial" w:hAnsi="Arial" w:cs="Arial"/>
                <w:b/>
                <w:bCs/>
                <w:sz w:val="16"/>
                <w:szCs w:val="16"/>
              </w:rPr>
              <w:t>EFEITO</w:t>
            </w:r>
          </w:p>
        </w:tc>
        <w:tc>
          <w:tcPr>
            <w:tcW w:w="1521" w:type="pct"/>
            <w:vAlign w:val="center"/>
          </w:tcPr>
          <w:p w14:paraId="0D3A19A0" w14:textId="77777777" w:rsidR="004A3674" w:rsidRPr="00636B72" w:rsidRDefault="004A3674">
            <w:pPr>
              <w:spacing w:before="40" w:after="60"/>
              <w:jc w:val="center"/>
              <w:rPr>
                <w:rFonts w:ascii="Arial" w:hAnsi="Arial" w:cs="Arial"/>
                <w:b/>
                <w:bCs/>
                <w:sz w:val="16"/>
                <w:szCs w:val="16"/>
              </w:rPr>
            </w:pPr>
            <w:r>
              <w:rPr>
                <w:rFonts w:ascii="Arial" w:hAnsi="Arial" w:cs="Arial"/>
                <w:b/>
                <w:bCs/>
                <w:sz w:val="16"/>
                <w:szCs w:val="16"/>
              </w:rPr>
              <w:t>ENCAMINHAMENTO</w:t>
            </w:r>
          </w:p>
        </w:tc>
      </w:tr>
      <w:tr w:rsidR="00C6354A" w:rsidRPr="00636B72" w14:paraId="23EC5547" w14:textId="77777777" w:rsidTr="004A3674">
        <w:trPr>
          <w:trHeight w:val="300"/>
        </w:trPr>
        <w:tc>
          <w:tcPr>
            <w:tcW w:w="473" w:type="pct"/>
          </w:tcPr>
          <w:p w14:paraId="58905019" w14:textId="77777777" w:rsidR="0033067B" w:rsidRDefault="00581C72">
            <w:pPr>
              <w:spacing w:after="60"/>
              <w:jc w:val="both"/>
              <w:rPr>
                <w:rFonts w:ascii="Arial" w:hAnsi="Arial" w:cs="Arial"/>
                <w:b/>
                <w:bCs/>
                <w:sz w:val="18"/>
                <w:szCs w:val="18"/>
              </w:rPr>
            </w:pPr>
            <w:r>
              <w:rPr>
                <w:rFonts w:ascii="Arial" w:hAnsi="Arial" w:cs="Arial"/>
                <w:b/>
                <w:bCs/>
                <w:sz w:val="18"/>
                <w:szCs w:val="18"/>
              </w:rPr>
              <w:t>ACHADO 01</w:t>
            </w:r>
          </w:p>
          <w:p w14:paraId="335DACAB" w14:textId="77777777" w:rsidR="0033067B" w:rsidRDefault="0033067B">
            <w:pPr>
              <w:spacing w:after="60"/>
              <w:jc w:val="both"/>
              <w:rPr>
                <w:rFonts w:ascii="Arial" w:hAnsi="Arial" w:cs="Arial"/>
                <w:b/>
                <w:bCs/>
                <w:sz w:val="18"/>
                <w:szCs w:val="18"/>
              </w:rPr>
            </w:pPr>
          </w:p>
          <w:p w14:paraId="2BB5F0F1" w14:textId="77777777" w:rsidR="0033067B" w:rsidRDefault="00581C72">
            <w:pPr>
              <w:spacing w:after="60"/>
              <w:jc w:val="both"/>
              <w:rPr>
                <w:rFonts w:ascii="Arial" w:hAnsi="Arial" w:cs="Arial"/>
                <w:b/>
                <w:bCs/>
                <w:sz w:val="18"/>
                <w:szCs w:val="18"/>
              </w:rPr>
            </w:pPr>
            <w:r>
              <w:rPr>
                <w:rFonts w:ascii="Arial" w:hAnsi="Arial" w:cs="Arial"/>
                <w:sz w:val="18"/>
                <w:szCs w:val="18"/>
              </w:rPr>
              <w:t>Estrutura de TIC insuficiente para coordenar, gerir e sustentar a tecnologia da informação</w:t>
            </w:r>
          </w:p>
        </w:tc>
        <w:tc>
          <w:tcPr>
            <w:tcW w:w="752" w:type="pct"/>
          </w:tcPr>
          <w:p w14:paraId="7DE918B3" w14:textId="77777777" w:rsidR="0033067B" w:rsidRDefault="00581C72">
            <w:pPr>
              <w:jc w:val="both"/>
              <w:rPr>
                <w:rFonts w:ascii="Arial" w:hAnsi="Arial" w:cs="Arial"/>
                <w:sz w:val="18"/>
                <w:szCs w:val="18"/>
                <w:vertAlign w:val="superscript"/>
              </w:rPr>
            </w:pPr>
            <w:r>
              <w:rPr>
                <w:rFonts w:ascii="Arial" w:hAnsi="Arial" w:cs="Arial"/>
                <w:b/>
                <w:sz w:val="18"/>
                <w:szCs w:val="18"/>
              </w:rPr>
              <w:t>COBIT 2019, APO01.04 - Definir e implementar as estruturas organizacionais:</w:t>
            </w:r>
            <w:r>
              <w:rPr>
                <w:rFonts w:ascii="Arial" w:hAnsi="Arial" w:cs="Arial"/>
                <w:sz w:val="18"/>
                <w:szCs w:val="18"/>
              </w:rPr>
              <w:t xml:space="preserve"> estabelecer estruturas organizacionais internas e externas necessárias para apoiar os objetivos de governança e gestão de TI.</w:t>
            </w:r>
          </w:p>
          <w:p w14:paraId="72659258" w14:textId="77777777" w:rsidR="0033067B" w:rsidRDefault="0033067B">
            <w:pPr>
              <w:jc w:val="both"/>
              <w:rPr>
                <w:rFonts w:ascii="Arial" w:hAnsi="Arial" w:cs="Arial"/>
                <w:sz w:val="18"/>
                <w:szCs w:val="18"/>
                <w:vertAlign w:val="superscript"/>
              </w:rPr>
            </w:pPr>
          </w:p>
          <w:p w14:paraId="3DAC3BF8" w14:textId="77777777" w:rsidR="0033067B" w:rsidRDefault="00581C72">
            <w:pPr>
              <w:jc w:val="both"/>
              <w:rPr>
                <w:rFonts w:ascii="Arial" w:hAnsi="Arial" w:cs="Arial"/>
                <w:sz w:val="18"/>
                <w:szCs w:val="18"/>
                <w:vertAlign w:val="superscript"/>
              </w:rPr>
            </w:pPr>
            <w:r>
              <w:rPr>
                <w:rFonts w:ascii="Arial" w:hAnsi="Arial" w:cs="Arial"/>
                <w:b/>
                <w:sz w:val="18"/>
                <w:szCs w:val="18"/>
              </w:rPr>
              <w:t>COBIT 2019, APO01.09 - Definição e comunicação de políticas e procedimentos:</w:t>
            </w:r>
            <w:r>
              <w:rPr>
                <w:rFonts w:ascii="Arial" w:hAnsi="Arial" w:cs="Arial"/>
                <w:sz w:val="18"/>
                <w:szCs w:val="18"/>
              </w:rPr>
              <w:t xml:space="preserve"> estabelecer e comunicar políticas e procedimentos de gestão de TI que orientem papéis, responsabilidades e controles.</w:t>
            </w:r>
          </w:p>
          <w:p w14:paraId="138578A1" w14:textId="77777777" w:rsidR="0033067B" w:rsidRDefault="0033067B">
            <w:pPr>
              <w:jc w:val="both"/>
              <w:rPr>
                <w:rFonts w:ascii="Arial" w:hAnsi="Arial" w:cs="Arial"/>
                <w:sz w:val="18"/>
                <w:szCs w:val="18"/>
                <w:vertAlign w:val="superscript"/>
              </w:rPr>
            </w:pPr>
          </w:p>
          <w:p w14:paraId="027182AC" w14:textId="77777777" w:rsidR="0033067B" w:rsidRDefault="00581C72">
            <w:pPr>
              <w:jc w:val="both"/>
              <w:rPr>
                <w:rFonts w:ascii="Arial" w:hAnsi="Arial" w:cs="Arial"/>
                <w:sz w:val="18"/>
                <w:szCs w:val="18"/>
                <w:vertAlign w:val="superscript"/>
              </w:rPr>
            </w:pPr>
            <w:r>
              <w:rPr>
                <w:rFonts w:ascii="Arial" w:hAnsi="Arial" w:cs="Arial"/>
                <w:b/>
                <w:sz w:val="18"/>
                <w:szCs w:val="18"/>
              </w:rPr>
              <w:t>ABNT NBR ISO/IEC 38500:</w:t>
            </w:r>
            <w:r>
              <w:rPr>
                <w:rFonts w:ascii="Arial" w:hAnsi="Arial" w:cs="Arial"/>
                <w:sz w:val="18"/>
                <w:szCs w:val="18"/>
              </w:rPr>
              <w:t xml:space="preserve"> 2025, item 5.6.1 - Governança efetiva de TI: responsabilização clara, estrutura adequada de tomada de decisão e direção organizacional compatível com o uso atual e futuro da tecnologia.</w:t>
            </w:r>
          </w:p>
          <w:p w14:paraId="57AEAD37" w14:textId="77777777" w:rsidR="0033067B" w:rsidRDefault="0033067B">
            <w:pPr>
              <w:jc w:val="both"/>
              <w:rPr>
                <w:rFonts w:ascii="Arial" w:hAnsi="Arial" w:cs="Arial"/>
                <w:sz w:val="18"/>
                <w:szCs w:val="18"/>
                <w:vertAlign w:val="superscript"/>
              </w:rPr>
            </w:pPr>
          </w:p>
          <w:p w14:paraId="633801AE" w14:textId="77777777" w:rsidR="0033067B" w:rsidRDefault="00581C72">
            <w:pPr>
              <w:jc w:val="both"/>
              <w:rPr>
                <w:rFonts w:ascii="Arial" w:hAnsi="Arial" w:cs="Arial"/>
                <w:sz w:val="18"/>
                <w:szCs w:val="18"/>
                <w:vertAlign w:val="superscript"/>
              </w:rPr>
            </w:pPr>
            <w:r>
              <w:rPr>
                <w:rFonts w:ascii="Arial" w:hAnsi="Arial" w:cs="Arial"/>
                <w:b/>
                <w:sz w:val="18"/>
                <w:szCs w:val="18"/>
              </w:rPr>
              <w:t>COBIT 2019, APO01.05 - Estabelecer papéis e responsabilidades:</w:t>
            </w:r>
            <w:r>
              <w:rPr>
                <w:rFonts w:ascii="Arial" w:hAnsi="Arial" w:cs="Arial"/>
                <w:sz w:val="18"/>
                <w:szCs w:val="18"/>
              </w:rPr>
              <w:t xml:space="preserve"> definir, comunicar e manter papéis e responsabilidades relacionados à governança e gestão de TI.</w:t>
            </w:r>
          </w:p>
          <w:p w14:paraId="76A553DD" w14:textId="77777777" w:rsidR="0033067B" w:rsidRDefault="0033067B">
            <w:pPr>
              <w:jc w:val="both"/>
              <w:rPr>
                <w:rFonts w:ascii="Arial" w:hAnsi="Arial" w:cs="Arial"/>
                <w:sz w:val="18"/>
                <w:szCs w:val="18"/>
                <w:vertAlign w:val="superscript"/>
              </w:rPr>
            </w:pPr>
          </w:p>
          <w:p w14:paraId="3F8F3574" w14:textId="77777777" w:rsidR="0033067B" w:rsidRDefault="00581C72">
            <w:pPr>
              <w:jc w:val="both"/>
              <w:rPr>
                <w:rFonts w:ascii="Arial" w:hAnsi="Arial" w:cs="Arial"/>
                <w:sz w:val="18"/>
                <w:szCs w:val="18"/>
                <w:vertAlign w:val="superscript"/>
              </w:rPr>
            </w:pPr>
            <w:r>
              <w:rPr>
                <w:rFonts w:ascii="Arial" w:hAnsi="Arial" w:cs="Arial"/>
                <w:b/>
                <w:sz w:val="18"/>
                <w:szCs w:val="18"/>
              </w:rPr>
              <w:t>COBIT 2019, APO01.06 - Aprimorar o posicionamento da função de TI:</w:t>
            </w:r>
            <w:r>
              <w:rPr>
                <w:rFonts w:ascii="Arial" w:hAnsi="Arial" w:cs="Arial"/>
                <w:sz w:val="18"/>
                <w:szCs w:val="18"/>
              </w:rPr>
              <w:t xml:space="preserve"> posicionar a função de tecnologia de modo compatível com sua relevância estratégica, responsabilidades e necessidade de interação com a alta administração.</w:t>
            </w:r>
          </w:p>
          <w:p w14:paraId="740279D4" w14:textId="77777777" w:rsidR="0033067B" w:rsidRDefault="0033067B">
            <w:pPr>
              <w:jc w:val="both"/>
              <w:rPr>
                <w:rFonts w:ascii="Arial" w:hAnsi="Arial" w:cs="Arial"/>
                <w:sz w:val="18"/>
                <w:szCs w:val="18"/>
                <w:vertAlign w:val="superscript"/>
              </w:rPr>
            </w:pPr>
          </w:p>
          <w:p w14:paraId="1E08C04A" w14:textId="77777777" w:rsidR="0033067B" w:rsidRDefault="00581C72">
            <w:pPr>
              <w:jc w:val="both"/>
              <w:rPr>
                <w:rFonts w:ascii="Arial" w:hAnsi="Arial" w:cs="Arial"/>
                <w:sz w:val="18"/>
                <w:szCs w:val="18"/>
                <w:vertAlign w:val="superscript"/>
              </w:rPr>
            </w:pPr>
            <w:r>
              <w:rPr>
                <w:rFonts w:ascii="Arial" w:hAnsi="Arial" w:cs="Arial"/>
                <w:b/>
                <w:sz w:val="18"/>
                <w:szCs w:val="18"/>
              </w:rPr>
              <w:t>Portaria SGD/ME nº 778/2019, art. 4º, § 1º - Referência de posicionamento organizacional:</w:t>
            </w:r>
            <w:r>
              <w:rPr>
                <w:rFonts w:ascii="Arial" w:hAnsi="Arial" w:cs="Arial"/>
                <w:sz w:val="18"/>
                <w:szCs w:val="18"/>
              </w:rPr>
              <w:t xml:space="preserve"> para a obtenção de melhores resultados, a área de TIC de cada órgão ou entidade deve, preferencialmente, estar vinculada à alta administração, com o intuito de apoiá-la na tomada de decisões e no alcance dos objetivos estratégicos.</w:t>
            </w:r>
          </w:p>
        </w:tc>
        <w:tc>
          <w:tcPr>
            <w:tcW w:w="752" w:type="pct"/>
          </w:tcPr>
          <w:p w14:paraId="50C59D8A" w14:textId="77777777" w:rsidR="0033067B" w:rsidRDefault="00581C72">
            <w:pPr>
              <w:spacing w:after="60"/>
              <w:jc w:val="both"/>
              <w:rPr>
                <w:rFonts w:ascii="Arial" w:hAnsi="Arial" w:cs="Arial"/>
                <w:sz w:val="18"/>
                <w:szCs w:val="18"/>
              </w:rPr>
            </w:pPr>
            <w:r>
              <w:rPr>
                <w:rFonts w:ascii="Arial" w:hAnsi="Arial" w:cs="Arial"/>
                <w:b/>
                <w:bCs/>
                <w:sz w:val="18"/>
                <w:szCs w:val="18"/>
              </w:rPr>
              <w:t>Respostas Questionário</w:t>
            </w:r>
            <w:r>
              <w:rPr>
                <w:rFonts w:ascii="Arial" w:hAnsi="Arial" w:cs="Arial"/>
                <w:sz w:val="18"/>
                <w:szCs w:val="18"/>
              </w:rPr>
              <w:t xml:space="preserve"> - Respostas e evidências anexadas ao questionário eletrônico iGovTI 2026, avaliadas conforme as regras de identificação previstas na matriz de planejamento.</w:t>
            </w:r>
          </w:p>
          <w:p w14:paraId="48399BFC" w14:textId="77777777" w:rsidR="0033067B" w:rsidRDefault="0033067B">
            <w:pPr>
              <w:spacing w:after="60"/>
              <w:jc w:val="both"/>
              <w:rPr>
                <w:rFonts w:ascii="Arial" w:hAnsi="Arial" w:cs="Arial"/>
                <w:sz w:val="18"/>
                <w:szCs w:val="18"/>
              </w:rPr>
            </w:pPr>
          </w:p>
          <w:p w14:paraId="6521FF1E" w14:textId="77777777" w:rsidR="0033067B" w:rsidRDefault="00581C72">
            <w:pPr>
              <w:spacing w:after="60"/>
              <w:jc w:val="both"/>
              <w:rPr>
                <w:rFonts w:ascii="Arial" w:hAnsi="Arial" w:cs="Arial"/>
                <w:sz w:val="18"/>
                <w:szCs w:val="18"/>
              </w:rPr>
            </w:pPr>
            <w:r>
              <w:rPr>
                <w:rFonts w:ascii="Arial" w:hAnsi="Arial" w:cs="Arial"/>
                <w:sz w:val="18"/>
                <w:szCs w:val="18"/>
              </w:rPr>
              <w:t>a) Resposta negativa ou insuficiente sobre formalização da área, unidade, setor ou função de TIC.</w:t>
            </w:r>
          </w:p>
          <w:p w14:paraId="6445034E" w14:textId="77777777" w:rsidR="0033067B" w:rsidRDefault="00581C72">
            <w:pPr>
              <w:spacing w:after="60"/>
              <w:jc w:val="both"/>
              <w:rPr>
                <w:rFonts w:ascii="Arial" w:hAnsi="Arial" w:cs="Arial"/>
                <w:sz w:val="18"/>
                <w:szCs w:val="18"/>
              </w:rPr>
            </w:pPr>
            <w:r>
              <w:rPr>
                <w:rFonts w:ascii="Arial" w:hAnsi="Arial" w:cs="Arial"/>
                <w:sz w:val="18"/>
                <w:szCs w:val="18"/>
              </w:rPr>
              <w:t>b) Ausência, desatualização, incompatibilidade ou insuficiência de evidência que formalize a área, unidade, setor ou função de TIC.</w:t>
            </w:r>
          </w:p>
          <w:p w14:paraId="469CA645" w14:textId="77777777" w:rsidR="0033067B" w:rsidRDefault="00581C72">
            <w:pPr>
              <w:spacing w:after="60"/>
              <w:jc w:val="both"/>
              <w:rPr>
                <w:rFonts w:ascii="Arial" w:hAnsi="Arial" w:cs="Arial"/>
                <w:sz w:val="18"/>
                <w:szCs w:val="18"/>
              </w:rPr>
            </w:pPr>
            <w:r>
              <w:rPr>
                <w:rFonts w:ascii="Arial" w:hAnsi="Arial" w:cs="Arial"/>
                <w:sz w:val="18"/>
                <w:szCs w:val="18"/>
              </w:rPr>
              <w:t>c) Resposta negativa ou insuficiente sobre atribuições formalizadas da área de TIC.</w:t>
            </w:r>
          </w:p>
          <w:p w14:paraId="02A3843B" w14:textId="77777777" w:rsidR="0033067B" w:rsidRDefault="00581C72">
            <w:pPr>
              <w:spacing w:after="60"/>
              <w:jc w:val="both"/>
              <w:rPr>
                <w:rFonts w:ascii="Arial" w:hAnsi="Arial" w:cs="Arial"/>
                <w:sz w:val="18"/>
                <w:szCs w:val="18"/>
              </w:rPr>
            </w:pPr>
            <w:r>
              <w:rPr>
                <w:rFonts w:ascii="Arial" w:hAnsi="Arial" w:cs="Arial"/>
                <w:sz w:val="18"/>
                <w:szCs w:val="18"/>
              </w:rPr>
              <w:t>d) Ausência, desatualização, incompatibilidade ou insuficiência de evidência que defina atribuições essenciais da área de TIC, como governança, planejamento, gestão, sustentação tecnológica, sistemas, segurança da informação, contratos, dados ou atividades correlatas.</w:t>
            </w:r>
          </w:p>
          <w:p w14:paraId="561472C5" w14:textId="77777777" w:rsidR="0033067B" w:rsidRDefault="00581C72">
            <w:pPr>
              <w:spacing w:after="60"/>
              <w:jc w:val="both"/>
              <w:rPr>
                <w:rFonts w:ascii="Arial" w:hAnsi="Arial" w:cs="Arial"/>
                <w:sz w:val="18"/>
                <w:szCs w:val="18"/>
              </w:rPr>
            </w:pPr>
            <w:r>
              <w:rPr>
                <w:rFonts w:ascii="Arial" w:hAnsi="Arial" w:cs="Arial"/>
                <w:sz w:val="18"/>
                <w:szCs w:val="18"/>
              </w:rPr>
              <w:t>e) Resposta que indique posicionamento inexistente ou incompatível da área de TIC.</w:t>
            </w:r>
          </w:p>
          <w:p w14:paraId="6983D744" w14:textId="77777777" w:rsidR="0033067B" w:rsidRDefault="00581C72">
            <w:pPr>
              <w:spacing w:after="60"/>
              <w:jc w:val="both"/>
              <w:rPr>
                <w:rFonts w:ascii="Arial" w:hAnsi="Arial" w:cs="Arial"/>
                <w:sz w:val="18"/>
                <w:szCs w:val="18"/>
              </w:rPr>
            </w:pPr>
            <w:r>
              <w:rPr>
                <w:rFonts w:ascii="Arial" w:hAnsi="Arial" w:cs="Arial"/>
                <w:sz w:val="18"/>
                <w:szCs w:val="18"/>
              </w:rPr>
              <w:t>f) Evidência anexada inexistente, incompatível ou insuficiente para demonstrar posicionamento adequado da área de TIC.</w:t>
            </w:r>
          </w:p>
        </w:tc>
        <w:tc>
          <w:tcPr>
            <w:tcW w:w="790" w:type="pct"/>
          </w:tcPr>
          <w:p w14:paraId="01E64B89" w14:textId="77777777" w:rsidR="0033067B" w:rsidRDefault="00581C72">
            <w:pPr>
              <w:jc w:val="both"/>
              <w:rPr>
                <w:rFonts w:ascii="Arial" w:hAnsi="Arial" w:cs="Arial"/>
                <w:sz w:val="18"/>
                <w:szCs w:val="18"/>
              </w:rPr>
            </w:pPr>
            <w:r>
              <w:rPr>
                <w:rFonts w:ascii="Arial" w:hAnsi="Arial" w:cs="Arial"/>
                <w:b/>
                <w:bCs/>
                <w:sz w:val="18"/>
                <w:szCs w:val="18"/>
              </w:rPr>
              <w:t>Não investigada.</w:t>
            </w:r>
          </w:p>
        </w:tc>
        <w:tc>
          <w:tcPr>
            <w:tcW w:w="711" w:type="pct"/>
          </w:tcPr>
          <w:p w14:paraId="7AEC7599" w14:textId="77777777" w:rsidR="0033067B" w:rsidRDefault="00581C72">
            <w:pPr>
              <w:spacing w:after="60"/>
              <w:jc w:val="both"/>
              <w:rPr>
                <w:rFonts w:ascii="Arial" w:hAnsi="Arial" w:cs="Arial"/>
                <w:sz w:val="18"/>
                <w:szCs w:val="18"/>
              </w:rPr>
            </w:pPr>
            <w:r>
              <w:rPr>
                <w:rFonts w:ascii="Arial" w:hAnsi="Arial" w:cs="Arial"/>
                <w:b/>
                <w:bCs/>
                <w:sz w:val="18"/>
                <w:szCs w:val="18"/>
              </w:rPr>
              <w:t>Fragilidade na responsabilização:</w:t>
            </w:r>
            <w:r>
              <w:rPr>
                <w:rFonts w:ascii="Arial" w:hAnsi="Arial" w:cs="Arial"/>
                <w:sz w:val="18"/>
                <w:szCs w:val="18"/>
              </w:rPr>
              <w:t xml:space="preserve"> Ausência de unidade ou função institucionalmente reconhecida para coordenar o uso da tecnologia da informação e responder por seus resultados.</w:t>
            </w:r>
          </w:p>
          <w:p w14:paraId="5C685C94" w14:textId="77777777" w:rsidR="0033067B" w:rsidRDefault="0033067B">
            <w:pPr>
              <w:spacing w:after="60"/>
              <w:jc w:val="both"/>
              <w:rPr>
                <w:rFonts w:ascii="Arial" w:hAnsi="Arial" w:cs="Arial"/>
                <w:sz w:val="18"/>
                <w:szCs w:val="18"/>
              </w:rPr>
            </w:pPr>
          </w:p>
          <w:p w14:paraId="2AB47D32" w14:textId="77777777" w:rsidR="0033067B" w:rsidRDefault="00581C72">
            <w:pPr>
              <w:spacing w:after="60"/>
              <w:jc w:val="both"/>
              <w:rPr>
                <w:rFonts w:ascii="Arial" w:hAnsi="Arial" w:cs="Arial"/>
                <w:sz w:val="18"/>
                <w:szCs w:val="18"/>
              </w:rPr>
            </w:pPr>
            <w:r>
              <w:rPr>
                <w:rFonts w:ascii="Arial" w:hAnsi="Arial" w:cs="Arial"/>
                <w:b/>
                <w:bCs/>
                <w:sz w:val="18"/>
                <w:szCs w:val="18"/>
              </w:rPr>
              <w:t>Atuação reativa e fragmentada:</w:t>
            </w:r>
            <w:r>
              <w:rPr>
                <w:rFonts w:ascii="Arial" w:hAnsi="Arial" w:cs="Arial"/>
                <w:sz w:val="18"/>
                <w:szCs w:val="18"/>
              </w:rPr>
              <w:t xml:space="preserve"> Falta de clareza sobre as responsabilidades de planejamento, coordenação, gestão, execução, monitoramento e controle da TIC.</w:t>
            </w:r>
          </w:p>
          <w:p w14:paraId="6933C26D" w14:textId="77777777" w:rsidR="0033067B" w:rsidRDefault="0033067B">
            <w:pPr>
              <w:spacing w:after="60"/>
              <w:jc w:val="both"/>
              <w:rPr>
                <w:rFonts w:ascii="Arial" w:hAnsi="Arial" w:cs="Arial"/>
                <w:sz w:val="18"/>
                <w:szCs w:val="18"/>
              </w:rPr>
            </w:pPr>
          </w:p>
          <w:p w14:paraId="01B6B295" w14:textId="77777777" w:rsidR="0033067B" w:rsidRDefault="00581C72">
            <w:pPr>
              <w:spacing w:after="60"/>
              <w:jc w:val="both"/>
              <w:rPr>
                <w:rFonts w:ascii="Arial" w:hAnsi="Arial" w:cs="Arial"/>
                <w:sz w:val="18"/>
                <w:szCs w:val="18"/>
              </w:rPr>
            </w:pPr>
            <w:r>
              <w:rPr>
                <w:rFonts w:ascii="Arial" w:hAnsi="Arial" w:cs="Arial"/>
                <w:b/>
                <w:bCs/>
                <w:sz w:val="18"/>
                <w:szCs w:val="18"/>
              </w:rPr>
              <w:t>Baixa influência institucional:</w:t>
            </w:r>
            <w:r>
              <w:rPr>
                <w:rFonts w:ascii="Arial" w:hAnsi="Arial" w:cs="Arial"/>
                <w:sz w:val="18"/>
                <w:szCs w:val="18"/>
              </w:rPr>
              <w:t xml:space="preserve"> Participação insuficiente da TIC em decisões estratégicas, orçamentárias, contratuais e de gestão de riscos.</w:t>
            </w:r>
          </w:p>
        </w:tc>
        <w:tc>
          <w:tcPr>
            <w:tcW w:w="1521" w:type="pct"/>
          </w:tcPr>
          <w:p w14:paraId="58EDAF95" w14:textId="77777777" w:rsidR="0033067B" w:rsidRDefault="00581C72">
            <w:pPr>
              <w:jc w:val="both"/>
              <w:rPr>
                <w:rFonts w:ascii="Arial" w:hAnsi="Arial" w:cs="Arial"/>
                <w:sz w:val="18"/>
                <w:szCs w:val="18"/>
              </w:rPr>
            </w:pPr>
            <w:r>
              <w:rPr>
                <w:rFonts w:ascii="Arial" w:hAnsi="Arial" w:cs="Arial"/>
                <w:b/>
                <w:bCs/>
                <w:sz w:val="18"/>
                <w:szCs w:val="18"/>
                <w:u w:val="single"/>
              </w:rPr>
              <w:t>Comunicação com Recomendação</w:t>
            </w:r>
            <w:r>
              <w:rPr>
                <w:rFonts w:ascii="Arial" w:hAnsi="Arial" w:cs="Arial"/>
                <w:sz w:val="18"/>
                <w:szCs w:val="18"/>
              </w:rPr>
              <w:t xml:space="preserve"> para que formalize a área, unidade, setor ou função de TIC em regimento, decreto, portaria, resolução, organograma ou instrumento equivalente, definindo sua vinculação e suas responsabilidades essenciais de modo compatível com o porte, a complexidade e a dependência tecnológica da organização.</w:t>
            </w:r>
          </w:p>
          <w:p w14:paraId="3175BC7A" w14:textId="77777777" w:rsidR="0033067B" w:rsidRDefault="0033067B">
            <w:pPr>
              <w:jc w:val="both"/>
              <w:rPr>
                <w:rFonts w:ascii="Arial" w:hAnsi="Arial" w:cs="Arial"/>
                <w:sz w:val="18"/>
                <w:szCs w:val="18"/>
              </w:rPr>
            </w:pPr>
          </w:p>
          <w:p w14:paraId="0CCC5A88" w14:textId="77777777" w:rsidR="0033067B" w:rsidRDefault="00581C72">
            <w:pPr>
              <w:jc w:val="both"/>
              <w:rPr>
                <w:rFonts w:ascii="Arial" w:hAnsi="Arial" w:cs="Arial"/>
                <w:sz w:val="18"/>
                <w:szCs w:val="18"/>
              </w:rPr>
            </w:pPr>
            <w:r>
              <w:rPr>
                <w:rFonts w:ascii="Arial" w:hAnsi="Arial" w:cs="Arial"/>
                <w:b/>
                <w:bCs/>
                <w:sz w:val="18"/>
                <w:szCs w:val="18"/>
                <w:u w:val="single"/>
              </w:rPr>
              <w:t>Comunicação com Recomendação</w:t>
            </w:r>
            <w:r>
              <w:rPr>
                <w:rFonts w:ascii="Arial" w:hAnsi="Arial" w:cs="Arial"/>
                <w:sz w:val="18"/>
                <w:szCs w:val="18"/>
              </w:rPr>
              <w:t xml:space="preserve"> para que defina formalmente as atribuições da área de TIC, atentando-se, minimamente, em abranger as atividades de planejamento, coordenação, gestão, execução, monitoramento e controle da TIC.</w:t>
            </w:r>
          </w:p>
          <w:p w14:paraId="16B9CE74" w14:textId="77777777" w:rsidR="0033067B" w:rsidRDefault="0033067B">
            <w:pPr>
              <w:jc w:val="both"/>
              <w:rPr>
                <w:rFonts w:ascii="Arial" w:hAnsi="Arial" w:cs="Arial"/>
                <w:sz w:val="18"/>
                <w:szCs w:val="18"/>
              </w:rPr>
            </w:pPr>
          </w:p>
          <w:p w14:paraId="7131F0B5" w14:textId="77777777" w:rsidR="0033067B" w:rsidRDefault="00581C72">
            <w:pPr>
              <w:jc w:val="both"/>
              <w:rPr>
                <w:rFonts w:ascii="Arial" w:hAnsi="Arial" w:cs="Arial"/>
                <w:sz w:val="18"/>
                <w:szCs w:val="18"/>
              </w:rPr>
            </w:pPr>
            <w:r>
              <w:rPr>
                <w:rFonts w:ascii="Arial" w:hAnsi="Arial" w:cs="Arial"/>
                <w:b/>
                <w:bCs/>
                <w:sz w:val="18"/>
                <w:szCs w:val="18"/>
                <w:u w:val="single"/>
              </w:rPr>
              <w:t>Comunicação com Recomendação</w:t>
            </w:r>
            <w:r>
              <w:rPr>
                <w:rFonts w:ascii="Arial" w:hAnsi="Arial" w:cs="Arial"/>
                <w:sz w:val="18"/>
                <w:szCs w:val="18"/>
              </w:rPr>
              <w:t xml:space="preserve"> para que avalie e ajuste o posicionamento organizacional da área de TIC, atentando-se, minimamente, em assegurar interlocução adequada com a alta administração e participação nas decisões estratégicas, orçamentárias, contratuais e de gestão de riscos relacionadas à tecnologia da informação.</w:t>
            </w:r>
          </w:p>
        </w:tc>
      </w:tr>
    </w:tbl>
    <w:p w14:paraId="3C9052A5" w14:textId="77777777" w:rsidR="008F694B" w:rsidRDefault="008F694B" w:rsidP="001E6730">
      <w:pPr>
        <w:jc w:val="center"/>
        <w:rPr>
          <w:rFonts w:ascii="Arial" w:hAnsi="Arial" w:cs="Arial"/>
          <w:b/>
        </w:rPr>
      </w:pPr>
    </w:p>
    <w:p w14:paraId="07BF5338" w14:textId="77777777" w:rsidR="008F694B" w:rsidRDefault="008F694B">
      <w:pPr>
        <w:spacing w:after="160" w:line="259" w:lineRule="auto"/>
        <w:rPr>
          <w:rFonts w:ascii="Arial" w:hAnsi="Arial" w:cs="Arial"/>
          <w:b/>
        </w:rPr>
      </w:pPr>
      <w:r>
        <w:rPr>
          <w:rFonts w:ascii="Arial" w:hAnsi="Arial" w:cs="Arial"/>
          <w:b/>
        </w:rPr>
        <w:br w:type="page"/>
      </w:r>
    </w:p>
    <w:tbl>
      <w:tblPr>
        <w:tblStyle w:val="Tabelacomgrad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6"/>
        <w:gridCol w:w="3364"/>
        <w:gridCol w:w="3364"/>
        <w:gridCol w:w="3534"/>
        <w:gridCol w:w="3179"/>
        <w:gridCol w:w="6801"/>
      </w:tblGrid>
      <w:tr w:rsidR="008F694B" w:rsidRPr="00636B72" w14:paraId="1EF158A8" w14:textId="77777777">
        <w:trPr>
          <w:trHeight w:val="300"/>
          <w:tblHeader/>
        </w:trPr>
        <w:tc>
          <w:tcPr>
            <w:tcW w:w="473" w:type="pct"/>
          </w:tcPr>
          <w:p w14:paraId="51E84590" w14:textId="77777777" w:rsidR="008F694B" w:rsidRPr="00636B72" w:rsidRDefault="008F694B">
            <w:pPr>
              <w:autoSpaceDE w:val="0"/>
              <w:autoSpaceDN w:val="0"/>
              <w:adjustRightInd w:val="0"/>
              <w:spacing w:before="40" w:after="60"/>
              <w:jc w:val="center"/>
              <w:rPr>
                <w:rFonts w:ascii="Arial" w:hAnsi="Arial" w:cs="Arial"/>
                <w:b/>
                <w:bCs/>
                <w:sz w:val="16"/>
                <w:szCs w:val="16"/>
              </w:rPr>
            </w:pPr>
            <w:r>
              <w:rPr>
                <w:rFonts w:ascii="Arial" w:hAnsi="Arial" w:cs="Arial"/>
                <w:b/>
                <w:bCs/>
                <w:sz w:val="16"/>
                <w:szCs w:val="16"/>
              </w:rPr>
              <w:lastRenderedPageBreak/>
              <w:t>ACHADO</w:t>
            </w:r>
          </w:p>
        </w:tc>
        <w:tc>
          <w:tcPr>
            <w:tcW w:w="752" w:type="pct"/>
            <w:vAlign w:val="center"/>
          </w:tcPr>
          <w:p w14:paraId="56C18452" w14:textId="77777777" w:rsidR="008F694B" w:rsidRPr="00636B72" w:rsidRDefault="008F694B">
            <w:pPr>
              <w:autoSpaceDE w:val="0"/>
              <w:autoSpaceDN w:val="0"/>
              <w:adjustRightInd w:val="0"/>
              <w:spacing w:before="40" w:after="60"/>
              <w:jc w:val="center"/>
              <w:rPr>
                <w:rFonts w:ascii="Arial" w:hAnsi="Arial" w:cs="Arial"/>
                <w:b/>
                <w:bCs/>
                <w:sz w:val="16"/>
                <w:szCs w:val="16"/>
              </w:rPr>
            </w:pPr>
            <w:r>
              <w:rPr>
                <w:rFonts w:ascii="Arial" w:hAnsi="Arial" w:cs="Arial"/>
                <w:b/>
                <w:bCs/>
                <w:sz w:val="16"/>
                <w:szCs w:val="16"/>
              </w:rPr>
              <w:t>CRITÉRIO</w:t>
            </w:r>
          </w:p>
        </w:tc>
        <w:tc>
          <w:tcPr>
            <w:tcW w:w="752" w:type="pct"/>
            <w:vAlign w:val="center"/>
          </w:tcPr>
          <w:p w14:paraId="58FE23EA" w14:textId="77777777" w:rsidR="008F694B" w:rsidRPr="00636B72" w:rsidRDefault="008F694B">
            <w:pPr>
              <w:spacing w:before="40" w:after="60"/>
              <w:jc w:val="center"/>
              <w:rPr>
                <w:rFonts w:ascii="Arial" w:hAnsi="Arial" w:cs="Arial"/>
                <w:b/>
                <w:bCs/>
                <w:sz w:val="16"/>
                <w:szCs w:val="16"/>
              </w:rPr>
            </w:pPr>
            <w:r>
              <w:rPr>
                <w:rFonts w:ascii="Arial" w:hAnsi="Arial" w:cs="Arial"/>
                <w:b/>
                <w:bCs/>
                <w:sz w:val="16"/>
                <w:szCs w:val="16"/>
              </w:rPr>
              <w:t>EVIDÊNCIA</w:t>
            </w:r>
          </w:p>
        </w:tc>
        <w:tc>
          <w:tcPr>
            <w:tcW w:w="790" w:type="pct"/>
            <w:vAlign w:val="center"/>
          </w:tcPr>
          <w:p w14:paraId="28B4B7F4" w14:textId="77777777" w:rsidR="008F694B" w:rsidRPr="00636B72" w:rsidRDefault="008F694B">
            <w:pPr>
              <w:spacing w:before="40" w:after="60"/>
              <w:jc w:val="center"/>
              <w:rPr>
                <w:rFonts w:ascii="Arial" w:hAnsi="Arial" w:cs="Arial"/>
                <w:b/>
                <w:bCs/>
                <w:strike/>
                <w:sz w:val="16"/>
                <w:szCs w:val="16"/>
              </w:rPr>
            </w:pPr>
            <w:r>
              <w:rPr>
                <w:rFonts w:ascii="Arial" w:hAnsi="Arial" w:cs="Arial"/>
                <w:b/>
                <w:bCs/>
                <w:sz w:val="16"/>
                <w:szCs w:val="16"/>
              </w:rPr>
              <w:t>CAUSA</w:t>
            </w:r>
          </w:p>
        </w:tc>
        <w:tc>
          <w:tcPr>
            <w:tcW w:w="711" w:type="pct"/>
            <w:vAlign w:val="center"/>
          </w:tcPr>
          <w:p w14:paraId="3801CD5B" w14:textId="77777777" w:rsidR="008F694B" w:rsidRPr="00636B72" w:rsidRDefault="008F694B">
            <w:pPr>
              <w:spacing w:before="40" w:after="60"/>
              <w:jc w:val="center"/>
              <w:rPr>
                <w:rFonts w:ascii="Arial" w:hAnsi="Arial" w:cs="Arial"/>
                <w:b/>
                <w:bCs/>
                <w:sz w:val="16"/>
                <w:szCs w:val="16"/>
              </w:rPr>
            </w:pPr>
            <w:r>
              <w:rPr>
                <w:rFonts w:ascii="Arial" w:hAnsi="Arial" w:cs="Arial"/>
                <w:b/>
                <w:bCs/>
                <w:sz w:val="16"/>
                <w:szCs w:val="16"/>
              </w:rPr>
              <w:t>EFEITO</w:t>
            </w:r>
          </w:p>
        </w:tc>
        <w:tc>
          <w:tcPr>
            <w:tcW w:w="1521" w:type="pct"/>
            <w:vAlign w:val="center"/>
          </w:tcPr>
          <w:p w14:paraId="382FDB00" w14:textId="77777777" w:rsidR="008F694B" w:rsidRPr="00636B72" w:rsidRDefault="008F694B">
            <w:pPr>
              <w:spacing w:before="40" w:after="60"/>
              <w:jc w:val="center"/>
              <w:rPr>
                <w:rFonts w:ascii="Arial" w:hAnsi="Arial" w:cs="Arial"/>
                <w:b/>
                <w:bCs/>
                <w:sz w:val="16"/>
                <w:szCs w:val="16"/>
              </w:rPr>
            </w:pPr>
            <w:r>
              <w:rPr>
                <w:rFonts w:ascii="Arial" w:hAnsi="Arial" w:cs="Arial"/>
                <w:b/>
                <w:bCs/>
                <w:sz w:val="16"/>
                <w:szCs w:val="16"/>
              </w:rPr>
              <w:t>ENCAMINHAMENTO</w:t>
            </w:r>
          </w:p>
        </w:tc>
      </w:tr>
      <w:tr w:rsidR="00BC3062" w:rsidRPr="00636B72" w14:paraId="3C4DF538" w14:textId="77777777">
        <w:trPr>
          <w:trHeight w:val="300"/>
        </w:trPr>
        <w:tc>
          <w:tcPr>
            <w:tcW w:w="473" w:type="pct"/>
          </w:tcPr>
          <w:p w14:paraId="2BE2EDB7" w14:textId="77777777" w:rsidR="0033067B" w:rsidRDefault="00581C72">
            <w:pPr>
              <w:spacing w:after="60"/>
              <w:jc w:val="both"/>
              <w:rPr>
                <w:rFonts w:ascii="Arial" w:hAnsi="Arial" w:cs="Arial"/>
                <w:b/>
                <w:bCs/>
                <w:sz w:val="18"/>
                <w:szCs w:val="18"/>
              </w:rPr>
            </w:pPr>
            <w:r>
              <w:rPr>
                <w:rFonts w:ascii="Arial" w:hAnsi="Arial" w:cs="Arial"/>
                <w:b/>
                <w:bCs/>
                <w:sz w:val="18"/>
                <w:szCs w:val="18"/>
              </w:rPr>
              <w:t>ACHADO 02</w:t>
            </w:r>
          </w:p>
          <w:p w14:paraId="3BC6404D" w14:textId="77777777" w:rsidR="0033067B" w:rsidRDefault="0033067B">
            <w:pPr>
              <w:spacing w:after="60"/>
              <w:jc w:val="both"/>
              <w:rPr>
                <w:rFonts w:ascii="Arial" w:hAnsi="Arial" w:cs="Arial"/>
                <w:b/>
                <w:bCs/>
                <w:sz w:val="18"/>
                <w:szCs w:val="18"/>
              </w:rPr>
            </w:pPr>
          </w:p>
          <w:p w14:paraId="3F9D9401" w14:textId="77777777" w:rsidR="0033067B" w:rsidRDefault="00581C72">
            <w:pPr>
              <w:spacing w:after="60"/>
              <w:jc w:val="both"/>
              <w:rPr>
                <w:rFonts w:ascii="Arial" w:hAnsi="Arial" w:cs="Arial"/>
                <w:b/>
                <w:bCs/>
                <w:sz w:val="18"/>
                <w:szCs w:val="18"/>
              </w:rPr>
            </w:pPr>
            <w:r>
              <w:rPr>
                <w:rFonts w:ascii="Arial" w:hAnsi="Arial" w:cs="Arial"/>
                <w:sz w:val="18"/>
                <w:szCs w:val="18"/>
              </w:rPr>
              <w:t>Governança de TIC insuficiente para avaliar, dirigir e monitorar a tecnologia da informação</w:t>
            </w:r>
          </w:p>
        </w:tc>
        <w:tc>
          <w:tcPr>
            <w:tcW w:w="752" w:type="pct"/>
          </w:tcPr>
          <w:p w14:paraId="1B43AF86" w14:textId="77777777" w:rsidR="0033067B" w:rsidRDefault="00581C72">
            <w:pPr>
              <w:jc w:val="both"/>
              <w:rPr>
                <w:rFonts w:ascii="Arial" w:hAnsi="Arial" w:cs="Arial"/>
                <w:sz w:val="18"/>
                <w:szCs w:val="18"/>
                <w:vertAlign w:val="superscript"/>
              </w:rPr>
            </w:pPr>
            <w:r>
              <w:rPr>
                <w:rFonts w:ascii="Arial" w:hAnsi="Arial" w:cs="Arial"/>
                <w:b/>
                <w:sz w:val="18"/>
                <w:szCs w:val="18"/>
              </w:rPr>
              <w:t>COBIT 2019, EDM01.02 - Dirigir o sistema de governança:</w:t>
            </w:r>
            <w:r>
              <w:rPr>
                <w:rFonts w:ascii="Arial" w:hAnsi="Arial" w:cs="Arial"/>
                <w:sz w:val="18"/>
                <w:szCs w:val="18"/>
              </w:rPr>
              <w:t xml:space="preserve"> orientar estruturas, princípios, processos e práticas de governança para assegurar que a TI apoie os objetivos organizacionais.</w:t>
            </w:r>
          </w:p>
          <w:p w14:paraId="0EB17442" w14:textId="77777777" w:rsidR="0033067B" w:rsidRDefault="0033067B">
            <w:pPr>
              <w:jc w:val="both"/>
              <w:rPr>
                <w:rFonts w:ascii="Arial" w:hAnsi="Arial" w:cs="Arial"/>
                <w:sz w:val="18"/>
                <w:szCs w:val="18"/>
                <w:vertAlign w:val="superscript"/>
              </w:rPr>
            </w:pPr>
          </w:p>
          <w:p w14:paraId="48C5D3E1" w14:textId="77777777" w:rsidR="0033067B" w:rsidRDefault="00581C72">
            <w:pPr>
              <w:jc w:val="both"/>
              <w:rPr>
                <w:rFonts w:ascii="Arial" w:hAnsi="Arial" w:cs="Arial"/>
                <w:sz w:val="18"/>
                <w:szCs w:val="18"/>
                <w:vertAlign w:val="superscript"/>
              </w:rPr>
            </w:pPr>
            <w:r>
              <w:rPr>
                <w:rFonts w:ascii="Arial" w:hAnsi="Arial" w:cs="Arial"/>
                <w:b/>
                <w:sz w:val="18"/>
                <w:szCs w:val="18"/>
              </w:rPr>
              <w:t>COBIT 2019, MEA01.04 - Avaliar o desempenho:</w:t>
            </w:r>
            <w:r>
              <w:rPr>
                <w:rFonts w:ascii="Arial" w:hAnsi="Arial" w:cs="Arial"/>
                <w:sz w:val="18"/>
                <w:szCs w:val="18"/>
              </w:rPr>
              <w:t xml:space="preserve"> monitorar e avaliar periodicamente o desempenho e a conformidade da TI em relação a objetivos, indicadores, metas e expectativas das partes interessadas.</w:t>
            </w:r>
          </w:p>
          <w:p w14:paraId="685E38A6" w14:textId="77777777" w:rsidR="0033067B" w:rsidRDefault="0033067B">
            <w:pPr>
              <w:jc w:val="both"/>
              <w:rPr>
                <w:rFonts w:ascii="Arial" w:hAnsi="Arial" w:cs="Arial"/>
                <w:sz w:val="18"/>
                <w:szCs w:val="18"/>
                <w:vertAlign w:val="superscript"/>
              </w:rPr>
            </w:pPr>
          </w:p>
          <w:p w14:paraId="01B03750" w14:textId="77777777" w:rsidR="0033067B" w:rsidRDefault="00581C72">
            <w:pPr>
              <w:jc w:val="both"/>
              <w:rPr>
                <w:rFonts w:ascii="Arial" w:hAnsi="Arial" w:cs="Arial"/>
                <w:sz w:val="18"/>
                <w:szCs w:val="18"/>
                <w:vertAlign w:val="superscript"/>
              </w:rPr>
            </w:pPr>
            <w:r>
              <w:rPr>
                <w:rFonts w:ascii="Arial" w:hAnsi="Arial" w:cs="Arial"/>
                <w:b/>
                <w:sz w:val="18"/>
                <w:szCs w:val="18"/>
              </w:rPr>
              <w:t>Acórdão TCE-RJ 44.490/2024-PLEN, item II.1:</w:t>
            </w:r>
            <w:r>
              <w:rPr>
                <w:rFonts w:ascii="Arial" w:hAnsi="Arial" w:cs="Arial"/>
                <w:sz w:val="18"/>
                <w:szCs w:val="18"/>
              </w:rPr>
              <w:t xml:space="preserve"> necessidade de estrutura de governança de TI, especialmente Comitê de Tecnologia da Informação ou instância equivalente, com participação de áreas relevantes, responsabilidade de alinhar as ações de TI aos objetivos institucionais, priorizar investimentos e monitorar o desempenho da TI com base em indicadores e metas.</w:t>
            </w:r>
          </w:p>
          <w:p w14:paraId="6046A6F7" w14:textId="77777777" w:rsidR="0033067B" w:rsidRDefault="0033067B">
            <w:pPr>
              <w:jc w:val="both"/>
              <w:rPr>
                <w:rFonts w:ascii="Arial" w:hAnsi="Arial" w:cs="Arial"/>
                <w:sz w:val="18"/>
                <w:szCs w:val="18"/>
                <w:vertAlign w:val="superscript"/>
              </w:rPr>
            </w:pPr>
          </w:p>
          <w:p w14:paraId="118046B3" w14:textId="77777777" w:rsidR="0033067B" w:rsidRDefault="00581C72">
            <w:pPr>
              <w:jc w:val="both"/>
              <w:rPr>
                <w:rFonts w:ascii="Arial" w:hAnsi="Arial" w:cs="Arial"/>
                <w:sz w:val="18"/>
                <w:szCs w:val="18"/>
                <w:vertAlign w:val="superscript"/>
              </w:rPr>
            </w:pPr>
            <w:r>
              <w:rPr>
                <w:rFonts w:ascii="Arial" w:hAnsi="Arial" w:cs="Arial"/>
                <w:b/>
                <w:sz w:val="18"/>
                <w:szCs w:val="18"/>
              </w:rPr>
              <w:t>Decreto nº 12.198/2024, art. 5º</w:t>
            </w:r>
            <w:r>
              <w:rPr>
                <w:rFonts w:ascii="Arial" w:hAnsi="Arial" w:cs="Arial"/>
                <w:sz w:val="18"/>
                <w:szCs w:val="18"/>
              </w:rPr>
              <w:t xml:space="preserve"> - Instituição do CGD, colegiado responsável por definir diretrizes e estratégias sobre uso de recursos digitais nos órgãos e entidades da administração pública federal direta, autárquica e fundacional.</w:t>
            </w:r>
          </w:p>
          <w:p w14:paraId="0124F9E7" w14:textId="77777777" w:rsidR="0033067B" w:rsidRDefault="0033067B">
            <w:pPr>
              <w:jc w:val="both"/>
              <w:rPr>
                <w:rFonts w:ascii="Arial" w:hAnsi="Arial" w:cs="Arial"/>
                <w:sz w:val="18"/>
                <w:szCs w:val="18"/>
                <w:vertAlign w:val="superscript"/>
              </w:rPr>
            </w:pPr>
          </w:p>
          <w:p w14:paraId="0293C13A" w14:textId="77777777" w:rsidR="0033067B" w:rsidRDefault="00581C72">
            <w:pPr>
              <w:jc w:val="both"/>
              <w:rPr>
                <w:rFonts w:ascii="Arial" w:hAnsi="Arial" w:cs="Arial"/>
                <w:sz w:val="18"/>
                <w:szCs w:val="18"/>
                <w:vertAlign w:val="superscript"/>
              </w:rPr>
            </w:pPr>
            <w:r>
              <w:rPr>
                <w:rFonts w:ascii="Arial" w:hAnsi="Arial" w:cs="Arial"/>
                <w:b/>
                <w:sz w:val="18"/>
                <w:szCs w:val="18"/>
              </w:rPr>
              <w:t>COBIT 2019, APO01.05 - Estabelecer papéis e responsabilidades:</w:t>
            </w:r>
            <w:r>
              <w:rPr>
                <w:rFonts w:ascii="Arial" w:hAnsi="Arial" w:cs="Arial"/>
                <w:sz w:val="18"/>
                <w:szCs w:val="18"/>
              </w:rPr>
              <w:t xml:space="preserve"> definir, comunicar e manter papéis e responsabilidades relacionados à governança e gestão de TI.</w:t>
            </w:r>
          </w:p>
        </w:tc>
        <w:tc>
          <w:tcPr>
            <w:tcW w:w="752" w:type="pct"/>
          </w:tcPr>
          <w:p w14:paraId="79688B49" w14:textId="77777777" w:rsidR="0033067B" w:rsidRDefault="00581C72">
            <w:pPr>
              <w:spacing w:after="60"/>
              <w:jc w:val="both"/>
              <w:rPr>
                <w:rFonts w:ascii="Arial" w:hAnsi="Arial" w:cs="Arial"/>
                <w:sz w:val="18"/>
                <w:szCs w:val="18"/>
              </w:rPr>
            </w:pPr>
            <w:r>
              <w:rPr>
                <w:rFonts w:ascii="Arial" w:hAnsi="Arial" w:cs="Arial"/>
                <w:b/>
                <w:bCs/>
                <w:sz w:val="18"/>
                <w:szCs w:val="18"/>
              </w:rPr>
              <w:t>Respostas Questionário</w:t>
            </w:r>
            <w:r>
              <w:rPr>
                <w:rFonts w:ascii="Arial" w:hAnsi="Arial" w:cs="Arial"/>
                <w:sz w:val="18"/>
                <w:szCs w:val="18"/>
              </w:rPr>
              <w:t xml:space="preserve"> - Respostas e evidências anexadas ao questionário eletrônico iGovTI 2026, avaliadas conforme as regras de identificação previstas na matriz de planejamento.</w:t>
            </w:r>
          </w:p>
          <w:p w14:paraId="3AB46438" w14:textId="77777777" w:rsidR="0033067B" w:rsidRDefault="0033067B">
            <w:pPr>
              <w:spacing w:after="60"/>
              <w:jc w:val="both"/>
              <w:rPr>
                <w:rFonts w:ascii="Arial" w:hAnsi="Arial" w:cs="Arial"/>
                <w:sz w:val="18"/>
                <w:szCs w:val="18"/>
              </w:rPr>
            </w:pPr>
          </w:p>
          <w:p w14:paraId="35758AD7" w14:textId="77777777" w:rsidR="0033067B" w:rsidRDefault="00581C72">
            <w:pPr>
              <w:spacing w:after="60"/>
              <w:jc w:val="both"/>
              <w:rPr>
                <w:rFonts w:ascii="Arial" w:hAnsi="Arial" w:cs="Arial"/>
                <w:sz w:val="18"/>
                <w:szCs w:val="18"/>
              </w:rPr>
            </w:pPr>
            <w:r>
              <w:rPr>
                <w:rFonts w:ascii="Arial" w:hAnsi="Arial" w:cs="Arial"/>
                <w:sz w:val="18"/>
                <w:szCs w:val="18"/>
              </w:rPr>
              <w:t>a) Resposta negativa ou insuficiente sobre modelo básico de governança e gestão de TIC.</w:t>
            </w:r>
          </w:p>
          <w:p w14:paraId="795C336B" w14:textId="77777777" w:rsidR="0033067B" w:rsidRDefault="00581C72">
            <w:pPr>
              <w:spacing w:after="60"/>
              <w:jc w:val="both"/>
              <w:rPr>
                <w:rFonts w:ascii="Arial" w:hAnsi="Arial" w:cs="Arial"/>
                <w:sz w:val="18"/>
                <w:szCs w:val="18"/>
              </w:rPr>
            </w:pPr>
            <w:r>
              <w:rPr>
                <w:rFonts w:ascii="Arial" w:hAnsi="Arial" w:cs="Arial"/>
                <w:sz w:val="18"/>
                <w:szCs w:val="18"/>
              </w:rPr>
              <w:t>b) Ausência, desatualização, incompatibilidade ou insuficiência de evidências que demonstrem diretrizes, papéis, responsabilidades, objetivos, indicadores, metas ou acompanhamento de TIC.</w:t>
            </w:r>
          </w:p>
          <w:p w14:paraId="612D7D7D" w14:textId="77777777" w:rsidR="0033067B" w:rsidRDefault="00581C72">
            <w:pPr>
              <w:spacing w:after="60"/>
              <w:jc w:val="both"/>
              <w:rPr>
                <w:rFonts w:ascii="Arial" w:hAnsi="Arial" w:cs="Arial"/>
                <w:sz w:val="18"/>
                <w:szCs w:val="18"/>
              </w:rPr>
            </w:pPr>
            <w:r>
              <w:rPr>
                <w:rFonts w:ascii="Arial" w:hAnsi="Arial" w:cs="Arial"/>
                <w:sz w:val="18"/>
                <w:szCs w:val="18"/>
              </w:rPr>
              <w:t>c) Resposta negativa ou insuficiente sobre instituição formal de Comitê de TIC ou instância equivalente.</w:t>
            </w:r>
          </w:p>
          <w:p w14:paraId="29341AB9" w14:textId="77777777" w:rsidR="0033067B" w:rsidRDefault="00581C72">
            <w:pPr>
              <w:spacing w:after="60"/>
              <w:jc w:val="both"/>
              <w:rPr>
                <w:rFonts w:ascii="Arial" w:hAnsi="Arial" w:cs="Arial"/>
                <w:sz w:val="18"/>
                <w:szCs w:val="18"/>
              </w:rPr>
            </w:pPr>
            <w:r>
              <w:rPr>
                <w:rFonts w:ascii="Arial" w:hAnsi="Arial" w:cs="Arial"/>
                <w:sz w:val="18"/>
                <w:szCs w:val="18"/>
              </w:rPr>
              <w:t>d) Ausência, desatualização, incompatibilidade ou insuficiência de evidência que formalize Comitê de TIC ou instância equivalente.</w:t>
            </w:r>
          </w:p>
          <w:p w14:paraId="4EF1FDC7" w14:textId="77777777" w:rsidR="0033067B" w:rsidRDefault="00581C72">
            <w:pPr>
              <w:spacing w:after="60"/>
              <w:jc w:val="both"/>
              <w:rPr>
                <w:rFonts w:ascii="Arial" w:hAnsi="Arial" w:cs="Arial"/>
                <w:sz w:val="18"/>
                <w:szCs w:val="18"/>
              </w:rPr>
            </w:pPr>
            <w:r>
              <w:rPr>
                <w:rFonts w:ascii="Arial" w:hAnsi="Arial" w:cs="Arial"/>
                <w:sz w:val="18"/>
                <w:szCs w:val="18"/>
              </w:rPr>
              <w:t>e) Resposta negativa ou insuficiente sobre reuniões, deliberações ou atuação efetiva do Comitê de TIC ou instância equivalente.</w:t>
            </w:r>
          </w:p>
          <w:p w14:paraId="34A19B94" w14:textId="77777777" w:rsidR="0033067B" w:rsidRDefault="00581C72">
            <w:pPr>
              <w:spacing w:after="60"/>
              <w:jc w:val="both"/>
              <w:rPr>
                <w:rFonts w:ascii="Arial" w:hAnsi="Arial" w:cs="Arial"/>
                <w:sz w:val="18"/>
                <w:szCs w:val="18"/>
              </w:rPr>
            </w:pPr>
            <w:r>
              <w:rPr>
                <w:rFonts w:ascii="Arial" w:hAnsi="Arial" w:cs="Arial"/>
                <w:sz w:val="18"/>
                <w:szCs w:val="18"/>
              </w:rPr>
              <w:t>f) Ausência, desatualização, incompatibilidade ou insuficiência de atas, registros de deliberação, encaminhamentos ou acompanhamento de decisões do Comitê de TIC ou instância equivalente.</w:t>
            </w:r>
          </w:p>
        </w:tc>
        <w:tc>
          <w:tcPr>
            <w:tcW w:w="790" w:type="pct"/>
          </w:tcPr>
          <w:p w14:paraId="36DA3FE7" w14:textId="77777777" w:rsidR="0033067B" w:rsidRDefault="00581C72">
            <w:pPr>
              <w:jc w:val="both"/>
              <w:rPr>
                <w:rFonts w:ascii="Arial" w:hAnsi="Arial" w:cs="Arial"/>
                <w:sz w:val="18"/>
                <w:szCs w:val="18"/>
              </w:rPr>
            </w:pPr>
            <w:r>
              <w:rPr>
                <w:rFonts w:ascii="Arial" w:hAnsi="Arial" w:cs="Arial"/>
                <w:b/>
                <w:bCs/>
                <w:sz w:val="18"/>
                <w:szCs w:val="18"/>
              </w:rPr>
              <w:t>Não investigada.</w:t>
            </w:r>
          </w:p>
        </w:tc>
        <w:tc>
          <w:tcPr>
            <w:tcW w:w="711" w:type="pct"/>
          </w:tcPr>
          <w:p w14:paraId="6DD2512A" w14:textId="77777777" w:rsidR="0033067B" w:rsidRDefault="00581C72">
            <w:pPr>
              <w:spacing w:after="60"/>
              <w:jc w:val="both"/>
              <w:rPr>
                <w:rFonts w:ascii="Arial" w:hAnsi="Arial" w:cs="Arial"/>
                <w:sz w:val="18"/>
                <w:szCs w:val="18"/>
              </w:rPr>
            </w:pPr>
            <w:r>
              <w:rPr>
                <w:rFonts w:ascii="Arial" w:hAnsi="Arial" w:cs="Arial"/>
                <w:b/>
                <w:sz w:val="18"/>
                <w:szCs w:val="18"/>
              </w:rPr>
              <w:t>Baixa clareza decisória:</w:t>
            </w:r>
            <w:r>
              <w:rPr>
                <w:rFonts w:ascii="Arial" w:hAnsi="Arial" w:cs="Arial"/>
                <w:sz w:val="18"/>
                <w:szCs w:val="18"/>
              </w:rPr>
              <w:t xml:space="preserve"> Falta de modelo básico de governança dificulta a definição de papéis, responsabilidades, objetivos, indicadores e metas para a TIC.</w:t>
            </w:r>
          </w:p>
          <w:p w14:paraId="3880A6B4" w14:textId="77777777" w:rsidR="0033067B" w:rsidRDefault="0033067B">
            <w:pPr>
              <w:spacing w:after="60"/>
              <w:jc w:val="both"/>
              <w:rPr>
                <w:rFonts w:ascii="Arial" w:hAnsi="Arial" w:cs="Arial"/>
                <w:sz w:val="18"/>
                <w:szCs w:val="18"/>
              </w:rPr>
            </w:pPr>
          </w:p>
          <w:p w14:paraId="3A881757" w14:textId="77777777" w:rsidR="0033067B" w:rsidRDefault="00581C72">
            <w:pPr>
              <w:spacing w:after="60"/>
              <w:jc w:val="both"/>
              <w:rPr>
                <w:rFonts w:ascii="Arial" w:hAnsi="Arial" w:cs="Arial"/>
                <w:sz w:val="18"/>
                <w:szCs w:val="18"/>
              </w:rPr>
            </w:pPr>
            <w:r>
              <w:rPr>
                <w:rFonts w:ascii="Arial" w:hAnsi="Arial" w:cs="Arial"/>
                <w:b/>
                <w:sz w:val="18"/>
                <w:szCs w:val="18"/>
              </w:rPr>
              <w:t>Priorização pouco transparente:</w:t>
            </w:r>
            <w:r>
              <w:rPr>
                <w:rFonts w:ascii="Arial" w:hAnsi="Arial" w:cs="Arial"/>
                <w:sz w:val="18"/>
                <w:szCs w:val="18"/>
              </w:rPr>
              <w:t xml:space="preserve"> Inexistência de instância colegiada reduz a capacidade de deliberar sobre prioridades, projetos, riscos, serviços, orçamento e contratações de TIC.</w:t>
            </w:r>
          </w:p>
          <w:p w14:paraId="11F4372E" w14:textId="77777777" w:rsidR="0033067B" w:rsidRDefault="0033067B">
            <w:pPr>
              <w:spacing w:after="60"/>
              <w:jc w:val="both"/>
              <w:rPr>
                <w:rFonts w:ascii="Arial" w:hAnsi="Arial" w:cs="Arial"/>
                <w:sz w:val="18"/>
                <w:szCs w:val="18"/>
              </w:rPr>
            </w:pPr>
          </w:p>
          <w:p w14:paraId="60F599A1" w14:textId="77777777" w:rsidR="0033067B" w:rsidRDefault="00581C72">
            <w:pPr>
              <w:spacing w:after="60"/>
              <w:jc w:val="both"/>
              <w:rPr>
                <w:rFonts w:ascii="Arial" w:hAnsi="Arial" w:cs="Arial"/>
                <w:sz w:val="18"/>
                <w:szCs w:val="18"/>
              </w:rPr>
            </w:pPr>
            <w:r>
              <w:rPr>
                <w:rFonts w:ascii="Arial" w:hAnsi="Arial" w:cs="Arial"/>
                <w:b/>
                <w:sz w:val="18"/>
                <w:szCs w:val="18"/>
              </w:rPr>
              <w:t>Governança sem atuação efetiva:</w:t>
            </w:r>
            <w:r>
              <w:rPr>
                <w:rFonts w:ascii="Arial" w:hAnsi="Arial" w:cs="Arial"/>
                <w:sz w:val="18"/>
                <w:szCs w:val="18"/>
              </w:rPr>
              <w:t xml:space="preserve"> Ausência de reuniões, registros de deliberação e acompanhamento compromete a continuidade das decisões e a responsabilização pelos encaminhamentos.</w:t>
            </w:r>
          </w:p>
        </w:tc>
        <w:tc>
          <w:tcPr>
            <w:tcW w:w="1521" w:type="pct"/>
          </w:tcPr>
          <w:p w14:paraId="49139EFD" w14:textId="77777777" w:rsidR="0033067B" w:rsidRDefault="00581C72">
            <w:pPr>
              <w:jc w:val="both"/>
              <w:rPr>
                <w:rFonts w:ascii="Arial" w:hAnsi="Arial" w:cs="Arial"/>
                <w:sz w:val="18"/>
                <w:szCs w:val="18"/>
              </w:rPr>
            </w:pPr>
            <w:r>
              <w:rPr>
                <w:rFonts w:ascii="Arial" w:hAnsi="Arial" w:cs="Arial"/>
                <w:b/>
                <w:bCs/>
                <w:sz w:val="18"/>
                <w:szCs w:val="18"/>
                <w:u w:val="single"/>
              </w:rPr>
              <w:t>Comunicação com Recomendação</w:t>
            </w:r>
            <w:r>
              <w:rPr>
                <w:rFonts w:ascii="Arial" w:hAnsi="Arial" w:cs="Arial"/>
                <w:sz w:val="18"/>
                <w:szCs w:val="18"/>
              </w:rPr>
              <w:t xml:space="preserve"> para que estabeleça modelo básico de governança e gestão de TIC, atentando-se, minimamente, em definir papéis e responsabilidades, objetivos, indicadores, metas e forma de acompanhamento periódico do desempenho da TIC pela alta administração.</w:t>
            </w:r>
          </w:p>
          <w:p w14:paraId="10C72029" w14:textId="77777777" w:rsidR="0033067B" w:rsidRDefault="0033067B">
            <w:pPr>
              <w:jc w:val="both"/>
              <w:rPr>
                <w:rFonts w:ascii="Arial" w:hAnsi="Arial" w:cs="Arial"/>
                <w:sz w:val="18"/>
                <w:szCs w:val="18"/>
              </w:rPr>
            </w:pPr>
          </w:p>
          <w:p w14:paraId="42298CFA" w14:textId="77777777" w:rsidR="0033067B" w:rsidRDefault="00581C72">
            <w:pPr>
              <w:jc w:val="both"/>
              <w:rPr>
                <w:rFonts w:ascii="Arial" w:hAnsi="Arial" w:cs="Arial"/>
                <w:sz w:val="18"/>
                <w:szCs w:val="18"/>
              </w:rPr>
            </w:pPr>
            <w:r>
              <w:rPr>
                <w:rFonts w:ascii="Arial" w:hAnsi="Arial" w:cs="Arial"/>
                <w:b/>
                <w:bCs/>
                <w:sz w:val="18"/>
                <w:szCs w:val="18"/>
                <w:u w:val="single"/>
              </w:rPr>
              <w:t>Comunicação com Recomendação</w:t>
            </w:r>
            <w:r>
              <w:rPr>
                <w:rFonts w:ascii="Arial" w:hAnsi="Arial" w:cs="Arial"/>
                <w:sz w:val="18"/>
                <w:szCs w:val="18"/>
              </w:rPr>
              <w:t xml:space="preserve"> para que institua formalmente Comitê de TIC ou instância equivalente, atentando-se, minimamente, em definir sua composição, competências, periodicidade de reuniões, forma de registro das deliberações e acompanhamento dos encaminhamentos.</w:t>
            </w:r>
          </w:p>
          <w:p w14:paraId="4F12229E" w14:textId="77777777" w:rsidR="0033067B" w:rsidRDefault="0033067B">
            <w:pPr>
              <w:jc w:val="both"/>
              <w:rPr>
                <w:rFonts w:ascii="Arial" w:hAnsi="Arial" w:cs="Arial"/>
                <w:sz w:val="18"/>
                <w:szCs w:val="18"/>
              </w:rPr>
            </w:pPr>
          </w:p>
          <w:p w14:paraId="05C6F266" w14:textId="77777777" w:rsidR="0033067B" w:rsidRDefault="00581C72">
            <w:pPr>
              <w:jc w:val="both"/>
              <w:rPr>
                <w:rFonts w:ascii="Arial" w:hAnsi="Arial" w:cs="Arial"/>
                <w:sz w:val="18"/>
                <w:szCs w:val="18"/>
              </w:rPr>
            </w:pPr>
            <w:r>
              <w:rPr>
                <w:rFonts w:ascii="Arial" w:hAnsi="Arial" w:cs="Arial"/>
                <w:b/>
                <w:bCs/>
                <w:sz w:val="18"/>
                <w:szCs w:val="18"/>
                <w:u w:val="single"/>
              </w:rPr>
              <w:t>Comunicação com Recomendação</w:t>
            </w:r>
            <w:r>
              <w:rPr>
                <w:rFonts w:ascii="Arial" w:hAnsi="Arial" w:cs="Arial"/>
                <w:sz w:val="18"/>
                <w:szCs w:val="18"/>
              </w:rPr>
              <w:t xml:space="preserve"> para que assegure o funcionamento efetivo do Comitê de TIC ou instância equivalente, atentando-se, minimamente, em realizar reuniões periódicas, registrar atas, deliberações e encaminhamentos e acompanhar as decisões sobre prioridades, projetos, riscos, serviços, orçamento e contratações de TIC.</w:t>
            </w:r>
          </w:p>
        </w:tc>
      </w:tr>
    </w:tbl>
    <w:p w14:paraId="15C527BC" w14:textId="77777777" w:rsidR="00467394" w:rsidRDefault="00467394" w:rsidP="001E6730">
      <w:pPr>
        <w:jc w:val="center"/>
        <w:rPr>
          <w:rFonts w:ascii="Arial" w:hAnsi="Arial" w:cs="Arial"/>
          <w:b/>
        </w:rPr>
      </w:pPr>
    </w:p>
    <w:p w14:paraId="4792083A" w14:textId="77777777" w:rsidR="00467394" w:rsidRDefault="00467394">
      <w:pPr>
        <w:spacing w:after="160" w:line="259" w:lineRule="auto"/>
        <w:rPr>
          <w:rFonts w:ascii="Arial" w:hAnsi="Arial" w:cs="Arial"/>
          <w:b/>
        </w:rPr>
      </w:pPr>
      <w:r>
        <w:rPr>
          <w:rFonts w:ascii="Arial" w:hAnsi="Arial" w:cs="Arial"/>
          <w:b/>
        </w:rPr>
        <w:br w:type="page"/>
      </w:r>
    </w:p>
    <w:tbl>
      <w:tblPr>
        <w:tblStyle w:val="Tabelacomgrad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6"/>
        <w:gridCol w:w="3364"/>
        <w:gridCol w:w="3364"/>
        <w:gridCol w:w="3534"/>
        <w:gridCol w:w="3179"/>
        <w:gridCol w:w="6801"/>
      </w:tblGrid>
      <w:tr w:rsidR="00467394" w:rsidRPr="00636B72" w14:paraId="6B293243" w14:textId="77777777" w:rsidTr="003A6734">
        <w:trPr>
          <w:trHeight w:val="300"/>
          <w:tblHeader/>
        </w:trPr>
        <w:tc>
          <w:tcPr>
            <w:tcW w:w="473" w:type="pct"/>
          </w:tcPr>
          <w:p w14:paraId="48526400" w14:textId="77777777" w:rsidR="00467394" w:rsidRPr="00636B72" w:rsidRDefault="00467394" w:rsidP="003A6734">
            <w:pPr>
              <w:autoSpaceDE w:val="0"/>
              <w:autoSpaceDN w:val="0"/>
              <w:adjustRightInd w:val="0"/>
              <w:spacing w:before="40" w:after="60"/>
              <w:jc w:val="center"/>
              <w:rPr>
                <w:rFonts w:ascii="Arial" w:hAnsi="Arial" w:cs="Arial"/>
                <w:b/>
                <w:bCs/>
                <w:sz w:val="16"/>
                <w:szCs w:val="16"/>
              </w:rPr>
            </w:pPr>
            <w:r>
              <w:rPr>
                <w:rFonts w:ascii="Arial" w:hAnsi="Arial" w:cs="Arial"/>
                <w:b/>
                <w:bCs/>
                <w:sz w:val="16"/>
                <w:szCs w:val="16"/>
              </w:rPr>
              <w:lastRenderedPageBreak/>
              <w:t>ACHADO</w:t>
            </w:r>
          </w:p>
        </w:tc>
        <w:tc>
          <w:tcPr>
            <w:tcW w:w="752" w:type="pct"/>
            <w:vAlign w:val="center"/>
          </w:tcPr>
          <w:p w14:paraId="1BD3200E" w14:textId="77777777" w:rsidR="00467394" w:rsidRPr="00636B72" w:rsidRDefault="00467394" w:rsidP="003A6734">
            <w:pPr>
              <w:autoSpaceDE w:val="0"/>
              <w:autoSpaceDN w:val="0"/>
              <w:adjustRightInd w:val="0"/>
              <w:spacing w:before="40" w:after="60"/>
              <w:jc w:val="center"/>
              <w:rPr>
                <w:rFonts w:ascii="Arial" w:hAnsi="Arial" w:cs="Arial"/>
                <w:b/>
                <w:bCs/>
                <w:sz w:val="16"/>
                <w:szCs w:val="16"/>
              </w:rPr>
            </w:pPr>
            <w:r>
              <w:rPr>
                <w:rFonts w:ascii="Arial" w:hAnsi="Arial" w:cs="Arial"/>
                <w:b/>
                <w:bCs/>
                <w:sz w:val="16"/>
                <w:szCs w:val="16"/>
              </w:rPr>
              <w:t>CRITÉRIO</w:t>
            </w:r>
          </w:p>
        </w:tc>
        <w:tc>
          <w:tcPr>
            <w:tcW w:w="752" w:type="pct"/>
            <w:vAlign w:val="center"/>
          </w:tcPr>
          <w:p w14:paraId="0D817A94" w14:textId="77777777" w:rsidR="00467394" w:rsidRPr="00636B72" w:rsidRDefault="00467394" w:rsidP="003A6734">
            <w:pPr>
              <w:spacing w:before="40" w:after="60"/>
              <w:jc w:val="center"/>
              <w:rPr>
                <w:rFonts w:ascii="Arial" w:hAnsi="Arial" w:cs="Arial"/>
                <w:b/>
                <w:bCs/>
                <w:sz w:val="16"/>
                <w:szCs w:val="16"/>
              </w:rPr>
            </w:pPr>
            <w:r>
              <w:rPr>
                <w:rFonts w:ascii="Arial" w:hAnsi="Arial" w:cs="Arial"/>
                <w:b/>
                <w:bCs/>
                <w:sz w:val="16"/>
                <w:szCs w:val="16"/>
              </w:rPr>
              <w:t>EVIDÊNCIA</w:t>
            </w:r>
          </w:p>
        </w:tc>
        <w:tc>
          <w:tcPr>
            <w:tcW w:w="790" w:type="pct"/>
            <w:vAlign w:val="center"/>
          </w:tcPr>
          <w:p w14:paraId="3B4829CD" w14:textId="77777777" w:rsidR="00467394" w:rsidRPr="00636B72" w:rsidRDefault="00467394" w:rsidP="003A6734">
            <w:pPr>
              <w:spacing w:before="40" w:after="60"/>
              <w:jc w:val="center"/>
              <w:rPr>
                <w:rFonts w:ascii="Arial" w:hAnsi="Arial" w:cs="Arial"/>
                <w:b/>
                <w:bCs/>
                <w:strike/>
                <w:sz w:val="16"/>
                <w:szCs w:val="16"/>
              </w:rPr>
            </w:pPr>
            <w:r>
              <w:rPr>
                <w:rFonts w:ascii="Arial" w:hAnsi="Arial" w:cs="Arial"/>
                <w:b/>
                <w:bCs/>
                <w:sz w:val="16"/>
                <w:szCs w:val="16"/>
              </w:rPr>
              <w:t>CAUSA</w:t>
            </w:r>
          </w:p>
        </w:tc>
        <w:tc>
          <w:tcPr>
            <w:tcW w:w="711" w:type="pct"/>
            <w:vAlign w:val="center"/>
          </w:tcPr>
          <w:p w14:paraId="5A78737D" w14:textId="77777777" w:rsidR="00467394" w:rsidRPr="00636B72" w:rsidRDefault="00467394" w:rsidP="003A6734">
            <w:pPr>
              <w:spacing w:before="40" w:after="60"/>
              <w:jc w:val="center"/>
              <w:rPr>
                <w:rFonts w:ascii="Arial" w:hAnsi="Arial" w:cs="Arial"/>
                <w:b/>
                <w:bCs/>
                <w:sz w:val="16"/>
                <w:szCs w:val="16"/>
              </w:rPr>
            </w:pPr>
            <w:r>
              <w:rPr>
                <w:rFonts w:ascii="Arial" w:hAnsi="Arial" w:cs="Arial"/>
                <w:b/>
                <w:bCs/>
                <w:sz w:val="16"/>
                <w:szCs w:val="16"/>
              </w:rPr>
              <w:t>EFEITO</w:t>
            </w:r>
          </w:p>
        </w:tc>
        <w:tc>
          <w:tcPr>
            <w:tcW w:w="1521" w:type="pct"/>
            <w:vAlign w:val="center"/>
          </w:tcPr>
          <w:p w14:paraId="59F37054" w14:textId="77777777" w:rsidR="00467394" w:rsidRPr="00636B72" w:rsidRDefault="00467394" w:rsidP="003A6734">
            <w:pPr>
              <w:spacing w:before="40" w:after="60"/>
              <w:jc w:val="center"/>
              <w:rPr>
                <w:rFonts w:ascii="Arial" w:hAnsi="Arial" w:cs="Arial"/>
                <w:b/>
                <w:bCs/>
                <w:sz w:val="16"/>
                <w:szCs w:val="16"/>
              </w:rPr>
            </w:pPr>
            <w:r>
              <w:rPr>
                <w:rFonts w:ascii="Arial" w:hAnsi="Arial" w:cs="Arial"/>
                <w:b/>
                <w:bCs/>
                <w:sz w:val="16"/>
                <w:szCs w:val="16"/>
              </w:rPr>
              <w:t>ENCAMINHAMENTO</w:t>
            </w:r>
          </w:p>
        </w:tc>
      </w:tr>
      <w:tr w:rsidR="00467394" w:rsidRPr="00636B72" w14:paraId="3E84FBD8" w14:textId="77777777" w:rsidTr="003A6734">
        <w:trPr>
          <w:trHeight w:val="300"/>
        </w:trPr>
        <w:tc>
          <w:tcPr>
            <w:tcW w:w="473" w:type="pct"/>
          </w:tcPr>
          <w:p w14:paraId="267A15D3" w14:textId="77777777" w:rsidR="0033067B" w:rsidRDefault="00581C72">
            <w:pPr>
              <w:spacing w:after="60"/>
              <w:jc w:val="both"/>
              <w:rPr>
                <w:rFonts w:ascii="Arial" w:hAnsi="Arial" w:cs="Arial"/>
                <w:b/>
                <w:bCs/>
                <w:sz w:val="18"/>
                <w:szCs w:val="18"/>
              </w:rPr>
            </w:pPr>
            <w:r>
              <w:rPr>
                <w:rFonts w:ascii="Arial" w:hAnsi="Arial" w:cs="Arial"/>
                <w:b/>
                <w:bCs/>
                <w:sz w:val="18"/>
                <w:szCs w:val="18"/>
              </w:rPr>
              <w:t>ACHADO 03</w:t>
            </w:r>
          </w:p>
          <w:p w14:paraId="34A3FF44" w14:textId="77777777" w:rsidR="0033067B" w:rsidRDefault="0033067B">
            <w:pPr>
              <w:spacing w:after="60"/>
              <w:jc w:val="both"/>
              <w:rPr>
                <w:rFonts w:ascii="Arial" w:hAnsi="Arial" w:cs="Arial"/>
                <w:b/>
                <w:bCs/>
                <w:sz w:val="18"/>
                <w:szCs w:val="18"/>
              </w:rPr>
            </w:pPr>
          </w:p>
          <w:p w14:paraId="1284B5B6" w14:textId="77777777" w:rsidR="0033067B" w:rsidRDefault="00581C72">
            <w:pPr>
              <w:spacing w:after="60"/>
              <w:jc w:val="both"/>
              <w:rPr>
                <w:rFonts w:ascii="Arial" w:hAnsi="Arial" w:cs="Arial"/>
                <w:b/>
                <w:bCs/>
                <w:sz w:val="18"/>
                <w:szCs w:val="18"/>
              </w:rPr>
            </w:pPr>
            <w:r>
              <w:rPr>
                <w:rFonts w:ascii="Arial" w:hAnsi="Arial" w:cs="Arial"/>
                <w:sz w:val="18"/>
                <w:szCs w:val="18"/>
              </w:rPr>
              <w:t>Planejamento de TIC inexistente, insuficiente, desatualizado ou desconectado da gestão, do orçamento e das contratações</w:t>
            </w:r>
          </w:p>
        </w:tc>
        <w:tc>
          <w:tcPr>
            <w:tcW w:w="752" w:type="pct"/>
          </w:tcPr>
          <w:p w14:paraId="083BD113" w14:textId="77777777" w:rsidR="0033067B" w:rsidRDefault="00581C72">
            <w:pPr>
              <w:jc w:val="both"/>
              <w:rPr>
                <w:rFonts w:ascii="Arial" w:hAnsi="Arial" w:cs="Arial"/>
                <w:sz w:val="18"/>
                <w:szCs w:val="18"/>
                <w:vertAlign w:val="superscript"/>
              </w:rPr>
            </w:pPr>
            <w:r>
              <w:rPr>
                <w:rFonts w:ascii="Arial" w:hAnsi="Arial" w:cs="Arial"/>
                <w:b/>
                <w:sz w:val="18"/>
                <w:szCs w:val="18"/>
              </w:rPr>
              <w:t>COBIT 2019, APO02.05 - Definir o plano e o roteiro estratégico:</w:t>
            </w:r>
            <w:r>
              <w:rPr>
                <w:rFonts w:ascii="Arial" w:hAnsi="Arial" w:cs="Arial"/>
                <w:sz w:val="18"/>
                <w:szCs w:val="18"/>
              </w:rPr>
              <w:t xml:space="preserve"> estabelecer plano e roteiro de TIC que traduzam a estratégia em iniciativas, prioridades, recursos, dependências, prazos e benefícios esperados.</w:t>
            </w:r>
          </w:p>
          <w:p w14:paraId="79D08417" w14:textId="77777777" w:rsidR="0033067B" w:rsidRDefault="0033067B">
            <w:pPr>
              <w:jc w:val="both"/>
              <w:rPr>
                <w:rFonts w:ascii="Arial" w:hAnsi="Arial" w:cs="Arial"/>
                <w:sz w:val="18"/>
                <w:szCs w:val="18"/>
                <w:vertAlign w:val="superscript"/>
              </w:rPr>
            </w:pPr>
          </w:p>
          <w:p w14:paraId="4F685D6A" w14:textId="77777777" w:rsidR="0033067B" w:rsidRDefault="00581C72">
            <w:pPr>
              <w:jc w:val="both"/>
              <w:rPr>
                <w:rFonts w:ascii="Arial" w:hAnsi="Arial" w:cs="Arial"/>
                <w:sz w:val="18"/>
                <w:szCs w:val="18"/>
                <w:vertAlign w:val="superscript"/>
              </w:rPr>
            </w:pPr>
            <w:r>
              <w:rPr>
                <w:rFonts w:ascii="Arial" w:hAnsi="Arial" w:cs="Arial"/>
                <w:b/>
                <w:sz w:val="18"/>
                <w:szCs w:val="18"/>
              </w:rPr>
              <w:t>Acórdão 1.411/2014-TCU-Plenário, item 9.1.6 e subitens 9.1.6.1 a 9.1.6.4:</w:t>
            </w:r>
            <w:r>
              <w:rPr>
                <w:rFonts w:ascii="Arial" w:hAnsi="Arial" w:cs="Arial"/>
                <w:sz w:val="18"/>
                <w:szCs w:val="18"/>
              </w:rPr>
              <w:t xml:space="preserve"> necessidade de instituir formalmente plano diretor de TI, contemplando desdobramento de diretrizes estratégicas, vinculação das ações de TI a indicadores e metas de negócio, vinculação das ações de TI a indicadores e metas de serviços ao cidadão e vinculação das ações priorizadas ao orçamento de TI.</w:t>
            </w:r>
          </w:p>
          <w:p w14:paraId="71D49D79" w14:textId="77777777" w:rsidR="0033067B" w:rsidRDefault="0033067B">
            <w:pPr>
              <w:jc w:val="both"/>
              <w:rPr>
                <w:rFonts w:ascii="Arial" w:hAnsi="Arial" w:cs="Arial"/>
                <w:sz w:val="18"/>
                <w:szCs w:val="18"/>
                <w:vertAlign w:val="superscript"/>
              </w:rPr>
            </w:pPr>
          </w:p>
          <w:p w14:paraId="04AA0F5D" w14:textId="77777777" w:rsidR="0033067B" w:rsidRDefault="00581C72">
            <w:pPr>
              <w:jc w:val="both"/>
              <w:rPr>
                <w:rFonts w:ascii="Arial" w:hAnsi="Arial" w:cs="Arial"/>
                <w:sz w:val="18"/>
                <w:szCs w:val="18"/>
                <w:vertAlign w:val="superscript"/>
              </w:rPr>
            </w:pPr>
            <w:r>
              <w:rPr>
                <w:rFonts w:ascii="Arial" w:hAnsi="Arial" w:cs="Arial"/>
                <w:b/>
                <w:sz w:val="18"/>
                <w:szCs w:val="18"/>
              </w:rPr>
              <w:t>Acórdão TCE-RJ 44.490/2024-PLEN, item II.3 e subitens II.3.1 a II.3.5:</w:t>
            </w:r>
            <w:r>
              <w:rPr>
                <w:rFonts w:ascii="Arial" w:hAnsi="Arial" w:cs="Arial"/>
                <w:sz w:val="18"/>
                <w:szCs w:val="18"/>
              </w:rPr>
              <w:t xml:space="preserve"> necessidade de estabelecer processo estruturado, com participação de representantes das principais secretarias, para elaborar, manter e revisar periodicamente o PDTI, contemplando objetivos, indicadores e metas de TI alinhados aos objetivos de negócio, riscos que possam impactar objetivos e metas, projetos, aquisições e ações necessárias, alocação de recursos e ações de divulgação e monitoramento do PDTI após aprovação pela autoridade máxima.</w:t>
            </w:r>
          </w:p>
          <w:p w14:paraId="0B1C258D" w14:textId="77777777" w:rsidR="0033067B" w:rsidRDefault="0033067B">
            <w:pPr>
              <w:jc w:val="both"/>
              <w:rPr>
                <w:rFonts w:ascii="Arial" w:hAnsi="Arial" w:cs="Arial"/>
                <w:sz w:val="18"/>
                <w:szCs w:val="18"/>
                <w:vertAlign w:val="superscript"/>
              </w:rPr>
            </w:pPr>
          </w:p>
          <w:p w14:paraId="51D93FA1" w14:textId="77777777" w:rsidR="0033067B" w:rsidRDefault="00581C72">
            <w:pPr>
              <w:jc w:val="both"/>
              <w:rPr>
                <w:rFonts w:ascii="Arial" w:hAnsi="Arial" w:cs="Arial"/>
                <w:sz w:val="18"/>
                <w:szCs w:val="18"/>
                <w:vertAlign w:val="superscript"/>
              </w:rPr>
            </w:pPr>
            <w:r>
              <w:rPr>
                <w:rFonts w:ascii="Arial" w:hAnsi="Arial" w:cs="Arial"/>
                <w:b/>
                <w:sz w:val="18"/>
                <w:szCs w:val="18"/>
              </w:rPr>
              <w:t>COBIT 2019, APO06.03 - Criar e manter orçamentos:</w:t>
            </w:r>
            <w:r>
              <w:rPr>
                <w:rFonts w:ascii="Arial" w:hAnsi="Arial" w:cs="Arial"/>
                <w:sz w:val="18"/>
                <w:szCs w:val="18"/>
              </w:rPr>
              <w:t xml:space="preserve"> elaborar e manter orçamento de TIC alinhado ao portfólio, ao planejamento e às prioridades aprovadas.</w:t>
            </w:r>
          </w:p>
        </w:tc>
        <w:tc>
          <w:tcPr>
            <w:tcW w:w="752" w:type="pct"/>
          </w:tcPr>
          <w:p w14:paraId="166AE02D" w14:textId="77777777" w:rsidR="0033067B" w:rsidRDefault="00581C72">
            <w:pPr>
              <w:spacing w:after="60"/>
              <w:jc w:val="both"/>
              <w:rPr>
                <w:rFonts w:ascii="Arial" w:hAnsi="Arial" w:cs="Arial"/>
                <w:sz w:val="18"/>
                <w:szCs w:val="18"/>
              </w:rPr>
            </w:pPr>
            <w:r>
              <w:rPr>
                <w:rFonts w:ascii="Arial" w:hAnsi="Arial" w:cs="Arial"/>
                <w:b/>
                <w:bCs/>
                <w:sz w:val="18"/>
                <w:szCs w:val="18"/>
              </w:rPr>
              <w:t>Respostas Questionário</w:t>
            </w:r>
            <w:r>
              <w:rPr>
                <w:rFonts w:ascii="Arial" w:hAnsi="Arial" w:cs="Arial"/>
                <w:sz w:val="18"/>
                <w:szCs w:val="18"/>
              </w:rPr>
              <w:t xml:space="preserve"> - Respostas e evidências anexadas ao questionário eletrônico iGovTI 2026, avaliadas conforme as regras de identificação previstas na matriz de planejamento.</w:t>
            </w:r>
          </w:p>
          <w:p w14:paraId="1D26EC47" w14:textId="77777777" w:rsidR="0033067B" w:rsidRDefault="0033067B">
            <w:pPr>
              <w:spacing w:after="60"/>
              <w:jc w:val="both"/>
              <w:rPr>
                <w:rFonts w:ascii="Arial" w:hAnsi="Arial" w:cs="Arial"/>
                <w:sz w:val="18"/>
                <w:szCs w:val="18"/>
              </w:rPr>
            </w:pPr>
          </w:p>
          <w:p w14:paraId="79430FAB" w14:textId="77777777" w:rsidR="0033067B" w:rsidRDefault="00581C72">
            <w:pPr>
              <w:spacing w:after="60"/>
              <w:jc w:val="both"/>
              <w:rPr>
                <w:rFonts w:ascii="Arial" w:hAnsi="Arial" w:cs="Arial"/>
                <w:sz w:val="18"/>
                <w:szCs w:val="18"/>
              </w:rPr>
            </w:pPr>
            <w:r>
              <w:rPr>
                <w:rFonts w:ascii="Arial" w:hAnsi="Arial" w:cs="Arial"/>
                <w:sz w:val="18"/>
                <w:szCs w:val="18"/>
              </w:rPr>
              <w:t>a) Resposta negativa ou insuficiente sobre a existência de processo de planejamento de TIC.</w:t>
            </w:r>
          </w:p>
          <w:p w14:paraId="1CBD15F3" w14:textId="77777777" w:rsidR="0033067B" w:rsidRDefault="00581C72">
            <w:pPr>
              <w:spacing w:after="60"/>
              <w:jc w:val="both"/>
              <w:rPr>
                <w:rFonts w:ascii="Arial" w:hAnsi="Arial" w:cs="Arial"/>
                <w:sz w:val="18"/>
                <w:szCs w:val="18"/>
              </w:rPr>
            </w:pPr>
            <w:r>
              <w:rPr>
                <w:rFonts w:ascii="Arial" w:hAnsi="Arial" w:cs="Arial"/>
                <w:sz w:val="18"/>
                <w:szCs w:val="18"/>
              </w:rPr>
              <w:t>b) Ausência, desatualização, incompatibilidade ou insuficiência de evidência que discipline o processo de planejamento de TIC.</w:t>
            </w:r>
          </w:p>
          <w:p w14:paraId="1CFFC473" w14:textId="77777777" w:rsidR="0033067B" w:rsidRDefault="00581C72">
            <w:pPr>
              <w:spacing w:after="60"/>
              <w:jc w:val="both"/>
              <w:rPr>
                <w:rFonts w:ascii="Arial" w:hAnsi="Arial" w:cs="Arial"/>
                <w:sz w:val="18"/>
                <w:szCs w:val="18"/>
              </w:rPr>
            </w:pPr>
            <w:r>
              <w:rPr>
                <w:rFonts w:ascii="Arial" w:hAnsi="Arial" w:cs="Arial"/>
                <w:sz w:val="18"/>
                <w:szCs w:val="18"/>
              </w:rPr>
              <w:t>c) Resposta negativa ou insuficiente sobre participação das áreas demandantes.</w:t>
            </w:r>
          </w:p>
          <w:p w14:paraId="1B2039F5" w14:textId="77777777" w:rsidR="0033067B" w:rsidRDefault="00581C72">
            <w:pPr>
              <w:spacing w:after="60"/>
              <w:jc w:val="both"/>
              <w:rPr>
                <w:rFonts w:ascii="Arial" w:hAnsi="Arial" w:cs="Arial"/>
                <w:sz w:val="18"/>
                <w:szCs w:val="18"/>
              </w:rPr>
            </w:pPr>
            <w:r>
              <w:rPr>
                <w:rFonts w:ascii="Arial" w:hAnsi="Arial" w:cs="Arial"/>
                <w:sz w:val="18"/>
                <w:szCs w:val="18"/>
              </w:rPr>
              <w:t>d) Resposta negativa ou insuficiente sobre a aprovação formal do plano de TIC pela instância competente.</w:t>
            </w:r>
          </w:p>
          <w:p w14:paraId="3E5C3F1A" w14:textId="77777777" w:rsidR="0033067B" w:rsidRDefault="00581C72">
            <w:pPr>
              <w:spacing w:after="60"/>
              <w:jc w:val="both"/>
              <w:rPr>
                <w:rFonts w:ascii="Arial" w:hAnsi="Arial" w:cs="Arial"/>
                <w:sz w:val="18"/>
                <w:szCs w:val="18"/>
              </w:rPr>
            </w:pPr>
            <w:r>
              <w:rPr>
                <w:rFonts w:ascii="Arial" w:hAnsi="Arial" w:cs="Arial"/>
                <w:sz w:val="18"/>
                <w:szCs w:val="18"/>
              </w:rPr>
              <w:t>e) Ausência ou insuficiência de evidência do ato de aprovação formal do plano de TIC pela instância competente.</w:t>
            </w:r>
          </w:p>
          <w:p w14:paraId="73ED8CC7" w14:textId="77777777" w:rsidR="0033067B" w:rsidRDefault="00581C72">
            <w:pPr>
              <w:spacing w:after="60"/>
              <w:jc w:val="both"/>
              <w:rPr>
                <w:rFonts w:ascii="Arial" w:hAnsi="Arial" w:cs="Arial"/>
                <w:sz w:val="18"/>
                <w:szCs w:val="18"/>
              </w:rPr>
            </w:pPr>
            <w:r>
              <w:rPr>
                <w:rFonts w:ascii="Arial" w:hAnsi="Arial" w:cs="Arial"/>
                <w:sz w:val="18"/>
                <w:szCs w:val="18"/>
              </w:rPr>
              <w:t>f) Inexistência ou insuficiência de alinhamento entre plano de TIC e planejamento institucional.</w:t>
            </w:r>
          </w:p>
          <w:p w14:paraId="7B3EA14E" w14:textId="77777777" w:rsidR="0033067B" w:rsidRDefault="00581C72">
            <w:pPr>
              <w:spacing w:after="60"/>
              <w:jc w:val="both"/>
              <w:rPr>
                <w:rFonts w:ascii="Arial" w:hAnsi="Arial" w:cs="Arial"/>
                <w:sz w:val="18"/>
                <w:szCs w:val="18"/>
              </w:rPr>
            </w:pPr>
            <w:r>
              <w:rPr>
                <w:rFonts w:ascii="Arial" w:hAnsi="Arial" w:cs="Arial"/>
                <w:sz w:val="18"/>
                <w:szCs w:val="18"/>
              </w:rPr>
              <w:t>g) Inexistência ou insuficiência de vínculo entre plano de TIC, orçamento, plano de contratações, projetos ou contratações de TIC.</w:t>
            </w:r>
          </w:p>
          <w:p w14:paraId="2CBF26A5" w14:textId="77777777" w:rsidR="0033067B" w:rsidRDefault="00581C72">
            <w:pPr>
              <w:spacing w:after="60"/>
              <w:jc w:val="both"/>
              <w:rPr>
                <w:rFonts w:ascii="Arial" w:hAnsi="Arial" w:cs="Arial"/>
                <w:sz w:val="18"/>
                <w:szCs w:val="18"/>
              </w:rPr>
            </w:pPr>
            <w:r>
              <w:rPr>
                <w:rFonts w:ascii="Arial" w:hAnsi="Arial" w:cs="Arial"/>
                <w:sz w:val="18"/>
                <w:szCs w:val="18"/>
              </w:rPr>
              <w:t>h) Ausência de registros de acompanhamento, revisão ou atualização do plano de TIC.</w:t>
            </w:r>
          </w:p>
        </w:tc>
        <w:tc>
          <w:tcPr>
            <w:tcW w:w="790" w:type="pct"/>
          </w:tcPr>
          <w:p w14:paraId="3C3A64C7" w14:textId="77777777" w:rsidR="0033067B" w:rsidRDefault="00581C72">
            <w:pPr>
              <w:jc w:val="both"/>
              <w:rPr>
                <w:rFonts w:ascii="Arial" w:hAnsi="Arial" w:cs="Arial"/>
                <w:sz w:val="18"/>
                <w:szCs w:val="18"/>
              </w:rPr>
            </w:pPr>
            <w:r>
              <w:rPr>
                <w:rFonts w:ascii="Arial" w:hAnsi="Arial" w:cs="Arial"/>
                <w:b/>
                <w:bCs/>
                <w:sz w:val="18"/>
                <w:szCs w:val="18"/>
              </w:rPr>
              <w:t>Não investigada.</w:t>
            </w:r>
          </w:p>
        </w:tc>
        <w:tc>
          <w:tcPr>
            <w:tcW w:w="711" w:type="pct"/>
          </w:tcPr>
          <w:p w14:paraId="27390228" w14:textId="77777777" w:rsidR="0033067B" w:rsidRDefault="00581C72">
            <w:pPr>
              <w:jc w:val="both"/>
              <w:rPr>
                <w:rFonts w:ascii="Arial" w:hAnsi="Arial" w:cs="Arial"/>
                <w:sz w:val="18"/>
                <w:szCs w:val="18"/>
              </w:rPr>
            </w:pPr>
            <w:r>
              <w:rPr>
                <w:rFonts w:ascii="Arial" w:hAnsi="Arial" w:cs="Arial"/>
                <w:b/>
                <w:sz w:val="18"/>
                <w:szCs w:val="18"/>
              </w:rPr>
              <w:t>Demandas de TIC pouco coordenadas:</w:t>
            </w:r>
            <w:r>
              <w:rPr>
                <w:rFonts w:ascii="Arial" w:hAnsi="Arial" w:cs="Arial"/>
                <w:sz w:val="18"/>
                <w:szCs w:val="18"/>
              </w:rPr>
              <w:t xml:space="preserve"> Ausência de processo formal de planejamento dificulta registrar, priorizar e acompanhar as necessidades de TIC das áreas demandantes.</w:t>
            </w:r>
          </w:p>
          <w:p w14:paraId="51148688" w14:textId="77777777" w:rsidR="0033067B" w:rsidRDefault="0033067B">
            <w:pPr>
              <w:jc w:val="both"/>
              <w:rPr>
                <w:rFonts w:ascii="Arial" w:hAnsi="Arial" w:cs="Arial"/>
                <w:sz w:val="18"/>
                <w:szCs w:val="18"/>
              </w:rPr>
            </w:pPr>
          </w:p>
          <w:p w14:paraId="1B79EC9F" w14:textId="77777777" w:rsidR="0033067B" w:rsidRDefault="00581C72">
            <w:pPr>
              <w:jc w:val="both"/>
              <w:rPr>
                <w:rFonts w:ascii="Arial" w:hAnsi="Arial" w:cs="Arial"/>
                <w:sz w:val="18"/>
                <w:szCs w:val="18"/>
              </w:rPr>
            </w:pPr>
            <w:r>
              <w:rPr>
                <w:rFonts w:ascii="Arial" w:hAnsi="Arial" w:cs="Arial"/>
                <w:b/>
                <w:sz w:val="18"/>
                <w:szCs w:val="18"/>
              </w:rPr>
              <w:t>Baixa legitimidade do plano:</w:t>
            </w:r>
            <w:r>
              <w:rPr>
                <w:rFonts w:ascii="Arial" w:hAnsi="Arial" w:cs="Arial"/>
                <w:sz w:val="18"/>
                <w:szCs w:val="18"/>
              </w:rPr>
              <w:t xml:space="preserve"> Ausência de aprovação formal reduz a responsabilização da alta administração e dificulta a cobrança da execução do planejamento de TIC.</w:t>
            </w:r>
          </w:p>
          <w:p w14:paraId="2F7741BD" w14:textId="77777777" w:rsidR="0033067B" w:rsidRDefault="0033067B">
            <w:pPr>
              <w:jc w:val="both"/>
              <w:rPr>
                <w:rFonts w:ascii="Arial" w:hAnsi="Arial" w:cs="Arial"/>
                <w:sz w:val="18"/>
                <w:szCs w:val="18"/>
              </w:rPr>
            </w:pPr>
          </w:p>
          <w:p w14:paraId="0D21CF6C" w14:textId="77777777" w:rsidR="0033067B" w:rsidRDefault="00581C72">
            <w:pPr>
              <w:jc w:val="both"/>
              <w:rPr>
                <w:rFonts w:ascii="Arial" w:hAnsi="Arial" w:cs="Arial"/>
                <w:sz w:val="18"/>
                <w:szCs w:val="18"/>
              </w:rPr>
            </w:pPr>
            <w:r>
              <w:rPr>
                <w:rFonts w:ascii="Arial" w:hAnsi="Arial" w:cs="Arial"/>
                <w:b/>
                <w:sz w:val="18"/>
                <w:szCs w:val="18"/>
              </w:rPr>
              <w:t>Desalinhamento institucional:</w:t>
            </w:r>
            <w:r>
              <w:rPr>
                <w:rFonts w:ascii="Arial" w:hAnsi="Arial" w:cs="Arial"/>
                <w:sz w:val="18"/>
                <w:szCs w:val="18"/>
              </w:rPr>
              <w:t xml:space="preserve"> Plano de TIC sem aderência ao planejamento institucional pode direcionar recursos a iniciativas de menor prioridade para a organização.</w:t>
            </w:r>
          </w:p>
          <w:p w14:paraId="651F1AF4" w14:textId="77777777" w:rsidR="0033067B" w:rsidRDefault="0033067B">
            <w:pPr>
              <w:jc w:val="both"/>
              <w:rPr>
                <w:rFonts w:ascii="Arial" w:hAnsi="Arial" w:cs="Arial"/>
                <w:sz w:val="18"/>
                <w:szCs w:val="18"/>
              </w:rPr>
            </w:pPr>
          </w:p>
          <w:p w14:paraId="7559EFBC" w14:textId="77777777" w:rsidR="0033067B" w:rsidRDefault="00581C72">
            <w:pPr>
              <w:jc w:val="both"/>
              <w:rPr>
                <w:rFonts w:ascii="Arial" w:hAnsi="Arial" w:cs="Arial"/>
                <w:sz w:val="18"/>
                <w:szCs w:val="18"/>
              </w:rPr>
            </w:pPr>
            <w:r>
              <w:rPr>
                <w:rFonts w:ascii="Arial" w:hAnsi="Arial" w:cs="Arial"/>
                <w:b/>
                <w:sz w:val="18"/>
                <w:szCs w:val="18"/>
              </w:rPr>
              <w:t>Fragilidade orçamentária e contratual:</w:t>
            </w:r>
            <w:r>
              <w:rPr>
                <w:rFonts w:ascii="Arial" w:hAnsi="Arial" w:cs="Arial"/>
                <w:sz w:val="18"/>
                <w:szCs w:val="18"/>
              </w:rPr>
              <w:t xml:space="preserve"> Falta de integração com orçamento, plano de contratações, projetos e contratações aumenta o risco de demandas dispersas ou não priorizadas.</w:t>
            </w:r>
          </w:p>
          <w:p w14:paraId="164EEB1F" w14:textId="77777777" w:rsidR="0033067B" w:rsidRDefault="0033067B">
            <w:pPr>
              <w:jc w:val="both"/>
              <w:rPr>
                <w:rFonts w:ascii="Arial" w:hAnsi="Arial" w:cs="Arial"/>
                <w:sz w:val="18"/>
                <w:szCs w:val="18"/>
              </w:rPr>
            </w:pPr>
          </w:p>
          <w:p w14:paraId="6C9EC66C" w14:textId="77777777" w:rsidR="0033067B" w:rsidRDefault="00581C72">
            <w:pPr>
              <w:jc w:val="both"/>
              <w:rPr>
                <w:rFonts w:ascii="Arial" w:hAnsi="Arial" w:cs="Arial"/>
                <w:sz w:val="18"/>
                <w:szCs w:val="18"/>
              </w:rPr>
            </w:pPr>
            <w:r>
              <w:rPr>
                <w:rFonts w:ascii="Arial" w:hAnsi="Arial" w:cs="Arial"/>
                <w:b/>
                <w:sz w:val="18"/>
                <w:szCs w:val="18"/>
              </w:rPr>
              <w:t>Baixo acompanhamento da execução:</w:t>
            </w:r>
            <w:r>
              <w:rPr>
                <w:rFonts w:ascii="Arial" w:hAnsi="Arial" w:cs="Arial"/>
                <w:sz w:val="18"/>
                <w:szCs w:val="18"/>
              </w:rPr>
              <w:t xml:space="preserve"> Falta de revisão e atualização periódica reduz a capacidade de corrigir desvios, reprogramar ações e responder a mudanças relevantes.</w:t>
            </w:r>
          </w:p>
        </w:tc>
        <w:tc>
          <w:tcPr>
            <w:tcW w:w="1521" w:type="pct"/>
          </w:tcPr>
          <w:p w14:paraId="222F05FC" w14:textId="77777777" w:rsidR="0033067B" w:rsidRDefault="00581C72">
            <w:pPr>
              <w:jc w:val="both"/>
              <w:rPr>
                <w:rFonts w:ascii="Arial" w:hAnsi="Arial" w:cs="Arial"/>
                <w:sz w:val="18"/>
                <w:szCs w:val="18"/>
              </w:rPr>
            </w:pPr>
            <w:r>
              <w:rPr>
                <w:rFonts w:ascii="Arial" w:hAnsi="Arial" w:cs="Arial"/>
                <w:b/>
                <w:bCs/>
                <w:sz w:val="18"/>
                <w:szCs w:val="18"/>
                <w:u w:val="single"/>
              </w:rPr>
              <w:t>Comunicação com Recomendação</w:t>
            </w:r>
            <w:r>
              <w:rPr>
                <w:rFonts w:ascii="Arial" w:hAnsi="Arial" w:cs="Arial"/>
                <w:sz w:val="18"/>
                <w:szCs w:val="18"/>
              </w:rPr>
              <w:t xml:space="preserve"> para que institua processo formal de planejamento de TIC, atentando-se, minimamente, em definir etapas, responsáveis, participação das áreas demandantes e critérios de priorização das necessidades e iniciativas de TIC.</w:t>
            </w:r>
          </w:p>
          <w:p w14:paraId="01056BFE" w14:textId="77777777" w:rsidR="0033067B" w:rsidRDefault="0033067B">
            <w:pPr>
              <w:jc w:val="both"/>
              <w:rPr>
                <w:rFonts w:ascii="Arial" w:hAnsi="Arial" w:cs="Arial"/>
                <w:sz w:val="18"/>
                <w:szCs w:val="18"/>
              </w:rPr>
            </w:pPr>
          </w:p>
          <w:p w14:paraId="480CA1C6" w14:textId="77777777" w:rsidR="0033067B" w:rsidRDefault="00581C72">
            <w:pPr>
              <w:jc w:val="both"/>
              <w:rPr>
                <w:rFonts w:ascii="Arial" w:hAnsi="Arial" w:cs="Arial"/>
                <w:sz w:val="18"/>
                <w:szCs w:val="18"/>
              </w:rPr>
            </w:pPr>
            <w:r>
              <w:rPr>
                <w:rFonts w:ascii="Arial" w:hAnsi="Arial" w:cs="Arial"/>
                <w:b/>
                <w:bCs/>
                <w:sz w:val="18"/>
                <w:szCs w:val="18"/>
                <w:u w:val="single"/>
              </w:rPr>
              <w:t>Comunicação com Recomendação</w:t>
            </w:r>
            <w:r>
              <w:rPr>
                <w:rFonts w:ascii="Arial" w:hAnsi="Arial" w:cs="Arial"/>
                <w:sz w:val="18"/>
                <w:szCs w:val="18"/>
              </w:rPr>
              <w:t xml:space="preserve"> para que submeta o plano de TIC à aprovação formal do dirigente máximo ou de dirigente ou colegiado integrante da alta administração, mantendo registro do respectivo ato de aprovação.</w:t>
            </w:r>
          </w:p>
          <w:p w14:paraId="27A7131B" w14:textId="77777777" w:rsidR="0033067B" w:rsidRDefault="0033067B">
            <w:pPr>
              <w:jc w:val="both"/>
              <w:rPr>
                <w:rFonts w:ascii="Arial" w:hAnsi="Arial" w:cs="Arial"/>
                <w:sz w:val="18"/>
                <w:szCs w:val="18"/>
              </w:rPr>
            </w:pPr>
          </w:p>
          <w:p w14:paraId="4F94C082" w14:textId="77777777" w:rsidR="0033067B" w:rsidRDefault="00581C72">
            <w:pPr>
              <w:jc w:val="both"/>
              <w:rPr>
                <w:rFonts w:ascii="Arial" w:hAnsi="Arial" w:cs="Arial"/>
                <w:sz w:val="18"/>
                <w:szCs w:val="18"/>
              </w:rPr>
            </w:pPr>
            <w:r>
              <w:rPr>
                <w:rFonts w:ascii="Arial" w:hAnsi="Arial" w:cs="Arial"/>
                <w:b/>
                <w:bCs/>
                <w:sz w:val="18"/>
                <w:szCs w:val="18"/>
                <w:u w:val="single"/>
              </w:rPr>
              <w:t>Comunicação com Recomendação</w:t>
            </w:r>
            <w:r>
              <w:rPr>
                <w:rFonts w:ascii="Arial" w:hAnsi="Arial" w:cs="Arial"/>
                <w:sz w:val="18"/>
                <w:szCs w:val="18"/>
              </w:rPr>
              <w:t xml:space="preserve"> para que revise o plano de TIC para explicitar seu alinhamento ao planejamento institucional, às diretrizes superiores e às necessidades das áreas finalísticas e administrativas, relacionando objetivos, iniciativas, indicadores e metas de TIC aos resultados institucionais pretendidos.</w:t>
            </w:r>
          </w:p>
          <w:p w14:paraId="18AA22EE" w14:textId="77777777" w:rsidR="0033067B" w:rsidRDefault="0033067B">
            <w:pPr>
              <w:jc w:val="both"/>
              <w:rPr>
                <w:rFonts w:ascii="Arial" w:hAnsi="Arial" w:cs="Arial"/>
                <w:sz w:val="18"/>
                <w:szCs w:val="18"/>
              </w:rPr>
            </w:pPr>
          </w:p>
          <w:p w14:paraId="520AC6EC" w14:textId="77777777" w:rsidR="0033067B" w:rsidRDefault="00581C72">
            <w:pPr>
              <w:jc w:val="both"/>
              <w:rPr>
                <w:rFonts w:ascii="Arial" w:hAnsi="Arial" w:cs="Arial"/>
                <w:sz w:val="18"/>
                <w:szCs w:val="18"/>
              </w:rPr>
            </w:pPr>
            <w:r>
              <w:rPr>
                <w:rFonts w:ascii="Arial" w:hAnsi="Arial" w:cs="Arial"/>
                <w:b/>
                <w:bCs/>
                <w:sz w:val="18"/>
                <w:szCs w:val="18"/>
                <w:u w:val="single"/>
              </w:rPr>
              <w:t>Comunicação com Recomendação</w:t>
            </w:r>
            <w:r>
              <w:rPr>
                <w:rFonts w:ascii="Arial" w:hAnsi="Arial" w:cs="Arial"/>
                <w:sz w:val="18"/>
                <w:szCs w:val="18"/>
              </w:rPr>
              <w:t xml:space="preserve"> para que integre o plano de TIC à proposta orçamentária, ao plano de contratações e às contratações de TIC, atentando-se, minimamente, em priorizar as demandas conforme sua relevância, seus riscos e a capacidade de execução da organização.</w:t>
            </w:r>
          </w:p>
          <w:p w14:paraId="027E2A00" w14:textId="77777777" w:rsidR="0033067B" w:rsidRDefault="0033067B">
            <w:pPr>
              <w:jc w:val="both"/>
              <w:rPr>
                <w:rFonts w:ascii="Arial" w:hAnsi="Arial" w:cs="Arial"/>
                <w:sz w:val="18"/>
                <w:szCs w:val="18"/>
              </w:rPr>
            </w:pPr>
          </w:p>
          <w:p w14:paraId="3D1DE272" w14:textId="77777777" w:rsidR="0033067B" w:rsidRDefault="00581C72">
            <w:pPr>
              <w:jc w:val="both"/>
              <w:rPr>
                <w:rFonts w:ascii="Arial" w:hAnsi="Arial" w:cs="Arial"/>
                <w:sz w:val="18"/>
                <w:szCs w:val="18"/>
              </w:rPr>
            </w:pPr>
            <w:r>
              <w:rPr>
                <w:rFonts w:ascii="Arial" w:hAnsi="Arial" w:cs="Arial"/>
                <w:b/>
                <w:bCs/>
                <w:sz w:val="18"/>
                <w:szCs w:val="18"/>
                <w:u w:val="single"/>
              </w:rPr>
              <w:t>Comunicação com Recomendação</w:t>
            </w:r>
            <w:r>
              <w:rPr>
                <w:rFonts w:ascii="Arial" w:hAnsi="Arial" w:cs="Arial"/>
                <w:sz w:val="18"/>
                <w:szCs w:val="18"/>
              </w:rPr>
              <w:t xml:space="preserve"> para que estabeleça e execute rotina periódica de acompanhamento, revisão e atualização do plano de TIC, atentando-se, minimamente, em registrar a execução das iniciativas, as pendências, as reprogramações e as deliberações adotadas.</w:t>
            </w:r>
          </w:p>
        </w:tc>
      </w:tr>
    </w:tbl>
    <w:p w14:paraId="0EBE6271" w14:textId="77777777" w:rsidR="00A75136" w:rsidRDefault="00A75136" w:rsidP="001E6730">
      <w:pPr>
        <w:jc w:val="center"/>
        <w:rPr>
          <w:rFonts w:ascii="Arial" w:hAnsi="Arial" w:cs="Arial"/>
          <w:b/>
        </w:rPr>
      </w:pPr>
    </w:p>
    <w:p w14:paraId="38D33BC7" w14:textId="77777777" w:rsidR="00A75136" w:rsidRDefault="00A75136">
      <w:pPr>
        <w:spacing w:after="160" w:line="259" w:lineRule="auto"/>
        <w:rPr>
          <w:rFonts w:ascii="Arial" w:hAnsi="Arial" w:cs="Arial"/>
          <w:b/>
        </w:rPr>
      </w:pPr>
      <w:r>
        <w:rPr>
          <w:rFonts w:ascii="Arial" w:hAnsi="Arial" w:cs="Arial"/>
          <w:b/>
        </w:rPr>
        <w:br w:type="page"/>
      </w:r>
    </w:p>
    <w:tbl>
      <w:tblPr>
        <w:tblStyle w:val="Tabelacomgrad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6"/>
        <w:gridCol w:w="3364"/>
        <w:gridCol w:w="3364"/>
        <w:gridCol w:w="3534"/>
        <w:gridCol w:w="3179"/>
        <w:gridCol w:w="6801"/>
      </w:tblGrid>
      <w:tr w:rsidR="00A75136" w:rsidRPr="00636B72" w14:paraId="26D50C40" w14:textId="77777777" w:rsidTr="003A6734">
        <w:trPr>
          <w:trHeight w:val="300"/>
          <w:tblHeader/>
        </w:trPr>
        <w:tc>
          <w:tcPr>
            <w:tcW w:w="473" w:type="pct"/>
          </w:tcPr>
          <w:p w14:paraId="1AA91A03" w14:textId="77777777" w:rsidR="00A75136" w:rsidRPr="00636B72" w:rsidRDefault="00A75136" w:rsidP="003A6734">
            <w:pPr>
              <w:autoSpaceDE w:val="0"/>
              <w:autoSpaceDN w:val="0"/>
              <w:adjustRightInd w:val="0"/>
              <w:spacing w:before="40" w:after="60"/>
              <w:jc w:val="center"/>
              <w:rPr>
                <w:rFonts w:ascii="Arial" w:hAnsi="Arial" w:cs="Arial"/>
                <w:b/>
                <w:bCs/>
                <w:sz w:val="16"/>
                <w:szCs w:val="16"/>
              </w:rPr>
            </w:pPr>
            <w:r>
              <w:rPr>
                <w:rFonts w:ascii="Arial" w:hAnsi="Arial" w:cs="Arial"/>
                <w:b/>
                <w:bCs/>
                <w:sz w:val="16"/>
                <w:szCs w:val="16"/>
              </w:rPr>
              <w:lastRenderedPageBreak/>
              <w:t>ACHADO</w:t>
            </w:r>
          </w:p>
        </w:tc>
        <w:tc>
          <w:tcPr>
            <w:tcW w:w="752" w:type="pct"/>
            <w:vAlign w:val="center"/>
          </w:tcPr>
          <w:p w14:paraId="64579AF6" w14:textId="77777777" w:rsidR="00A75136" w:rsidRPr="00636B72" w:rsidRDefault="00A75136" w:rsidP="003A6734">
            <w:pPr>
              <w:autoSpaceDE w:val="0"/>
              <w:autoSpaceDN w:val="0"/>
              <w:adjustRightInd w:val="0"/>
              <w:spacing w:before="40" w:after="60"/>
              <w:jc w:val="center"/>
              <w:rPr>
                <w:rFonts w:ascii="Arial" w:hAnsi="Arial" w:cs="Arial"/>
                <w:b/>
                <w:bCs/>
                <w:sz w:val="16"/>
                <w:szCs w:val="16"/>
              </w:rPr>
            </w:pPr>
            <w:r>
              <w:rPr>
                <w:rFonts w:ascii="Arial" w:hAnsi="Arial" w:cs="Arial"/>
                <w:b/>
                <w:bCs/>
                <w:sz w:val="16"/>
                <w:szCs w:val="16"/>
              </w:rPr>
              <w:t>CRITÉRIO</w:t>
            </w:r>
          </w:p>
        </w:tc>
        <w:tc>
          <w:tcPr>
            <w:tcW w:w="752" w:type="pct"/>
            <w:vAlign w:val="center"/>
          </w:tcPr>
          <w:p w14:paraId="0FE0C036" w14:textId="77777777" w:rsidR="00A75136" w:rsidRPr="00636B72" w:rsidRDefault="00A75136" w:rsidP="003A6734">
            <w:pPr>
              <w:spacing w:before="40" w:after="60"/>
              <w:jc w:val="center"/>
              <w:rPr>
                <w:rFonts w:ascii="Arial" w:hAnsi="Arial" w:cs="Arial"/>
                <w:b/>
                <w:bCs/>
                <w:sz w:val="16"/>
                <w:szCs w:val="16"/>
              </w:rPr>
            </w:pPr>
            <w:r>
              <w:rPr>
                <w:rFonts w:ascii="Arial" w:hAnsi="Arial" w:cs="Arial"/>
                <w:b/>
                <w:bCs/>
                <w:sz w:val="16"/>
                <w:szCs w:val="16"/>
              </w:rPr>
              <w:t>EVIDÊNCIA</w:t>
            </w:r>
          </w:p>
        </w:tc>
        <w:tc>
          <w:tcPr>
            <w:tcW w:w="790" w:type="pct"/>
            <w:vAlign w:val="center"/>
          </w:tcPr>
          <w:p w14:paraId="3C3AA039" w14:textId="77777777" w:rsidR="00A75136" w:rsidRPr="00636B72" w:rsidRDefault="00A75136" w:rsidP="003A6734">
            <w:pPr>
              <w:spacing w:before="40" w:after="60"/>
              <w:jc w:val="center"/>
              <w:rPr>
                <w:rFonts w:ascii="Arial" w:hAnsi="Arial" w:cs="Arial"/>
                <w:b/>
                <w:bCs/>
                <w:strike/>
                <w:sz w:val="16"/>
                <w:szCs w:val="16"/>
              </w:rPr>
            </w:pPr>
            <w:r>
              <w:rPr>
                <w:rFonts w:ascii="Arial" w:hAnsi="Arial" w:cs="Arial"/>
                <w:b/>
                <w:bCs/>
                <w:sz w:val="16"/>
                <w:szCs w:val="16"/>
              </w:rPr>
              <w:t>CAUSA</w:t>
            </w:r>
          </w:p>
        </w:tc>
        <w:tc>
          <w:tcPr>
            <w:tcW w:w="711" w:type="pct"/>
            <w:vAlign w:val="center"/>
          </w:tcPr>
          <w:p w14:paraId="302184EC" w14:textId="77777777" w:rsidR="00A75136" w:rsidRPr="00636B72" w:rsidRDefault="00A75136" w:rsidP="003A6734">
            <w:pPr>
              <w:spacing w:before="40" w:after="60"/>
              <w:jc w:val="center"/>
              <w:rPr>
                <w:rFonts w:ascii="Arial" w:hAnsi="Arial" w:cs="Arial"/>
                <w:b/>
                <w:bCs/>
                <w:sz w:val="16"/>
                <w:szCs w:val="16"/>
              </w:rPr>
            </w:pPr>
            <w:r>
              <w:rPr>
                <w:rFonts w:ascii="Arial" w:hAnsi="Arial" w:cs="Arial"/>
                <w:b/>
                <w:bCs/>
                <w:sz w:val="16"/>
                <w:szCs w:val="16"/>
              </w:rPr>
              <w:t>EFEITO</w:t>
            </w:r>
          </w:p>
        </w:tc>
        <w:tc>
          <w:tcPr>
            <w:tcW w:w="1521" w:type="pct"/>
            <w:vAlign w:val="center"/>
          </w:tcPr>
          <w:p w14:paraId="10F51FE3" w14:textId="77777777" w:rsidR="00A75136" w:rsidRPr="00636B72" w:rsidRDefault="00A75136" w:rsidP="003A6734">
            <w:pPr>
              <w:spacing w:before="40" w:after="60"/>
              <w:jc w:val="center"/>
              <w:rPr>
                <w:rFonts w:ascii="Arial" w:hAnsi="Arial" w:cs="Arial"/>
                <w:b/>
                <w:bCs/>
                <w:sz w:val="16"/>
                <w:szCs w:val="16"/>
              </w:rPr>
            </w:pPr>
            <w:r>
              <w:rPr>
                <w:rFonts w:ascii="Arial" w:hAnsi="Arial" w:cs="Arial"/>
                <w:b/>
                <w:bCs/>
                <w:sz w:val="16"/>
                <w:szCs w:val="16"/>
              </w:rPr>
              <w:t>ENCAMINHAMENTO</w:t>
            </w:r>
          </w:p>
        </w:tc>
      </w:tr>
      <w:tr w:rsidR="00BF5DA1" w:rsidRPr="00636B72" w14:paraId="29650F8E" w14:textId="77777777" w:rsidTr="003A6734">
        <w:trPr>
          <w:trHeight w:val="300"/>
        </w:trPr>
        <w:tc>
          <w:tcPr>
            <w:tcW w:w="473" w:type="pct"/>
          </w:tcPr>
          <w:p w14:paraId="5643C359" w14:textId="77777777" w:rsidR="0033067B" w:rsidRDefault="00581C72">
            <w:pPr>
              <w:spacing w:after="60"/>
              <w:jc w:val="both"/>
              <w:rPr>
                <w:rFonts w:ascii="Arial" w:hAnsi="Arial" w:cs="Arial"/>
                <w:b/>
                <w:bCs/>
                <w:sz w:val="18"/>
                <w:szCs w:val="18"/>
              </w:rPr>
            </w:pPr>
            <w:r>
              <w:rPr>
                <w:rFonts w:ascii="Arial" w:hAnsi="Arial" w:cs="Arial"/>
                <w:b/>
                <w:bCs/>
                <w:sz w:val="18"/>
                <w:szCs w:val="18"/>
              </w:rPr>
              <w:t>ACHADO 04</w:t>
            </w:r>
          </w:p>
          <w:p w14:paraId="00AA0DD8" w14:textId="77777777" w:rsidR="0033067B" w:rsidRDefault="0033067B">
            <w:pPr>
              <w:spacing w:after="60"/>
              <w:jc w:val="both"/>
              <w:rPr>
                <w:rFonts w:ascii="Arial" w:hAnsi="Arial" w:cs="Arial"/>
                <w:b/>
                <w:bCs/>
                <w:sz w:val="18"/>
                <w:szCs w:val="18"/>
              </w:rPr>
            </w:pPr>
          </w:p>
          <w:p w14:paraId="16E1C926" w14:textId="77777777" w:rsidR="0033067B" w:rsidRDefault="00581C72">
            <w:pPr>
              <w:spacing w:after="60"/>
              <w:jc w:val="both"/>
              <w:rPr>
                <w:rFonts w:ascii="Arial" w:hAnsi="Arial" w:cs="Arial"/>
                <w:b/>
                <w:bCs/>
                <w:sz w:val="18"/>
                <w:szCs w:val="18"/>
              </w:rPr>
            </w:pPr>
            <w:r>
              <w:rPr>
                <w:rFonts w:ascii="Arial" w:eastAsia="Arial" w:hAnsi="Arial" w:cs="Arial"/>
                <w:sz w:val="18"/>
                <w:szCs w:val="18"/>
              </w:rPr>
              <w:t>Capacidade institucional insuficiente para sustentar a gestão de TIC e segurança da informação</w:t>
            </w:r>
          </w:p>
        </w:tc>
        <w:tc>
          <w:tcPr>
            <w:tcW w:w="752" w:type="pct"/>
          </w:tcPr>
          <w:p w14:paraId="6EEE7AB0" w14:textId="77777777" w:rsidR="0033067B" w:rsidRDefault="00581C72">
            <w:pPr>
              <w:jc w:val="both"/>
              <w:rPr>
                <w:rFonts w:ascii="Arial" w:hAnsi="Arial" w:cs="Arial"/>
                <w:sz w:val="18"/>
                <w:szCs w:val="18"/>
                <w:vertAlign w:val="superscript"/>
              </w:rPr>
            </w:pPr>
            <w:r>
              <w:rPr>
                <w:rFonts w:ascii="Arial" w:hAnsi="Arial" w:cs="Arial"/>
                <w:b/>
                <w:sz w:val="18"/>
                <w:szCs w:val="18"/>
              </w:rPr>
              <w:t>COBIT 2019, APO07.01 - Adquirir e manter pessoal adequado e apropriado:</w:t>
            </w:r>
            <w:r>
              <w:rPr>
                <w:rFonts w:ascii="Arial" w:hAnsi="Arial" w:cs="Arial"/>
                <w:sz w:val="18"/>
                <w:szCs w:val="18"/>
              </w:rPr>
              <w:t xml:space="preserve"> assegurar quantidade e perfil de profissionais compatíveis com as necessidades de TIC.</w:t>
            </w:r>
          </w:p>
          <w:p w14:paraId="4DE5AD02" w14:textId="77777777" w:rsidR="0033067B" w:rsidRDefault="0033067B">
            <w:pPr>
              <w:jc w:val="both"/>
              <w:rPr>
                <w:rFonts w:ascii="Arial" w:hAnsi="Arial" w:cs="Arial"/>
                <w:sz w:val="18"/>
                <w:szCs w:val="18"/>
                <w:vertAlign w:val="superscript"/>
              </w:rPr>
            </w:pPr>
          </w:p>
          <w:p w14:paraId="7F2AF9B8" w14:textId="77777777" w:rsidR="0033067B" w:rsidRDefault="00581C72">
            <w:pPr>
              <w:jc w:val="both"/>
              <w:rPr>
                <w:rFonts w:ascii="Arial" w:hAnsi="Arial" w:cs="Arial"/>
                <w:sz w:val="18"/>
                <w:szCs w:val="18"/>
                <w:vertAlign w:val="superscript"/>
              </w:rPr>
            </w:pPr>
            <w:r>
              <w:rPr>
                <w:rFonts w:ascii="Arial" w:hAnsi="Arial" w:cs="Arial"/>
                <w:b/>
                <w:sz w:val="18"/>
                <w:szCs w:val="18"/>
              </w:rPr>
              <w:t>COBIT 2019, APO07.05 - Planejar e monitorar o uso de recursos humanos de TI e de negócio:</w:t>
            </w:r>
            <w:r>
              <w:rPr>
                <w:rFonts w:ascii="Arial" w:hAnsi="Arial" w:cs="Arial"/>
                <w:sz w:val="18"/>
                <w:szCs w:val="18"/>
              </w:rPr>
              <w:t xml:space="preserve"> planejar, alocar e acompanhar capacidade de pessoal para iniciativas, operações e serviços de TIC.</w:t>
            </w:r>
          </w:p>
          <w:p w14:paraId="2EBAF970" w14:textId="77777777" w:rsidR="0033067B" w:rsidRDefault="0033067B">
            <w:pPr>
              <w:jc w:val="both"/>
              <w:rPr>
                <w:rFonts w:ascii="Arial" w:hAnsi="Arial" w:cs="Arial"/>
                <w:sz w:val="18"/>
                <w:szCs w:val="18"/>
                <w:vertAlign w:val="superscript"/>
              </w:rPr>
            </w:pPr>
          </w:p>
          <w:p w14:paraId="55FFFF40" w14:textId="77777777" w:rsidR="0033067B" w:rsidRDefault="00581C72">
            <w:pPr>
              <w:jc w:val="both"/>
              <w:rPr>
                <w:rFonts w:ascii="Arial" w:hAnsi="Arial" w:cs="Arial"/>
                <w:sz w:val="18"/>
                <w:szCs w:val="18"/>
                <w:vertAlign w:val="superscript"/>
              </w:rPr>
            </w:pPr>
            <w:r>
              <w:rPr>
                <w:rFonts w:ascii="Arial" w:hAnsi="Arial" w:cs="Arial"/>
                <w:b/>
                <w:sz w:val="18"/>
                <w:szCs w:val="18"/>
              </w:rPr>
              <w:t>ABNT NBR ISO/IEC 27001:</w:t>
            </w:r>
            <w:r>
              <w:rPr>
                <w:rFonts w:ascii="Arial" w:hAnsi="Arial" w:cs="Arial"/>
                <w:sz w:val="18"/>
                <w:szCs w:val="18"/>
              </w:rPr>
              <w:t xml:space="preserve"> 2022, cláusulas 5.3 e 7.2: definir responsabilidades e autoridades para segurança da informação e assegurar competências necessárias às funções atribuídas.</w:t>
            </w:r>
          </w:p>
          <w:p w14:paraId="58F0119D" w14:textId="77777777" w:rsidR="0033067B" w:rsidRDefault="0033067B">
            <w:pPr>
              <w:jc w:val="both"/>
              <w:rPr>
                <w:rFonts w:ascii="Arial" w:hAnsi="Arial" w:cs="Arial"/>
                <w:sz w:val="18"/>
                <w:szCs w:val="18"/>
                <w:vertAlign w:val="superscript"/>
              </w:rPr>
            </w:pPr>
          </w:p>
          <w:p w14:paraId="0CE0AC4C" w14:textId="77777777" w:rsidR="0033067B" w:rsidRDefault="00581C72">
            <w:pPr>
              <w:jc w:val="both"/>
              <w:rPr>
                <w:rFonts w:ascii="Arial" w:hAnsi="Arial" w:cs="Arial"/>
                <w:sz w:val="18"/>
                <w:szCs w:val="18"/>
                <w:vertAlign w:val="superscript"/>
              </w:rPr>
            </w:pPr>
            <w:r>
              <w:rPr>
                <w:rFonts w:ascii="Arial" w:hAnsi="Arial" w:cs="Arial"/>
                <w:b/>
                <w:sz w:val="18"/>
                <w:szCs w:val="18"/>
              </w:rPr>
              <w:t>COBIT 2019, APO01.05 - Estabelecer papéis e responsabilidades:</w:t>
            </w:r>
            <w:r>
              <w:rPr>
                <w:rFonts w:ascii="Arial" w:hAnsi="Arial" w:cs="Arial"/>
                <w:sz w:val="18"/>
                <w:szCs w:val="18"/>
              </w:rPr>
              <w:t xml:space="preserve"> definir, comunicar e manter papéis e responsabilidades relacionados à governança e gestão de TIC.</w:t>
            </w:r>
          </w:p>
          <w:p w14:paraId="223EA78B" w14:textId="77777777" w:rsidR="0033067B" w:rsidRDefault="0033067B">
            <w:pPr>
              <w:jc w:val="both"/>
              <w:rPr>
                <w:rFonts w:ascii="Arial" w:hAnsi="Arial" w:cs="Arial"/>
                <w:sz w:val="18"/>
                <w:szCs w:val="18"/>
                <w:vertAlign w:val="superscript"/>
              </w:rPr>
            </w:pPr>
          </w:p>
          <w:p w14:paraId="58AE415B" w14:textId="77777777" w:rsidR="0033067B" w:rsidRDefault="00581C72">
            <w:pPr>
              <w:jc w:val="both"/>
              <w:rPr>
                <w:rFonts w:ascii="Arial" w:hAnsi="Arial" w:cs="Arial"/>
                <w:sz w:val="18"/>
                <w:szCs w:val="18"/>
                <w:vertAlign w:val="superscript"/>
              </w:rPr>
            </w:pPr>
            <w:r>
              <w:rPr>
                <w:rFonts w:ascii="Arial" w:hAnsi="Arial" w:cs="Arial"/>
                <w:b/>
                <w:sz w:val="18"/>
                <w:szCs w:val="18"/>
              </w:rPr>
              <w:t>COBIT 2019, APO07.02 - Identificar pessoal-chave de TI:</w:t>
            </w:r>
            <w:r>
              <w:rPr>
                <w:rFonts w:ascii="Arial" w:hAnsi="Arial" w:cs="Arial"/>
                <w:sz w:val="18"/>
                <w:szCs w:val="18"/>
              </w:rPr>
              <w:t xml:space="preserve"> identificar funções e pessoas críticas para reduzir dependência individual, perda de conhecimento e descontinuidade.</w:t>
            </w:r>
          </w:p>
          <w:p w14:paraId="300E334D" w14:textId="77777777" w:rsidR="0033067B" w:rsidRDefault="0033067B">
            <w:pPr>
              <w:jc w:val="both"/>
              <w:rPr>
                <w:rFonts w:ascii="Arial" w:hAnsi="Arial" w:cs="Arial"/>
                <w:sz w:val="18"/>
                <w:szCs w:val="18"/>
                <w:vertAlign w:val="superscript"/>
              </w:rPr>
            </w:pPr>
          </w:p>
          <w:p w14:paraId="2BD2D263" w14:textId="77777777" w:rsidR="0033067B" w:rsidRDefault="00581C72">
            <w:pPr>
              <w:jc w:val="both"/>
              <w:rPr>
                <w:rFonts w:ascii="Arial" w:hAnsi="Arial" w:cs="Arial"/>
                <w:sz w:val="18"/>
                <w:szCs w:val="18"/>
                <w:vertAlign w:val="superscript"/>
              </w:rPr>
            </w:pPr>
            <w:r>
              <w:rPr>
                <w:rFonts w:ascii="Arial" w:hAnsi="Arial" w:cs="Arial"/>
                <w:b/>
                <w:sz w:val="18"/>
                <w:szCs w:val="18"/>
              </w:rPr>
              <w:t>COBIT 2019, APO07.03 - Manter habilidades e competências do pessoal:</w:t>
            </w:r>
            <w:r>
              <w:rPr>
                <w:rFonts w:ascii="Arial" w:hAnsi="Arial" w:cs="Arial"/>
                <w:sz w:val="18"/>
                <w:szCs w:val="18"/>
              </w:rPr>
              <w:t xml:space="preserve"> identificar, desenvolver e manter competências necessárias à execução das responsabilidades de TIC.</w:t>
            </w:r>
          </w:p>
          <w:p w14:paraId="51DDE965" w14:textId="77777777" w:rsidR="0033067B" w:rsidRDefault="0033067B">
            <w:pPr>
              <w:jc w:val="both"/>
              <w:rPr>
                <w:rFonts w:ascii="Arial" w:hAnsi="Arial" w:cs="Arial"/>
                <w:sz w:val="18"/>
                <w:szCs w:val="18"/>
                <w:vertAlign w:val="superscript"/>
              </w:rPr>
            </w:pPr>
          </w:p>
          <w:p w14:paraId="494FA1D4" w14:textId="77777777" w:rsidR="0033067B" w:rsidRDefault="00581C72">
            <w:pPr>
              <w:jc w:val="both"/>
              <w:rPr>
                <w:rFonts w:ascii="Arial" w:hAnsi="Arial" w:cs="Arial"/>
                <w:sz w:val="18"/>
                <w:szCs w:val="18"/>
                <w:vertAlign w:val="superscript"/>
              </w:rPr>
            </w:pPr>
            <w:r>
              <w:rPr>
                <w:rFonts w:ascii="Arial" w:hAnsi="Arial" w:cs="Arial"/>
                <w:b/>
                <w:sz w:val="18"/>
                <w:szCs w:val="18"/>
              </w:rPr>
              <w:t>ABNT NBR ISO/IEC 27002:</w:t>
            </w:r>
            <w:r>
              <w:rPr>
                <w:rFonts w:ascii="Arial" w:hAnsi="Arial" w:cs="Arial"/>
                <w:sz w:val="18"/>
                <w:szCs w:val="18"/>
              </w:rPr>
              <w:t xml:space="preserve"> 2022, controles 5.2 e 6.3: definir papéis e responsabilidades de segurança da informação e promover conscientização, educação e treinamento em segurança.</w:t>
            </w:r>
          </w:p>
          <w:p w14:paraId="0F002F90" w14:textId="77777777" w:rsidR="0033067B" w:rsidRDefault="0033067B">
            <w:pPr>
              <w:jc w:val="both"/>
              <w:rPr>
                <w:rFonts w:ascii="Arial" w:hAnsi="Arial" w:cs="Arial"/>
                <w:sz w:val="18"/>
                <w:szCs w:val="18"/>
                <w:vertAlign w:val="superscript"/>
              </w:rPr>
            </w:pPr>
          </w:p>
          <w:p w14:paraId="152D7038" w14:textId="77777777" w:rsidR="0033067B" w:rsidRDefault="00581C72">
            <w:pPr>
              <w:jc w:val="both"/>
              <w:rPr>
                <w:rFonts w:ascii="Arial" w:hAnsi="Arial" w:cs="Arial"/>
                <w:sz w:val="18"/>
                <w:szCs w:val="18"/>
                <w:vertAlign w:val="superscript"/>
              </w:rPr>
            </w:pPr>
            <w:r>
              <w:rPr>
                <w:rFonts w:ascii="Arial" w:hAnsi="Arial" w:cs="Arial"/>
                <w:b/>
                <w:sz w:val="18"/>
                <w:szCs w:val="18"/>
              </w:rPr>
              <w:t>COBIT 2019, APO07.06 - Gerenciar pessoal contratado:</w:t>
            </w:r>
            <w:r>
              <w:rPr>
                <w:rFonts w:ascii="Arial" w:hAnsi="Arial" w:cs="Arial"/>
                <w:sz w:val="18"/>
                <w:szCs w:val="18"/>
              </w:rPr>
              <w:t xml:space="preserve"> controlar o uso de pessoal terceirizado ou externo, preservando responsabilização, supervisão e retenção de conhecimento.</w:t>
            </w:r>
          </w:p>
          <w:p w14:paraId="0B36E412" w14:textId="77777777" w:rsidR="0033067B" w:rsidRDefault="0033067B">
            <w:pPr>
              <w:jc w:val="both"/>
              <w:rPr>
                <w:rFonts w:ascii="Arial" w:hAnsi="Arial" w:cs="Arial"/>
                <w:sz w:val="18"/>
                <w:szCs w:val="18"/>
                <w:vertAlign w:val="superscript"/>
              </w:rPr>
            </w:pPr>
          </w:p>
          <w:p w14:paraId="53D84434" w14:textId="77777777" w:rsidR="0033067B" w:rsidRDefault="00581C72">
            <w:pPr>
              <w:jc w:val="both"/>
              <w:rPr>
                <w:rFonts w:ascii="Arial" w:hAnsi="Arial" w:cs="Arial"/>
                <w:sz w:val="18"/>
                <w:szCs w:val="18"/>
                <w:vertAlign w:val="superscript"/>
              </w:rPr>
            </w:pPr>
            <w:r>
              <w:rPr>
                <w:rFonts w:ascii="Arial" w:hAnsi="Arial" w:cs="Arial"/>
                <w:b/>
                <w:sz w:val="18"/>
                <w:szCs w:val="18"/>
              </w:rPr>
              <w:t>COBIT 2019, APO10.04 - Gerenciar risco de fornecedores:</w:t>
            </w:r>
            <w:r>
              <w:rPr>
                <w:rFonts w:ascii="Arial" w:hAnsi="Arial" w:cs="Arial"/>
                <w:sz w:val="18"/>
                <w:szCs w:val="18"/>
              </w:rPr>
              <w:t xml:space="preserve"> identificar e tratar riscos decorrentes de fornecedores, contratos e dependências externas relevantes para TIC.</w:t>
            </w:r>
          </w:p>
          <w:p w14:paraId="2ABD6B8A" w14:textId="77777777" w:rsidR="0033067B" w:rsidRDefault="0033067B">
            <w:pPr>
              <w:jc w:val="both"/>
              <w:rPr>
                <w:rFonts w:ascii="Arial" w:hAnsi="Arial" w:cs="Arial"/>
                <w:sz w:val="18"/>
                <w:szCs w:val="18"/>
                <w:vertAlign w:val="superscript"/>
              </w:rPr>
            </w:pPr>
          </w:p>
          <w:p w14:paraId="3FD34F25" w14:textId="77777777" w:rsidR="0033067B" w:rsidRDefault="00581C72">
            <w:pPr>
              <w:jc w:val="both"/>
              <w:rPr>
                <w:rFonts w:ascii="Arial" w:hAnsi="Arial" w:cs="Arial"/>
                <w:sz w:val="18"/>
                <w:szCs w:val="18"/>
                <w:vertAlign w:val="superscript"/>
              </w:rPr>
            </w:pPr>
            <w:r>
              <w:rPr>
                <w:rFonts w:ascii="Arial" w:hAnsi="Arial" w:cs="Arial"/>
                <w:b/>
                <w:sz w:val="18"/>
                <w:szCs w:val="18"/>
              </w:rPr>
              <w:t>COBIT 2019, DSS01.02 - Gerenciar serviços de TI terceirizados:</w:t>
            </w:r>
            <w:r>
              <w:rPr>
                <w:rFonts w:ascii="Arial" w:hAnsi="Arial" w:cs="Arial"/>
                <w:sz w:val="18"/>
                <w:szCs w:val="18"/>
              </w:rPr>
              <w:t xml:space="preserve"> assegurar que serviços terceirizados sejam supervisionados, medidos e integrados aos controles da organização.</w:t>
            </w:r>
          </w:p>
        </w:tc>
        <w:tc>
          <w:tcPr>
            <w:tcW w:w="752" w:type="pct"/>
          </w:tcPr>
          <w:p w14:paraId="28901942" w14:textId="77777777" w:rsidR="0033067B" w:rsidRDefault="00581C72">
            <w:pPr>
              <w:spacing w:after="60"/>
              <w:jc w:val="both"/>
              <w:rPr>
                <w:rFonts w:ascii="Arial" w:hAnsi="Arial" w:cs="Arial"/>
                <w:sz w:val="18"/>
                <w:szCs w:val="18"/>
              </w:rPr>
            </w:pPr>
            <w:r>
              <w:rPr>
                <w:rFonts w:ascii="Arial" w:hAnsi="Arial" w:cs="Arial"/>
                <w:b/>
                <w:bCs/>
                <w:sz w:val="18"/>
                <w:szCs w:val="18"/>
              </w:rPr>
              <w:t>Respostas Questionário</w:t>
            </w:r>
            <w:r>
              <w:rPr>
                <w:rFonts w:ascii="Arial" w:hAnsi="Arial" w:cs="Arial"/>
                <w:sz w:val="18"/>
                <w:szCs w:val="18"/>
              </w:rPr>
              <w:t xml:space="preserve"> - Respostas e evidências anexadas ao questionário eletrônico iGovTI 2026, avaliadas conforme as regras de identificação previstas na matriz de planejamento.</w:t>
            </w:r>
          </w:p>
          <w:p w14:paraId="3B25B226" w14:textId="77777777" w:rsidR="0033067B" w:rsidRDefault="0033067B">
            <w:pPr>
              <w:spacing w:after="60"/>
              <w:jc w:val="both"/>
              <w:rPr>
                <w:rFonts w:ascii="Arial" w:hAnsi="Arial" w:cs="Arial"/>
                <w:sz w:val="18"/>
                <w:szCs w:val="18"/>
              </w:rPr>
            </w:pPr>
          </w:p>
          <w:p w14:paraId="303025FC" w14:textId="77777777" w:rsidR="0033067B" w:rsidRDefault="00581C72">
            <w:pPr>
              <w:spacing w:after="60"/>
              <w:jc w:val="both"/>
              <w:rPr>
                <w:rFonts w:ascii="Arial" w:hAnsi="Arial" w:cs="Arial"/>
                <w:sz w:val="18"/>
                <w:szCs w:val="18"/>
              </w:rPr>
            </w:pPr>
            <w:r>
              <w:rPr>
                <w:rFonts w:ascii="Arial" w:hAnsi="Arial" w:cs="Arial"/>
                <w:sz w:val="18"/>
                <w:szCs w:val="18"/>
              </w:rPr>
              <w:t>a) Quantitativo declarado igual a zero para profissionais de TIC ou segurança da informação, ou incompatível com a estrutura de TIC declarada pela organização.</w:t>
            </w:r>
          </w:p>
          <w:p w14:paraId="422E07A4" w14:textId="77777777" w:rsidR="0033067B" w:rsidRDefault="00581C72">
            <w:pPr>
              <w:spacing w:after="60"/>
              <w:jc w:val="both"/>
              <w:rPr>
                <w:rFonts w:ascii="Arial" w:hAnsi="Arial" w:cs="Arial"/>
                <w:sz w:val="18"/>
                <w:szCs w:val="18"/>
              </w:rPr>
            </w:pPr>
            <w:r>
              <w:rPr>
                <w:rFonts w:ascii="Arial" w:hAnsi="Arial" w:cs="Arial"/>
                <w:sz w:val="18"/>
                <w:szCs w:val="18"/>
              </w:rPr>
              <w:t>b) Resposta negativa ou insuficiente sobre definição do quantitativo necessário de pessoal de TIC e segurança da informação, ou evidência inexistente/incompatível/insuficiente.</w:t>
            </w:r>
          </w:p>
          <w:p w14:paraId="7AE80946" w14:textId="77777777" w:rsidR="0033067B" w:rsidRDefault="00581C72">
            <w:pPr>
              <w:spacing w:after="60"/>
              <w:jc w:val="both"/>
              <w:rPr>
                <w:rFonts w:ascii="Arial" w:hAnsi="Arial" w:cs="Arial"/>
                <w:sz w:val="18"/>
                <w:szCs w:val="18"/>
              </w:rPr>
            </w:pPr>
            <w:r>
              <w:rPr>
                <w:rFonts w:ascii="Arial" w:hAnsi="Arial" w:cs="Arial"/>
                <w:sz w:val="18"/>
                <w:szCs w:val="18"/>
              </w:rPr>
              <w:t>c) Resposta negativa sobre existência de cargos específicos em TIC e segurança da informação.</w:t>
            </w:r>
          </w:p>
          <w:p w14:paraId="32B8B572" w14:textId="77777777" w:rsidR="0033067B" w:rsidRDefault="00581C72">
            <w:pPr>
              <w:spacing w:after="60"/>
              <w:jc w:val="both"/>
              <w:rPr>
                <w:rFonts w:ascii="Arial" w:hAnsi="Arial" w:cs="Arial"/>
                <w:sz w:val="18"/>
                <w:szCs w:val="18"/>
              </w:rPr>
            </w:pPr>
            <w:r>
              <w:rPr>
                <w:rFonts w:ascii="Arial" w:hAnsi="Arial" w:cs="Arial"/>
                <w:sz w:val="18"/>
                <w:szCs w:val="18"/>
              </w:rPr>
              <w:t>d) Resposta negativa ou insuficiente sobre perfis profissionais definidos para gestores ou colaboradores de TIC e segurança da informação, ou evidência inexistente/incompatível/insuficiente.</w:t>
            </w:r>
          </w:p>
          <w:p w14:paraId="7315A95B" w14:textId="77777777" w:rsidR="0033067B" w:rsidRDefault="00581C72">
            <w:pPr>
              <w:spacing w:after="60"/>
              <w:jc w:val="both"/>
              <w:rPr>
                <w:rFonts w:ascii="Arial" w:hAnsi="Arial" w:cs="Arial"/>
                <w:sz w:val="18"/>
                <w:szCs w:val="18"/>
              </w:rPr>
            </w:pPr>
            <w:r>
              <w:rPr>
                <w:rFonts w:ascii="Arial" w:hAnsi="Arial" w:cs="Arial"/>
                <w:sz w:val="18"/>
                <w:szCs w:val="18"/>
              </w:rPr>
              <w:t>e) Resposta negativa ou insuficiente sobre escolha de gestores segundo perfis profissionais definidos, ou evidência inexistente/incompatível/insuficiente.</w:t>
            </w:r>
          </w:p>
          <w:p w14:paraId="210F0B2F" w14:textId="77777777" w:rsidR="0033067B" w:rsidRDefault="00581C72">
            <w:pPr>
              <w:spacing w:after="60"/>
              <w:jc w:val="both"/>
              <w:rPr>
                <w:rFonts w:ascii="Arial" w:hAnsi="Arial" w:cs="Arial"/>
                <w:sz w:val="18"/>
                <w:szCs w:val="18"/>
              </w:rPr>
            </w:pPr>
            <w:r>
              <w:rPr>
                <w:rFonts w:ascii="Arial" w:hAnsi="Arial" w:cs="Arial"/>
                <w:sz w:val="18"/>
                <w:szCs w:val="18"/>
              </w:rPr>
              <w:t>f) Resposta negativa ou insuficiente sobre identificação ou tratamento de lacunas de competências, ou evidência inexistente/incompatível/insuficiente.</w:t>
            </w:r>
          </w:p>
          <w:p w14:paraId="592CDF1E" w14:textId="77777777" w:rsidR="0033067B" w:rsidRDefault="00581C72">
            <w:pPr>
              <w:spacing w:after="60"/>
              <w:jc w:val="both"/>
              <w:rPr>
                <w:rFonts w:ascii="Arial" w:hAnsi="Arial" w:cs="Arial"/>
                <w:sz w:val="18"/>
                <w:szCs w:val="18"/>
              </w:rPr>
            </w:pPr>
            <w:r>
              <w:rPr>
                <w:rFonts w:ascii="Arial" w:hAnsi="Arial" w:cs="Arial"/>
                <w:sz w:val="18"/>
                <w:szCs w:val="18"/>
              </w:rPr>
              <w:t>g) Evidência, a partir das respostas e anexos do questionário, de dependência excessiva de terceiros em atividades críticas sem capacidade interna suficiente de coordenação, fiscalização ou retenção de conhecimento.</w:t>
            </w:r>
          </w:p>
        </w:tc>
        <w:tc>
          <w:tcPr>
            <w:tcW w:w="790" w:type="pct"/>
          </w:tcPr>
          <w:p w14:paraId="297861F5" w14:textId="77777777" w:rsidR="0033067B" w:rsidRDefault="00581C72">
            <w:pPr>
              <w:jc w:val="both"/>
              <w:rPr>
                <w:rFonts w:ascii="Arial" w:hAnsi="Arial" w:cs="Arial"/>
                <w:sz w:val="18"/>
                <w:szCs w:val="18"/>
              </w:rPr>
            </w:pPr>
            <w:r>
              <w:rPr>
                <w:rFonts w:ascii="Arial" w:hAnsi="Arial" w:cs="Arial"/>
                <w:b/>
                <w:bCs/>
                <w:sz w:val="18"/>
                <w:szCs w:val="18"/>
              </w:rPr>
              <w:t>Não investigada.</w:t>
            </w:r>
          </w:p>
        </w:tc>
        <w:tc>
          <w:tcPr>
            <w:tcW w:w="711" w:type="pct"/>
          </w:tcPr>
          <w:p w14:paraId="0A52C89A" w14:textId="77777777" w:rsidR="0033067B" w:rsidRDefault="00581C72">
            <w:pPr>
              <w:jc w:val="both"/>
              <w:rPr>
                <w:rFonts w:ascii="Arial" w:hAnsi="Arial" w:cs="Arial"/>
                <w:sz w:val="18"/>
                <w:szCs w:val="18"/>
              </w:rPr>
            </w:pPr>
            <w:r>
              <w:rPr>
                <w:rFonts w:ascii="Arial" w:hAnsi="Arial" w:cs="Arial"/>
                <w:b/>
                <w:sz w:val="18"/>
                <w:szCs w:val="18"/>
              </w:rPr>
              <w:t>Capacidade operacional insuficiente:</w:t>
            </w:r>
            <w:r>
              <w:rPr>
                <w:rFonts w:ascii="Arial" w:hAnsi="Arial" w:cs="Arial"/>
                <w:sz w:val="18"/>
                <w:szCs w:val="18"/>
              </w:rPr>
              <w:t xml:space="preserve"> Falta de força de trabalho mínima limita a capacidade de planejar, gerir, proteger, contratar, fiscalizar e sustentar serviços de TIC e segurança da informação.</w:t>
            </w:r>
          </w:p>
          <w:p w14:paraId="24E67232" w14:textId="77777777" w:rsidR="0033067B" w:rsidRDefault="0033067B">
            <w:pPr>
              <w:jc w:val="both"/>
              <w:rPr>
                <w:rFonts w:ascii="Arial" w:hAnsi="Arial" w:cs="Arial"/>
                <w:sz w:val="18"/>
                <w:szCs w:val="18"/>
              </w:rPr>
            </w:pPr>
          </w:p>
          <w:p w14:paraId="37B7AF1F" w14:textId="77777777" w:rsidR="0033067B" w:rsidRDefault="00581C72">
            <w:pPr>
              <w:jc w:val="both"/>
              <w:rPr>
                <w:rFonts w:ascii="Arial" w:hAnsi="Arial" w:cs="Arial"/>
                <w:sz w:val="18"/>
                <w:szCs w:val="18"/>
              </w:rPr>
            </w:pPr>
            <w:r>
              <w:rPr>
                <w:rFonts w:ascii="Arial" w:hAnsi="Arial" w:cs="Arial"/>
                <w:b/>
                <w:sz w:val="18"/>
                <w:szCs w:val="18"/>
              </w:rPr>
              <w:t>Dimensionamento inadequado da equipe:</w:t>
            </w:r>
            <w:r>
              <w:rPr>
                <w:rFonts w:ascii="Arial" w:hAnsi="Arial" w:cs="Arial"/>
                <w:sz w:val="18"/>
                <w:szCs w:val="18"/>
              </w:rPr>
              <w:t xml:space="preserve"> Inexistência de estimativa do quantitativo necessário dificulta justificar a alocação de pessoal e priorizar reforços de capacidade.</w:t>
            </w:r>
          </w:p>
          <w:p w14:paraId="1CC612A1" w14:textId="77777777" w:rsidR="0033067B" w:rsidRDefault="0033067B">
            <w:pPr>
              <w:jc w:val="both"/>
              <w:rPr>
                <w:rFonts w:ascii="Arial" w:hAnsi="Arial" w:cs="Arial"/>
                <w:sz w:val="18"/>
                <w:szCs w:val="18"/>
              </w:rPr>
            </w:pPr>
          </w:p>
          <w:p w14:paraId="75C56035" w14:textId="77777777" w:rsidR="0033067B" w:rsidRDefault="00581C72">
            <w:pPr>
              <w:jc w:val="both"/>
              <w:rPr>
                <w:rFonts w:ascii="Arial" w:hAnsi="Arial" w:cs="Arial"/>
                <w:sz w:val="18"/>
                <w:szCs w:val="18"/>
              </w:rPr>
            </w:pPr>
            <w:r>
              <w:rPr>
                <w:rFonts w:ascii="Arial" w:hAnsi="Arial" w:cs="Arial"/>
                <w:b/>
                <w:sz w:val="18"/>
                <w:szCs w:val="18"/>
              </w:rPr>
              <w:t>Fragilidade na profissionalização da TIC:</w:t>
            </w:r>
            <w:r>
              <w:rPr>
                <w:rFonts w:ascii="Arial" w:hAnsi="Arial" w:cs="Arial"/>
                <w:sz w:val="18"/>
                <w:szCs w:val="18"/>
              </w:rPr>
              <w:t xml:space="preserve"> Ausência de cargos, funções, perfis ou ocupações específicas dificulta atrair, selecionar e responsabilizar profissionais com competências adequadas.</w:t>
            </w:r>
          </w:p>
          <w:p w14:paraId="3008DA86" w14:textId="77777777" w:rsidR="0033067B" w:rsidRDefault="0033067B">
            <w:pPr>
              <w:jc w:val="both"/>
              <w:rPr>
                <w:rFonts w:ascii="Arial" w:hAnsi="Arial" w:cs="Arial"/>
                <w:sz w:val="18"/>
                <w:szCs w:val="18"/>
              </w:rPr>
            </w:pPr>
          </w:p>
          <w:p w14:paraId="5EB41787" w14:textId="77777777" w:rsidR="0033067B" w:rsidRDefault="00581C72">
            <w:pPr>
              <w:jc w:val="both"/>
              <w:rPr>
                <w:rFonts w:ascii="Arial" w:hAnsi="Arial" w:cs="Arial"/>
                <w:sz w:val="18"/>
                <w:szCs w:val="18"/>
              </w:rPr>
            </w:pPr>
            <w:r>
              <w:rPr>
                <w:rFonts w:ascii="Arial" w:hAnsi="Arial" w:cs="Arial"/>
                <w:b/>
                <w:sz w:val="18"/>
                <w:szCs w:val="18"/>
              </w:rPr>
              <w:t>Escolha de gestores sem critérios técnicos:</w:t>
            </w:r>
            <w:r>
              <w:rPr>
                <w:rFonts w:ascii="Arial" w:hAnsi="Arial" w:cs="Arial"/>
                <w:sz w:val="18"/>
                <w:szCs w:val="18"/>
              </w:rPr>
              <w:t xml:space="preserve"> Perfis profissionais inexistentes, insuficientes ou não utilizados reduzem a aderência entre responsabilidades de TIC e competências dos designados.</w:t>
            </w:r>
          </w:p>
          <w:p w14:paraId="3DF76F82" w14:textId="77777777" w:rsidR="0033067B" w:rsidRDefault="0033067B">
            <w:pPr>
              <w:jc w:val="both"/>
              <w:rPr>
                <w:rFonts w:ascii="Arial" w:hAnsi="Arial" w:cs="Arial"/>
                <w:sz w:val="18"/>
                <w:szCs w:val="18"/>
              </w:rPr>
            </w:pPr>
          </w:p>
          <w:p w14:paraId="587DA36B" w14:textId="77777777" w:rsidR="0033067B" w:rsidRDefault="00581C72">
            <w:pPr>
              <w:jc w:val="both"/>
              <w:rPr>
                <w:rFonts w:ascii="Arial" w:hAnsi="Arial" w:cs="Arial"/>
                <w:sz w:val="18"/>
                <w:szCs w:val="18"/>
              </w:rPr>
            </w:pPr>
            <w:r>
              <w:rPr>
                <w:rFonts w:ascii="Arial" w:hAnsi="Arial" w:cs="Arial"/>
                <w:b/>
                <w:sz w:val="18"/>
                <w:szCs w:val="18"/>
              </w:rPr>
              <w:t>Lacunas de competência não tratadas:</w:t>
            </w:r>
            <w:r>
              <w:rPr>
                <w:rFonts w:ascii="Arial" w:hAnsi="Arial" w:cs="Arial"/>
                <w:sz w:val="18"/>
                <w:szCs w:val="18"/>
              </w:rPr>
              <w:t xml:space="preserve"> Ausência de diagnóstico e plano de tratamento mantém dependências críticas e reduz a qualidade da gestão e da fiscalização das atividades de TIC.</w:t>
            </w:r>
          </w:p>
          <w:p w14:paraId="66F32DDD" w14:textId="77777777" w:rsidR="0033067B" w:rsidRDefault="0033067B">
            <w:pPr>
              <w:jc w:val="both"/>
              <w:rPr>
                <w:rFonts w:ascii="Arial" w:hAnsi="Arial" w:cs="Arial"/>
                <w:sz w:val="18"/>
                <w:szCs w:val="18"/>
              </w:rPr>
            </w:pPr>
          </w:p>
          <w:p w14:paraId="1A336A01" w14:textId="77777777" w:rsidR="0033067B" w:rsidRDefault="00581C72">
            <w:pPr>
              <w:jc w:val="both"/>
              <w:rPr>
                <w:rFonts w:ascii="Arial" w:hAnsi="Arial" w:cs="Arial"/>
                <w:sz w:val="18"/>
                <w:szCs w:val="18"/>
              </w:rPr>
            </w:pPr>
            <w:r>
              <w:rPr>
                <w:rFonts w:ascii="Arial" w:hAnsi="Arial" w:cs="Arial"/>
                <w:b/>
                <w:sz w:val="18"/>
                <w:szCs w:val="18"/>
              </w:rPr>
              <w:t>Dependência excessiva de terceiros:</w:t>
            </w:r>
            <w:r>
              <w:rPr>
                <w:rFonts w:ascii="Arial" w:hAnsi="Arial" w:cs="Arial"/>
                <w:sz w:val="18"/>
                <w:szCs w:val="18"/>
              </w:rPr>
              <w:t xml:space="preserve"> Modelo de operação terceirizado ou externo sem capacidade interna mínima compromete coordenação, aprovação técnica, fiscalização, decisão e retenção de conhecimento.</w:t>
            </w:r>
          </w:p>
        </w:tc>
        <w:tc>
          <w:tcPr>
            <w:tcW w:w="1521" w:type="pct"/>
          </w:tcPr>
          <w:p w14:paraId="41765F5C" w14:textId="77777777" w:rsidR="0033067B" w:rsidRDefault="00581C72">
            <w:pPr>
              <w:jc w:val="both"/>
              <w:rPr>
                <w:rFonts w:ascii="Arial" w:hAnsi="Arial" w:cs="Arial"/>
                <w:sz w:val="18"/>
                <w:szCs w:val="18"/>
              </w:rPr>
            </w:pPr>
            <w:r>
              <w:rPr>
                <w:rFonts w:ascii="Arial" w:hAnsi="Arial" w:cs="Arial"/>
                <w:b/>
                <w:bCs/>
                <w:sz w:val="18"/>
                <w:szCs w:val="18"/>
                <w:u w:val="single"/>
              </w:rPr>
              <w:t>Comunicação com Recomendação</w:t>
            </w:r>
            <w:r>
              <w:rPr>
                <w:rFonts w:ascii="Arial" w:hAnsi="Arial" w:cs="Arial"/>
                <w:sz w:val="18"/>
                <w:szCs w:val="18"/>
              </w:rPr>
              <w:t xml:space="preserve"> para que avalie a força de trabalho dedicada à TIC e à segurança da informação e adote medidas proporcionais para assegurar capacidade mínima de planejamento, gestão, proteção, contratação, fiscalização e sustentação dos serviços e ativos de TIC.</w:t>
            </w:r>
          </w:p>
          <w:p w14:paraId="753532B2" w14:textId="77777777" w:rsidR="0033067B" w:rsidRDefault="0033067B">
            <w:pPr>
              <w:jc w:val="both"/>
              <w:rPr>
                <w:rFonts w:ascii="Arial" w:hAnsi="Arial" w:cs="Arial"/>
                <w:sz w:val="18"/>
                <w:szCs w:val="18"/>
              </w:rPr>
            </w:pPr>
          </w:p>
          <w:p w14:paraId="14E6D48C" w14:textId="77777777" w:rsidR="0033067B" w:rsidRDefault="00581C72">
            <w:pPr>
              <w:jc w:val="both"/>
              <w:rPr>
                <w:rFonts w:ascii="Arial" w:hAnsi="Arial" w:cs="Arial"/>
                <w:sz w:val="18"/>
                <w:szCs w:val="18"/>
              </w:rPr>
            </w:pPr>
            <w:r>
              <w:rPr>
                <w:rFonts w:ascii="Arial" w:hAnsi="Arial" w:cs="Arial"/>
                <w:b/>
                <w:bCs/>
                <w:sz w:val="18"/>
                <w:szCs w:val="18"/>
                <w:u w:val="single"/>
              </w:rPr>
              <w:t>Comunicação com Recomendação</w:t>
            </w:r>
            <w:r>
              <w:rPr>
                <w:rFonts w:ascii="Arial" w:hAnsi="Arial" w:cs="Arial"/>
                <w:sz w:val="18"/>
                <w:szCs w:val="18"/>
              </w:rPr>
              <w:t xml:space="preserve"> para que estime e mantenha atualizado o quantitativo necessário de pessoal de TIC e segurança da informação, considerando o porte e a complexidade da organização, os serviços críticos, os sistemas mantidos, as contratações vigentes e os riscos relevantes.</w:t>
            </w:r>
          </w:p>
          <w:p w14:paraId="7674B854" w14:textId="77777777" w:rsidR="0033067B" w:rsidRDefault="0033067B">
            <w:pPr>
              <w:jc w:val="both"/>
              <w:rPr>
                <w:rFonts w:ascii="Arial" w:hAnsi="Arial" w:cs="Arial"/>
                <w:sz w:val="18"/>
                <w:szCs w:val="18"/>
              </w:rPr>
            </w:pPr>
          </w:p>
          <w:p w14:paraId="76D05491" w14:textId="77777777" w:rsidR="0033067B" w:rsidRDefault="00581C72">
            <w:pPr>
              <w:jc w:val="both"/>
              <w:rPr>
                <w:rFonts w:ascii="Arial" w:hAnsi="Arial" w:cs="Arial"/>
                <w:sz w:val="18"/>
                <w:szCs w:val="18"/>
              </w:rPr>
            </w:pPr>
            <w:r>
              <w:rPr>
                <w:rFonts w:ascii="Arial" w:hAnsi="Arial" w:cs="Arial"/>
                <w:b/>
                <w:bCs/>
                <w:sz w:val="18"/>
                <w:szCs w:val="18"/>
                <w:u w:val="single"/>
              </w:rPr>
              <w:t>Comunicação com Recomendação</w:t>
            </w:r>
            <w:r>
              <w:rPr>
                <w:rFonts w:ascii="Arial" w:hAnsi="Arial" w:cs="Arial"/>
                <w:sz w:val="18"/>
                <w:szCs w:val="18"/>
              </w:rPr>
              <w:t xml:space="preserve"> para que avalie a necessidade de instituir cargos, funções, gratificações, perfis ou ocupações específicas de TIC e segurança da informação e adote a solução compatível com as necessidades institucionais e a capacidade administrativa da organização.</w:t>
            </w:r>
          </w:p>
          <w:p w14:paraId="314927CD" w14:textId="77777777" w:rsidR="0033067B" w:rsidRDefault="0033067B">
            <w:pPr>
              <w:jc w:val="both"/>
              <w:rPr>
                <w:rFonts w:ascii="Arial" w:hAnsi="Arial" w:cs="Arial"/>
                <w:sz w:val="18"/>
                <w:szCs w:val="18"/>
              </w:rPr>
            </w:pPr>
          </w:p>
          <w:p w14:paraId="5E88B751" w14:textId="77777777" w:rsidR="0033067B" w:rsidRDefault="00581C72">
            <w:pPr>
              <w:jc w:val="both"/>
              <w:rPr>
                <w:rFonts w:ascii="Arial" w:hAnsi="Arial" w:cs="Arial"/>
                <w:sz w:val="18"/>
                <w:szCs w:val="18"/>
              </w:rPr>
            </w:pPr>
            <w:r>
              <w:rPr>
                <w:rFonts w:ascii="Arial" w:hAnsi="Arial" w:cs="Arial"/>
                <w:b/>
                <w:bCs/>
                <w:sz w:val="18"/>
                <w:szCs w:val="18"/>
                <w:u w:val="single"/>
              </w:rPr>
              <w:t>Comunicação com Recomendação</w:t>
            </w:r>
            <w:r>
              <w:rPr>
                <w:rFonts w:ascii="Arial" w:hAnsi="Arial" w:cs="Arial"/>
                <w:sz w:val="18"/>
                <w:szCs w:val="18"/>
              </w:rPr>
              <w:t xml:space="preserve"> para que defina perfis profissionais mínimos para gestores e colaboradores de TIC e segurança da informação, atentando-se, minimamente, em estabelecer conhecimentos, habilidades, experiência e responsabilidades requeridos e utilizar esses perfis na seleção e designação dos responsáveis.</w:t>
            </w:r>
          </w:p>
          <w:p w14:paraId="3DED8215" w14:textId="77777777" w:rsidR="0033067B" w:rsidRDefault="0033067B">
            <w:pPr>
              <w:jc w:val="both"/>
              <w:rPr>
                <w:rFonts w:ascii="Arial" w:hAnsi="Arial" w:cs="Arial"/>
                <w:sz w:val="18"/>
                <w:szCs w:val="18"/>
              </w:rPr>
            </w:pPr>
          </w:p>
          <w:p w14:paraId="5BA4296F" w14:textId="77777777" w:rsidR="0033067B" w:rsidRDefault="00581C72">
            <w:pPr>
              <w:jc w:val="both"/>
              <w:rPr>
                <w:rFonts w:ascii="Arial" w:hAnsi="Arial" w:cs="Arial"/>
                <w:sz w:val="18"/>
                <w:szCs w:val="18"/>
              </w:rPr>
            </w:pPr>
            <w:r>
              <w:rPr>
                <w:rFonts w:ascii="Arial" w:hAnsi="Arial" w:cs="Arial"/>
                <w:b/>
                <w:bCs/>
                <w:sz w:val="18"/>
                <w:szCs w:val="18"/>
                <w:u w:val="single"/>
              </w:rPr>
              <w:t>Comunicação com Recomendação</w:t>
            </w:r>
            <w:r>
              <w:rPr>
                <w:rFonts w:ascii="Arial" w:hAnsi="Arial" w:cs="Arial"/>
                <w:sz w:val="18"/>
                <w:szCs w:val="18"/>
              </w:rPr>
              <w:t xml:space="preserve"> para que realize diagnóstico periódico das lacunas de competências dos gestores e colaboradores de TIC e segurança da informação e estabeleça plano de tratamento, contemplando, conforme a necessidade, capacitação, realocação, provimento, apoio especializado, compartilhamento de estrutura ou contratação com transferência de conhecimento.</w:t>
            </w:r>
          </w:p>
          <w:p w14:paraId="43D65DF1" w14:textId="77777777" w:rsidR="0033067B" w:rsidRDefault="0033067B">
            <w:pPr>
              <w:jc w:val="both"/>
              <w:rPr>
                <w:rFonts w:ascii="Arial" w:hAnsi="Arial" w:cs="Arial"/>
                <w:sz w:val="18"/>
                <w:szCs w:val="18"/>
              </w:rPr>
            </w:pPr>
          </w:p>
          <w:p w14:paraId="11DEBF7E" w14:textId="77777777" w:rsidR="0033067B" w:rsidRDefault="00581C72">
            <w:pPr>
              <w:jc w:val="both"/>
              <w:rPr>
                <w:rFonts w:ascii="Arial" w:hAnsi="Arial" w:cs="Arial"/>
                <w:sz w:val="18"/>
                <w:szCs w:val="18"/>
              </w:rPr>
            </w:pPr>
            <w:r>
              <w:rPr>
                <w:rFonts w:ascii="Arial" w:hAnsi="Arial" w:cs="Arial"/>
                <w:b/>
                <w:bCs/>
                <w:sz w:val="18"/>
                <w:szCs w:val="18"/>
                <w:u w:val="single"/>
              </w:rPr>
              <w:t>Comunicação com Recomendação</w:t>
            </w:r>
            <w:r>
              <w:rPr>
                <w:rFonts w:ascii="Arial" w:hAnsi="Arial" w:cs="Arial"/>
                <w:sz w:val="18"/>
                <w:szCs w:val="18"/>
              </w:rPr>
              <w:t xml:space="preserve"> para que avalie o modelo de operação de TIC e adote medidas para assegurar capacidade interna mínima de coordenação, planejamento, aprovação técnica, fiscalização contratual, tomada de decisão e retenção de conhecimento, especialmente quando a execução das atividades de TIC depender predominantemente de terceiros ou de estrutura externa.</w:t>
            </w:r>
          </w:p>
        </w:tc>
      </w:tr>
    </w:tbl>
    <w:p w14:paraId="251278B4" w14:textId="77777777" w:rsidR="00F44088" w:rsidRDefault="00F44088" w:rsidP="001E6730">
      <w:pPr>
        <w:jc w:val="center"/>
        <w:rPr>
          <w:rFonts w:ascii="Arial" w:hAnsi="Arial" w:cs="Arial"/>
          <w:b/>
        </w:rPr>
      </w:pPr>
    </w:p>
    <w:p w14:paraId="50AD5B1F" w14:textId="77777777" w:rsidR="00F44088" w:rsidRDefault="00F44088">
      <w:pPr>
        <w:spacing w:after="160" w:line="259" w:lineRule="auto"/>
        <w:rPr>
          <w:rFonts w:ascii="Arial" w:hAnsi="Arial" w:cs="Arial"/>
          <w:b/>
        </w:rPr>
      </w:pPr>
      <w:r>
        <w:rPr>
          <w:rFonts w:ascii="Arial" w:hAnsi="Arial" w:cs="Arial"/>
          <w:b/>
        </w:rPr>
        <w:br w:type="page"/>
      </w:r>
    </w:p>
    <w:tbl>
      <w:tblPr>
        <w:tblStyle w:val="Tabelacomgrad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6"/>
        <w:gridCol w:w="3364"/>
        <w:gridCol w:w="3364"/>
        <w:gridCol w:w="3534"/>
        <w:gridCol w:w="3179"/>
        <w:gridCol w:w="6801"/>
      </w:tblGrid>
      <w:tr w:rsidR="00F44088" w:rsidRPr="00636B72" w14:paraId="0296F3EF" w14:textId="77777777" w:rsidTr="003A6734">
        <w:trPr>
          <w:trHeight w:val="300"/>
          <w:tblHeader/>
        </w:trPr>
        <w:tc>
          <w:tcPr>
            <w:tcW w:w="473" w:type="pct"/>
          </w:tcPr>
          <w:p w14:paraId="258D83EA" w14:textId="77777777" w:rsidR="00F44088" w:rsidRPr="00636B72" w:rsidRDefault="00F44088" w:rsidP="003A6734">
            <w:pPr>
              <w:autoSpaceDE w:val="0"/>
              <w:autoSpaceDN w:val="0"/>
              <w:adjustRightInd w:val="0"/>
              <w:spacing w:before="40" w:after="60"/>
              <w:jc w:val="center"/>
              <w:rPr>
                <w:rFonts w:ascii="Arial" w:hAnsi="Arial" w:cs="Arial"/>
                <w:b/>
                <w:bCs/>
                <w:sz w:val="16"/>
                <w:szCs w:val="16"/>
              </w:rPr>
            </w:pPr>
            <w:r>
              <w:rPr>
                <w:rFonts w:ascii="Arial" w:hAnsi="Arial" w:cs="Arial"/>
                <w:b/>
                <w:bCs/>
                <w:sz w:val="16"/>
                <w:szCs w:val="16"/>
              </w:rPr>
              <w:lastRenderedPageBreak/>
              <w:t>ACHADO</w:t>
            </w:r>
          </w:p>
        </w:tc>
        <w:tc>
          <w:tcPr>
            <w:tcW w:w="752" w:type="pct"/>
            <w:vAlign w:val="center"/>
          </w:tcPr>
          <w:p w14:paraId="410A5EB5" w14:textId="77777777" w:rsidR="00F44088" w:rsidRPr="00636B72" w:rsidRDefault="00F44088" w:rsidP="003A6734">
            <w:pPr>
              <w:autoSpaceDE w:val="0"/>
              <w:autoSpaceDN w:val="0"/>
              <w:adjustRightInd w:val="0"/>
              <w:spacing w:before="40" w:after="60"/>
              <w:jc w:val="center"/>
              <w:rPr>
                <w:rFonts w:ascii="Arial" w:hAnsi="Arial" w:cs="Arial"/>
                <w:b/>
                <w:bCs/>
                <w:sz w:val="16"/>
                <w:szCs w:val="16"/>
              </w:rPr>
            </w:pPr>
            <w:r>
              <w:rPr>
                <w:rFonts w:ascii="Arial" w:hAnsi="Arial" w:cs="Arial"/>
                <w:b/>
                <w:bCs/>
                <w:sz w:val="16"/>
                <w:szCs w:val="16"/>
              </w:rPr>
              <w:t>CRITÉRIO</w:t>
            </w:r>
          </w:p>
        </w:tc>
        <w:tc>
          <w:tcPr>
            <w:tcW w:w="752" w:type="pct"/>
            <w:vAlign w:val="center"/>
          </w:tcPr>
          <w:p w14:paraId="45E01028" w14:textId="77777777" w:rsidR="00F44088" w:rsidRPr="00636B72" w:rsidRDefault="00F44088" w:rsidP="003A6734">
            <w:pPr>
              <w:spacing w:before="40" w:after="60"/>
              <w:jc w:val="center"/>
              <w:rPr>
                <w:rFonts w:ascii="Arial" w:hAnsi="Arial" w:cs="Arial"/>
                <w:b/>
                <w:bCs/>
                <w:sz w:val="16"/>
                <w:szCs w:val="16"/>
              </w:rPr>
            </w:pPr>
            <w:r>
              <w:rPr>
                <w:rFonts w:ascii="Arial" w:hAnsi="Arial" w:cs="Arial"/>
                <w:b/>
                <w:bCs/>
                <w:sz w:val="16"/>
                <w:szCs w:val="16"/>
              </w:rPr>
              <w:t>EVIDÊNCIA</w:t>
            </w:r>
          </w:p>
        </w:tc>
        <w:tc>
          <w:tcPr>
            <w:tcW w:w="790" w:type="pct"/>
            <w:vAlign w:val="center"/>
          </w:tcPr>
          <w:p w14:paraId="3FD8B688" w14:textId="77777777" w:rsidR="00F44088" w:rsidRPr="00636B72" w:rsidRDefault="00F44088" w:rsidP="003A6734">
            <w:pPr>
              <w:spacing w:before="40" w:after="60"/>
              <w:jc w:val="center"/>
              <w:rPr>
                <w:rFonts w:ascii="Arial" w:hAnsi="Arial" w:cs="Arial"/>
                <w:b/>
                <w:bCs/>
                <w:strike/>
                <w:sz w:val="16"/>
                <w:szCs w:val="16"/>
              </w:rPr>
            </w:pPr>
            <w:r>
              <w:rPr>
                <w:rFonts w:ascii="Arial" w:hAnsi="Arial" w:cs="Arial"/>
                <w:b/>
                <w:bCs/>
                <w:sz w:val="16"/>
                <w:szCs w:val="16"/>
              </w:rPr>
              <w:t>CAUSA</w:t>
            </w:r>
          </w:p>
        </w:tc>
        <w:tc>
          <w:tcPr>
            <w:tcW w:w="711" w:type="pct"/>
            <w:vAlign w:val="center"/>
          </w:tcPr>
          <w:p w14:paraId="77DF5DBD" w14:textId="77777777" w:rsidR="00F44088" w:rsidRPr="00636B72" w:rsidRDefault="00F44088" w:rsidP="003A6734">
            <w:pPr>
              <w:spacing w:before="40" w:after="60"/>
              <w:jc w:val="center"/>
              <w:rPr>
                <w:rFonts w:ascii="Arial" w:hAnsi="Arial" w:cs="Arial"/>
                <w:b/>
                <w:bCs/>
                <w:sz w:val="16"/>
                <w:szCs w:val="16"/>
              </w:rPr>
            </w:pPr>
            <w:r>
              <w:rPr>
                <w:rFonts w:ascii="Arial" w:hAnsi="Arial" w:cs="Arial"/>
                <w:b/>
                <w:bCs/>
                <w:sz w:val="16"/>
                <w:szCs w:val="16"/>
              </w:rPr>
              <w:t>EFEITO</w:t>
            </w:r>
          </w:p>
        </w:tc>
        <w:tc>
          <w:tcPr>
            <w:tcW w:w="1521" w:type="pct"/>
            <w:vAlign w:val="center"/>
          </w:tcPr>
          <w:p w14:paraId="4F1C0FCC" w14:textId="77777777" w:rsidR="00F44088" w:rsidRPr="00636B72" w:rsidRDefault="00F44088" w:rsidP="003A6734">
            <w:pPr>
              <w:spacing w:before="40" w:after="60"/>
              <w:jc w:val="center"/>
              <w:rPr>
                <w:rFonts w:ascii="Arial" w:hAnsi="Arial" w:cs="Arial"/>
                <w:b/>
                <w:bCs/>
                <w:sz w:val="16"/>
                <w:szCs w:val="16"/>
              </w:rPr>
            </w:pPr>
            <w:r>
              <w:rPr>
                <w:rFonts w:ascii="Arial" w:hAnsi="Arial" w:cs="Arial"/>
                <w:b/>
                <w:bCs/>
                <w:sz w:val="16"/>
                <w:szCs w:val="16"/>
              </w:rPr>
              <w:t>ENCAMINHAMENTO</w:t>
            </w:r>
          </w:p>
        </w:tc>
      </w:tr>
      <w:tr w:rsidR="00293A47" w:rsidRPr="00636B72" w14:paraId="6F79C4B0" w14:textId="77777777" w:rsidTr="003A6734">
        <w:trPr>
          <w:trHeight w:val="300"/>
        </w:trPr>
        <w:tc>
          <w:tcPr>
            <w:tcW w:w="473" w:type="pct"/>
          </w:tcPr>
          <w:p w14:paraId="7418BDBC" w14:textId="77777777" w:rsidR="0033067B" w:rsidRDefault="00581C72">
            <w:pPr>
              <w:spacing w:after="60"/>
              <w:jc w:val="both"/>
              <w:rPr>
                <w:rFonts w:ascii="Arial" w:hAnsi="Arial" w:cs="Arial"/>
                <w:b/>
                <w:bCs/>
                <w:sz w:val="18"/>
                <w:szCs w:val="18"/>
              </w:rPr>
            </w:pPr>
            <w:r>
              <w:rPr>
                <w:rFonts w:ascii="Arial" w:hAnsi="Arial" w:cs="Arial"/>
                <w:b/>
                <w:bCs/>
                <w:sz w:val="18"/>
                <w:szCs w:val="18"/>
              </w:rPr>
              <w:t>ACHADO 05</w:t>
            </w:r>
          </w:p>
          <w:p w14:paraId="7433D20D" w14:textId="77777777" w:rsidR="0033067B" w:rsidRDefault="0033067B">
            <w:pPr>
              <w:spacing w:after="60"/>
              <w:jc w:val="both"/>
              <w:rPr>
                <w:rFonts w:ascii="Arial" w:hAnsi="Arial" w:cs="Arial"/>
                <w:b/>
                <w:bCs/>
                <w:sz w:val="18"/>
                <w:szCs w:val="18"/>
              </w:rPr>
            </w:pPr>
          </w:p>
          <w:p w14:paraId="030E3E21" w14:textId="77777777" w:rsidR="0033067B" w:rsidRDefault="00581C72">
            <w:pPr>
              <w:spacing w:after="60"/>
              <w:jc w:val="both"/>
              <w:rPr>
                <w:rFonts w:ascii="Arial" w:hAnsi="Arial" w:cs="Arial"/>
                <w:b/>
                <w:bCs/>
                <w:sz w:val="18"/>
                <w:szCs w:val="18"/>
              </w:rPr>
            </w:pPr>
            <w:r>
              <w:rPr>
                <w:rFonts w:ascii="Arial" w:eastAsia="Arial" w:hAnsi="Arial" w:cs="Arial"/>
                <w:sz w:val="18"/>
                <w:szCs w:val="18"/>
              </w:rPr>
              <w:t>Gestão de serviços de TIC incipiente, sem controle mínimo sobre serviços, ativos e incidentes</w:t>
            </w:r>
          </w:p>
        </w:tc>
        <w:tc>
          <w:tcPr>
            <w:tcW w:w="752" w:type="pct"/>
          </w:tcPr>
          <w:p w14:paraId="54721FC6" w14:textId="77777777" w:rsidR="0033067B" w:rsidRDefault="00581C72">
            <w:pPr>
              <w:jc w:val="both"/>
              <w:rPr>
                <w:rFonts w:ascii="Arial" w:hAnsi="Arial" w:cs="Arial"/>
                <w:sz w:val="18"/>
                <w:szCs w:val="18"/>
                <w:vertAlign w:val="superscript"/>
              </w:rPr>
            </w:pPr>
            <w:r>
              <w:rPr>
                <w:rFonts w:ascii="Arial" w:hAnsi="Arial" w:cs="Arial"/>
                <w:b/>
                <w:sz w:val="18"/>
                <w:szCs w:val="18"/>
              </w:rPr>
              <w:t>ITIL 4, prática de gerenciamento do catálogo de serviços:</w:t>
            </w:r>
            <w:r>
              <w:rPr>
                <w:rFonts w:ascii="Arial" w:hAnsi="Arial" w:cs="Arial"/>
                <w:sz w:val="18"/>
                <w:szCs w:val="18"/>
              </w:rPr>
              <w:t xml:space="preserve"> manter fonte única de informações consistentes sobre serviços e ofertas de serviço, disponível para usuários e equipes de suporte.</w:t>
            </w:r>
          </w:p>
          <w:p w14:paraId="3939DA15" w14:textId="77777777" w:rsidR="0033067B" w:rsidRDefault="0033067B">
            <w:pPr>
              <w:jc w:val="both"/>
              <w:rPr>
                <w:rFonts w:ascii="Arial" w:hAnsi="Arial" w:cs="Arial"/>
                <w:sz w:val="18"/>
                <w:szCs w:val="18"/>
                <w:vertAlign w:val="superscript"/>
              </w:rPr>
            </w:pPr>
          </w:p>
          <w:p w14:paraId="7B70185D" w14:textId="77777777" w:rsidR="0033067B" w:rsidRDefault="00581C72">
            <w:pPr>
              <w:jc w:val="both"/>
              <w:rPr>
                <w:rFonts w:ascii="Arial" w:hAnsi="Arial" w:cs="Arial"/>
                <w:sz w:val="18"/>
                <w:szCs w:val="18"/>
                <w:vertAlign w:val="superscript"/>
              </w:rPr>
            </w:pPr>
            <w:r>
              <w:rPr>
                <w:rFonts w:ascii="Arial" w:hAnsi="Arial" w:cs="Arial"/>
                <w:b/>
                <w:sz w:val="18"/>
                <w:szCs w:val="18"/>
              </w:rPr>
              <w:t>COBIT 2019, APO09.02 - Catalogar serviços facilitados por TI:</w:t>
            </w:r>
            <w:r>
              <w:rPr>
                <w:rFonts w:ascii="Arial" w:hAnsi="Arial" w:cs="Arial"/>
                <w:sz w:val="18"/>
                <w:szCs w:val="18"/>
              </w:rPr>
              <w:t xml:space="preserve"> definir, manter e comunicar catálogo de serviços, incluindo serviços prestados, características, requisitos e níveis de serviço esperados.</w:t>
            </w:r>
          </w:p>
          <w:p w14:paraId="1663A598" w14:textId="77777777" w:rsidR="0033067B" w:rsidRDefault="0033067B">
            <w:pPr>
              <w:jc w:val="both"/>
              <w:rPr>
                <w:rFonts w:ascii="Arial" w:hAnsi="Arial" w:cs="Arial"/>
                <w:sz w:val="18"/>
                <w:szCs w:val="18"/>
                <w:vertAlign w:val="superscript"/>
              </w:rPr>
            </w:pPr>
          </w:p>
          <w:p w14:paraId="07D46ACD" w14:textId="77777777" w:rsidR="0033067B" w:rsidRDefault="00581C72">
            <w:pPr>
              <w:jc w:val="both"/>
              <w:rPr>
                <w:rFonts w:ascii="Arial" w:hAnsi="Arial" w:cs="Arial"/>
                <w:sz w:val="18"/>
                <w:szCs w:val="18"/>
                <w:vertAlign w:val="superscript"/>
              </w:rPr>
            </w:pPr>
            <w:r>
              <w:rPr>
                <w:rFonts w:ascii="Arial" w:hAnsi="Arial" w:cs="Arial"/>
                <w:b/>
                <w:sz w:val="18"/>
                <w:szCs w:val="18"/>
              </w:rPr>
              <w:t>ITIL 4, prática de gerenciamento de nível de serviço:</w:t>
            </w:r>
            <w:r>
              <w:rPr>
                <w:rFonts w:ascii="Arial" w:hAnsi="Arial" w:cs="Arial"/>
                <w:sz w:val="18"/>
                <w:szCs w:val="18"/>
              </w:rPr>
              <w:t xml:space="preserve"> definir, acordar, monitorar, avaliar e reportar metas e níveis de serviço alinhados às necessidades das áreas usuárias.</w:t>
            </w:r>
          </w:p>
          <w:p w14:paraId="7B11DEE2" w14:textId="77777777" w:rsidR="0033067B" w:rsidRDefault="0033067B">
            <w:pPr>
              <w:jc w:val="both"/>
              <w:rPr>
                <w:rFonts w:ascii="Arial" w:hAnsi="Arial" w:cs="Arial"/>
                <w:sz w:val="18"/>
                <w:szCs w:val="18"/>
                <w:vertAlign w:val="superscript"/>
              </w:rPr>
            </w:pPr>
          </w:p>
          <w:p w14:paraId="77A08EF1" w14:textId="77777777" w:rsidR="0033067B" w:rsidRDefault="00581C72">
            <w:pPr>
              <w:jc w:val="both"/>
              <w:rPr>
                <w:rFonts w:ascii="Arial" w:hAnsi="Arial" w:cs="Arial"/>
                <w:sz w:val="18"/>
                <w:szCs w:val="18"/>
                <w:vertAlign w:val="superscript"/>
              </w:rPr>
            </w:pPr>
            <w:r>
              <w:rPr>
                <w:rFonts w:ascii="Arial" w:hAnsi="Arial" w:cs="Arial"/>
                <w:b/>
                <w:sz w:val="18"/>
                <w:szCs w:val="18"/>
              </w:rPr>
              <w:t>ITIL 4, prática de gerenciamento de ativos de TI:</w:t>
            </w:r>
            <w:r>
              <w:rPr>
                <w:rFonts w:ascii="Arial" w:hAnsi="Arial" w:cs="Arial"/>
                <w:sz w:val="18"/>
                <w:szCs w:val="18"/>
              </w:rPr>
              <w:t xml:space="preserve"> planejar e gerenciar o ciclo de vida dos ativos de TI, mantendo informações suficientes para apoiar controle, custo, risco, valor e tomada de decisão.</w:t>
            </w:r>
          </w:p>
          <w:p w14:paraId="6598A3B7" w14:textId="77777777" w:rsidR="0033067B" w:rsidRDefault="0033067B">
            <w:pPr>
              <w:jc w:val="both"/>
              <w:rPr>
                <w:rFonts w:ascii="Arial" w:hAnsi="Arial" w:cs="Arial"/>
                <w:sz w:val="18"/>
                <w:szCs w:val="18"/>
                <w:vertAlign w:val="superscript"/>
              </w:rPr>
            </w:pPr>
          </w:p>
          <w:p w14:paraId="2BCDA08A" w14:textId="77777777" w:rsidR="0033067B" w:rsidRDefault="00581C72">
            <w:pPr>
              <w:jc w:val="both"/>
              <w:rPr>
                <w:rFonts w:ascii="Arial" w:hAnsi="Arial" w:cs="Arial"/>
                <w:sz w:val="18"/>
                <w:szCs w:val="18"/>
                <w:vertAlign w:val="superscript"/>
              </w:rPr>
            </w:pPr>
            <w:r>
              <w:rPr>
                <w:rFonts w:ascii="Arial" w:hAnsi="Arial" w:cs="Arial"/>
                <w:b/>
                <w:sz w:val="18"/>
                <w:szCs w:val="18"/>
              </w:rPr>
              <w:t>ITIL 4, prática de gerenciamento de configuração de serviço:</w:t>
            </w:r>
            <w:r>
              <w:rPr>
                <w:rFonts w:ascii="Arial" w:hAnsi="Arial" w:cs="Arial"/>
                <w:sz w:val="18"/>
                <w:szCs w:val="18"/>
              </w:rPr>
              <w:t xml:space="preserve"> assegurar informações precisas e confiáveis sobre itens de configuração e seus relacionamentos com serviços, sistemas e infraestrutura.</w:t>
            </w:r>
          </w:p>
          <w:p w14:paraId="0A9487AE" w14:textId="77777777" w:rsidR="0033067B" w:rsidRDefault="0033067B">
            <w:pPr>
              <w:jc w:val="both"/>
              <w:rPr>
                <w:rFonts w:ascii="Arial" w:hAnsi="Arial" w:cs="Arial"/>
                <w:sz w:val="18"/>
                <w:szCs w:val="18"/>
                <w:vertAlign w:val="superscript"/>
              </w:rPr>
            </w:pPr>
          </w:p>
          <w:p w14:paraId="7F25E4DD" w14:textId="77777777" w:rsidR="0033067B" w:rsidRDefault="00581C72">
            <w:pPr>
              <w:jc w:val="both"/>
              <w:rPr>
                <w:rFonts w:ascii="Arial" w:hAnsi="Arial" w:cs="Arial"/>
                <w:sz w:val="18"/>
                <w:szCs w:val="18"/>
                <w:vertAlign w:val="superscript"/>
              </w:rPr>
            </w:pPr>
            <w:r>
              <w:rPr>
                <w:rFonts w:ascii="Arial" w:hAnsi="Arial" w:cs="Arial"/>
                <w:b/>
                <w:sz w:val="18"/>
                <w:szCs w:val="18"/>
              </w:rPr>
              <w:t>COBIT 2019, BAI10.01 - Estabelecer e manter um modelo de configuração:</w:t>
            </w:r>
            <w:r>
              <w:rPr>
                <w:rFonts w:ascii="Arial" w:hAnsi="Arial" w:cs="Arial"/>
                <w:sz w:val="18"/>
                <w:szCs w:val="18"/>
              </w:rPr>
              <w:t xml:space="preserve"> definir escopo, granularidade, atributos, relacionamentos e responsáveis pela base de configuração.</w:t>
            </w:r>
          </w:p>
          <w:p w14:paraId="6BC9FD80" w14:textId="77777777" w:rsidR="0033067B" w:rsidRDefault="0033067B">
            <w:pPr>
              <w:jc w:val="both"/>
              <w:rPr>
                <w:rFonts w:ascii="Arial" w:hAnsi="Arial" w:cs="Arial"/>
                <w:sz w:val="18"/>
                <w:szCs w:val="18"/>
                <w:vertAlign w:val="superscript"/>
              </w:rPr>
            </w:pPr>
          </w:p>
          <w:p w14:paraId="3F0F0439" w14:textId="77777777" w:rsidR="0033067B" w:rsidRDefault="00581C72">
            <w:pPr>
              <w:jc w:val="both"/>
              <w:rPr>
                <w:rFonts w:ascii="Arial" w:hAnsi="Arial" w:cs="Arial"/>
                <w:sz w:val="18"/>
                <w:szCs w:val="18"/>
                <w:vertAlign w:val="superscript"/>
              </w:rPr>
            </w:pPr>
            <w:r>
              <w:rPr>
                <w:rFonts w:ascii="Arial" w:hAnsi="Arial" w:cs="Arial"/>
                <w:b/>
                <w:sz w:val="18"/>
                <w:szCs w:val="18"/>
              </w:rPr>
              <w:t>ITIL 4, prática de gerenciamento de incidentes:</w:t>
            </w:r>
            <w:r>
              <w:rPr>
                <w:rFonts w:ascii="Arial" w:hAnsi="Arial" w:cs="Arial"/>
                <w:sz w:val="18"/>
                <w:szCs w:val="18"/>
              </w:rPr>
              <w:t xml:space="preserve"> minimizar o impacto negativo dos incidentes por meio da restauração tempestiva da operação normal dos serviços e do registro rastreável do tratamento realizado.</w:t>
            </w:r>
          </w:p>
          <w:p w14:paraId="3E21C7C3" w14:textId="77777777" w:rsidR="0033067B" w:rsidRDefault="0033067B">
            <w:pPr>
              <w:jc w:val="both"/>
              <w:rPr>
                <w:rFonts w:ascii="Arial" w:hAnsi="Arial" w:cs="Arial"/>
                <w:sz w:val="18"/>
                <w:szCs w:val="18"/>
                <w:vertAlign w:val="superscript"/>
              </w:rPr>
            </w:pPr>
          </w:p>
          <w:p w14:paraId="30F96180" w14:textId="77777777" w:rsidR="0033067B" w:rsidRDefault="00581C72">
            <w:pPr>
              <w:jc w:val="both"/>
              <w:rPr>
                <w:rFonts w:ascii="Arial" w:hAnsi="Arial" w:cs="Arial"/>
                <w:sz w:val="18"/>
                <w:szCs w:val="18"/>
                <w:vertAlign w:val="superscript"/>
              </w:rPr>
            </w:pPr>
            <w:r>
              <w:rPr>
                <w:rFonts w:ascii="Arial" w:hAnsi="Arial" w:cs="Arial"/>
                <w:b/>
                <w:sz w:val="18"/>
                <w:szCs w:val="18"/>
              </w:rPr>
              <w:t>COBIT 2019, DSS02.02, DSS02.04 e DSS02.07 - Requisições de serviço e incidentes gerenciados:</w:t>
            </w:r>
            <w:r>
              <w:rPr>
                <w:rFonts w:ascii="Arial" w:hAnsi="Arial" w:cs="Arial"/>
                <w:sz w:val="18"/>
                <w:szCs w:val="18"/>
              </w:rPr>
              <w:t xml:space="preserve"> registrar, classificar, priorizar, investigar, diagnosticar, resolver, acompanhar e reportar incidentes e requisições de serviço.</w:t>
            </w:r>
          </w:p>
        </w:tc>
        <w:tc>
          <w:tcPr>
            <w:tcW w:w="752" w:type="pct"/>
          </w:tcPr>
          <w:p w14:paraId="6A1E4749" w14:textId="77777777" w:rsidR="0033067B" w:rsidRDefault="00581C72">
            <w:pPr>
              <w:spacing w:after="60"/>
              <w:jc w:val="both"/>
              <w:rPr>
                <w:rFonts w:ascii="Arial" w:hAnsi="Arial" w:cs="Arial"/>
                <w:sz w:val="18"/>
                <w:szCs w:val="18"/>
              </w:rPr>
            </w:pPr>
            <w:r>
              <w:rPr>
                <w:rFonts w:ascii="Arial" w:hAnsi="Arial" w:cs="Arial"/>
                <w:b/>
                <w:bCs/>
                <w:sz w:val="18"/>
                <w:szCs w:val="18"/>
              </w:rPr>
              <w:t>Respostas Questionário</w:t>
            </w:r>
            <w:r>
              <w:rPr>
                <w:rFonts w:ascii="Arial" w:hAnsi="Arial" w:cs="Arial"/>
                <w:sz w:val="18"/>
                <w:szCs w:val="18"/>
              </w:rPr>
              <w:t xml:space="preserve"> - Respostas e evidências anexadas ao questionário eletrônico iGovTI 2026, avaliadas conforme as regras de identificação previstas na matriz de planejamento.</w:t>
            </w:r>
          </w:p>
          <w:p w14:paraId="26A1A8EB" w14:textId="77777777" w:rsidR="0033067B" w:rsidRDefault="0033067B">
            <w:pPr>
              <w:spacing w:after="60"/>
              <w:jc w:val="both"/>
              <w:rPr>
                <w:rFonts w:ascii="Arial" w:hAnsi="Arial" w:cs="Arial"/>
                <w:sz w:val="18"/>
                <w:szCs w:val="18"/>
              </w:rPr>
            </w:pPr>
          </w:p>
          <w:p w14:paraId="22D9FA57" w14:textId="77777777" w:rsidR="0033067B" w:rsidRDefault="00581C72">
            <w:pPr>
              <w:spacing w:after="60"/>
              <w:jc w:val="both"/>
              <w:rPr>
                <w:rFonts w:ascii="Arial" w:hAnsi="Arial" w:cs="Arial"/>
                <w:sz w:val="18"/>
                <w:szCs w:val="18"/>
              </w:rPr>
            </w:pPr>
            <w:r>
              <w:rPr>
                <w:rFonts w:ascii="Arial" w:hAnsi="Arial" w:cs="Arial"/>
                <w:sz w:val="18"/>
                <w:szCs w:val="18"/>
              </w:rPr>
              <w:t>a) Resposta negativa ou insuficiente sobre catálogo de serviços de TIC.</w:t>
            </w:r>
          </w:p>
          <w:p w14:paraId="1F65B393" w14:textId="77777777" w:rsidR="0033067B" w:rsidRDefault="00581C72">
            <w:pPr>
              <w:spacing w:after="60"/>
              <w:jc w:val="both"/>
              <w:rPr>
                <w:rFonts w:ascii="Arial" w:hAnsi="Arial" w:cs="Arial"/>
                <w:sz w:val="18"/>
                <w:szCs w:val="18"/>
              </w:rPr>
            </w:pPr>
            <w:r>
              <w:rPr>
                <w:rFonts w:ascii="Arial" w:hAnsi="Arial" w:cs="Arial"/>
                <w:sz w:val="18"/>
                <w:szCs w:val="18"/>
              </w:rPr>
              <w:t>b) Ausência, desatualização, inacessibilidade ou insuficiência do catálogo de serviços de TIC.</w:t>
            </w:r>
          </w:p>
          <w:p w14:paraId="1BA6CB52" w14:textId="77777777" w:rsidR="0033067B" w:rsidRDefault="00581C72">
            <w:pPr>
              <w:spacing w:after="60"/>
              <w:jc w:val="both"/>
              <w:rPr>
                <w:rFonts w:ascii="Arial" w:hAnsi="Arial" w:cs="Arial"/>
                <w:sz w:val="18"/>
                <w:szCs w:val="18"/>
              </w:rPr>
            </w:pPr>
            <w:r>
              <w:rPr>
                <w:rFonts w:ascii="Arial" w:hAnsi="Arial" w:cs="Arial"/>
                <w:sz w:val="18"/>
                <w:szCs w:val="18"/>
              </w:rPr>
              <w:t>c) Resposta negativa ou insuficiente sobre ANS ou metas mínimas de nível de serviço.</w:t>
            </w:r>
          </w:p>
          <w:p w14:paraId="68D2D61D" w14:textId="77777777" w:rsidR="0033067B" w:rsidRDefault="00581C72">
            <w:pPr>
              <w:spacing w:after="60"/>
              <w:jc w:val="both"/>
              <w:rPr>
                <w:rFonts w:ascii="Arial" w:hAnsi="Arial" w:cs="Arial"/>
                <w:sz w:val="18"/>
                <w:szCs w:val="18"/>
              </w:rPr>
            </w:pPr>
            <w:r>
              <w:rPr>
                <w:rFonts w:ascii="Arial" w:hAnsi="Arial" w:cs="Arial"/>
                <w:sz w:val="18"/>
                <w:szCs w:val="18"/>
              </w:rPr>
              <w:t>d) Ausência, desatualização ou insuficiência de ANS, metas ou registros de monitoramento.</w:t>
            </w:r>
          </w:p>
          <w:p w14:paraId="7B6D01C1" w14:textId="77777777" w:rsidR="0033067B" w:rsidRDefault="00581C72">
            <w:pPr>
              <w:spacing w:after="60"/>
              <w:jc w:val="both"/>
              <w:rPr>
                <w:rFonts w:ascii="Arial" w:hAnsi="Arial" w:cs="Arial"/>
                <w:sz w:val="18"/>
                <w:szCs w:val="18"/>
              </w:rPr>
            </w:pPr>
            <w:r>
              <w:rPr>
                <w:rFonts w:ascii="Arial" w:hAnsi="Arial" w:cs="Arial"/>
                <w:sz w:val="18"/>
                <w:szCs w:val="18"/>
              </w:rPr>
              <w:t>e) Resposta negativa ou insuficiente sobre inventário de ativos de TIC.</w:t>
            </w:r>
          </w:p>
          <w:p w14:paraId="1FE9468C" w14:textId="77777777" w:rsidR="0033067B" w:rsidRDefault="00581C72">
            <w:pPr>
              <w:spacing w:after="60"/>
              <w:jc w:val="both"/>
              <w:rPr>
                <w:rFonts w:ascii="Arial" w:hAnsi="Arial" w:cs="Arial"/>
                <w:sz w:val="18"/>
                <w:szCs w:val="18"/>
              </w:rPr>
            </w:pPr>
            <w:r>
              <w:rPr>
                <w:rFonts w:ascii="Arial" w:hAnsi="Arial" w:cs="Arial"/>
                <w:sz w:val="18"/>
                <w:szCs w:val="18"/>
              </w:rPr>
              <w:t>f) Ausência, desatualização ou insuficiência de inventário de ativos de TIC.</w:t>
            </w:r>
          </w:p>
          <w:p w14:paraId="53441F08" w14:textId="77777777" w:rsidR="0033067B" w:rsidRDefault="00581C72">
            <w:pPr>
              <w:spacing w:after="60"/>
              <w:jc w:val="both"/>
              <w:rPr>
                <w:rFonts w:ascii="Arial" w:hAnsi="Arial" w:cs="Arial"/>
                <w:sz w:val="18"/>
                <w:szCs w:val="18"/>
              </w:rPr>
            </w:pPr>
            <w:r>
              <w:rPr>
                <w:rFonts w:ascii="Arial" w:hAnsi="Arial" w:cs="Arial"/>
                <w:sz w:val="18"/>
                <w:szCs w:val="18"/>
              </w:rPr>
              <w:t>g) Resposta negativa ou insuficiente sobre processo formal de gestão de configuração.</w:t>
            </w:r>
          </w:p>
          <w:p w14:paraId="77675C41" w14:textId="77777777" w:rsidR="0033067B" w:rsidRDefault="00581C72">
            <w:pPr>
              <w:spacing w:after="60"/>
              <w:jc w:val="both"/>
              <w:rPr>
                <w:rFonts w:ascii="Arial" w:hAnsi="Arial" w:cs="Arial"/>
                <w:sz w:val="18"/>
                <w:szCs w:val="18"/>
              </w:rPr>
            </w:pPr>
            <w:r>
              <w:rPr>
                <w:rFonts w:ascii="Arial" w:hAnsi="Arial" w:cs="Arial"/>
                <w:sz w:val="18"/>
                <w:szCs w:val="18"/>
              </w:rPr>
              <w:t>h) Ausência, desatualização ou insuficiência de norma, procedimento, CMDB ou base equivalente de gestão de configuração.</w:t>
            </w:r>
          </w:p>
          <w:p w14:paraId="534B2E76" w14:textId="77777777" w:rsidR="0033067B" w:rsidRDefault="00581C72">
            <w:pPr>
              <w:spacing w:after="60"/>
              <w:jc w:val="both"/>
              <w:rPr>
                <w:rFonts w:ascii="Arial" w:hAnsi="Arial" w:cs="Arial"/>
                <w:sz w:val="18"/>
                <w:szCs w:val="18"/>
              </w:rPr>
            </w:pPr>
            <w:r>
              <w:rPr>
                <w:rFonts w:ascii="Arial" w:hAnsi="Arial" w:cs="Arial"/>
                <w:sz w:val="18"/>
                <w:szCs w:val="18"/>
              </w:rPr>
              <w:t>i) Resposta negativa ou insuficiente sobre processo formal de gestão de incidentes de TIC.</w:t>
            </w:r>
          </w:p>
          <w:p w14:paraId="064240A8" w14:textId="77777777" w:rsidR="0033067B" w:rsidRDefault="00581C72">
            <w:pPr>
              <w:spacing w:after="60"/>
              <w:jc w:val="both"/>
              <w:rPr>
                <w:rFonts w:ascii="Arial" w:hAnsi="Arial" w:cs="Arial"/>
                <w:sz w:val="18"/>
                <w:szCs w:val="18"/>
              </w:rPr>
            </w:pPr>
            <w:r>
              <w:rPr>
                <w:rFonts w:ascii="Arial" w:hAnsi="Arial" w:cs="Arial"/>
                <w:sz w:val="18"/>
                <w:szCs w:val="18"/>
              </w:rPr>
              <w:t>j) Ausência, desatualização ou insuficiência de norma, procedimento ou fluxo formal de gestão de incidentes.</w:t>
            </w:r>
          </w:p>
          <w:p w14:paraId="36B73410" w14:textId="77777777" w:rsidR="0033067B" w:rsidRDefault="00581C72">
            <w:pPr>
              <w:spacing w:after="60"/>
              <w:jc w:val="both"/>
              <w:rPr>
                <w:rFonts w:ascii="Arial" w:hAnsi="Arial" w:cs="Arial"/>
                <w:sz w:val="18"/>
                <w:szCs w:val="18"/>
              </w:rPr>
            </w:pPr>
            <w:r>
              <w:rPr>
                <w:rFonts w:ascii="Arial" w:hAnsi="Arial" w:cs="Arial"/>
                <w:sz w:val="18"/>
                <w:szCs w:val="18"/>
              </w:rPr>
              <w:t>k) Resposta negativa ou insuficiente sobre registro sistemático de incidentes de TIC.</w:t>
            </w:r>
          </w:p>
          <w:p w14:paraId="2D552B25" w14:textId="77777777" w:rsidR="0033067B" w:rsidRDefault="00581C72">
            <w:pPr>
              <w:spacing w:after="60"/>
              <w:jc w:val="both"/>
              <w:rPr>
                <w:rFonts w:ascii="Arial" w:hAnsi="Arial" w:cs="Arial"/>
                <w:sz w:val="18"/>
                <w:szCs w:val="18"/>
              </w:rPr>
            </w:pPr>
            <w:r>
              <w:rPr>
                <w:rFonts w:ascii="Arial" w:hAnsi="Arial" w:cs="Arial"/>
                <w:sz w:val="18"/>
                <w:szCs w:val="18"/>
              </w:rPr>
              <w:t>l) Ausência, insuficiência ou baixa rastreabilidade dos registros de incidentes, chamados ou tickets.</w:t>
            </w:r>
          </w:p>
        </w:tc>
        <w:tc>
          <w:tcPr>
            <w:tcW w:w="790" w:type="pct"/>
          </w:tcPr>
          <w:p w14:paraId="37650268" w14:textId="77777777" w:rsidR="0033067B" w:rsidRDefault="00581C72">
            <w:pPr>
              <w:jc w:val="both"/>
              <w:rPr>
                <w:rFonts w:ascii="Arial" w:hAnsi="Arial" w:cs="Arial"/>
                <w:sz w:val="18"/>
                <w:szCs w:val="18"/>
              </w:rPr>
            </w:pPr>
            <w:r>
              <w:rPr>
                <w:rFonts w:ascii="Arial" w:hAnsi="Arial" w:cs="Arial"/>
                <w:b/>
                <w:bCs/>
                <w:sz w:val="18"/>
                <w:szCs w:val="18"/>
              </w:rPr>
              <w:t>Não investigada.</w:t>
            </w:r>
          </w:p>
        </w:tc>
        <w:tc>
          <w:tcPr>
            <w:tcW w:w="711" w:type="pct"/>
          </w:tcPr>
          <w:p w14:paraId="391A3310" w14:textId="77777777" w:rsidR="0033067B" w:rsidRDefault="00581C72">
            <w:pPr>
              <w:jc w:val="both"/>
              <w:rPr>
                <w:rFonts w:ascii="Arial" w:hAnsi="Arial" w:cs="Arial"/>
                <w:sz w:val="18"/>
                <w:szCs w:val="18"/>
              </w:rPr>
            </w:pPr>
            <w:r>
              <w:rPr>
                <w:rFonts w:ascii="Arial" w:hAnsi="Arial" w:cs="Arial"/>
                <w:b/>
                <w:sz w:val="18"/>
                <w:szCs w:val="18"/>
              </w:rPr>
              <w:t>Baixa previsibilidade dos serviços:</w:t>
            </w:r>
            <w:r>
              <w:rPr>
                <w:rFonts w:ascii="Arial" w:hAnsi="Arial" w:cs="Arial"/>
                <w:sz w:val="18"/>
                <w:szCs w:val="18"/>
              </w:rPr>
              <w:t xml:space="preserve"> Catálogo inexistente ou insuficiente dificulta que usuários e áreas demandantes conheçam serviços, responsáveis, requisitos e canais de atendimento.</w:t>
            </w:r>
          </w:p>
          <w:p w14:paraId="3D25BA24" w14:textId="77777777" w:rsidR="0033067B" w:rsidRDefault="0033067B">
            <w:pPr>
              <w:jc w:val="both"/>
              <w:rPr>
                <w:rFonts w:ascii="Arial" w:hAnsi="Arial" w:cs="Arial"/>
                <w:sz w:val="18"/>
                <w:szCs w:val="18"/>
              </w:rPr>
            </w:pPr>
          </w:p>
          <w:p w14:paraId="6B62BBEF" w14:textId="77777777" w:rsidR="0033067B" w:rsidRDefault="00581C72">
            <w:pPr>
              <w:jc w:val="both"/>
              <w:rPr>
                <w:rFonts w:ascii="Arial" w:hAnsi="Arial" w:cs="Arial"/>
                <w:sz w:val="18"/>
                <w:szCs w:val="18"/>
              </w:rPr>
            </w:pPr>
            <w:r>
              <w:rPr>
                <w:rFonts w:ascii="Arial" w:hAnsi="Arial" w:cs="Arial"/>
                <w:b/>
                <w:sz w:val="18"/>
                <w:szCs w:val="18"/>
              </w:rPr>
              <w:t>Qualidade de serviço pouco controlada:</w:t>
            </w:r>
            <w:r>
              <w:rPr>
                <w:rFonts w:ascii="Arial" w:hAnsi="Arial" w:cs="Arial"/>
                <w:sz w:val="18"/>
                <w:szCs w:val="18"/>
              </w:rPr>
              <w:t xml:space="preserve"> Ausência de acordos, metas ou indicadores impede medir desempenho e cobrar níveis mínimos de atendimento para os serviços mais relevantes.</w:t>
            </w:r>
          </w:p>
          <w:p w14:paraId="45D0BD41" w14:textId="77777777" w:rsidR="0033067B" w:rsidRDefault="0033067B">
            <w:pPr>
              <w:jc w:val="both"/>
              <w:rPr>
                <w:rFonts w:ascii="Arial" w:hAnsi="Arial" w:cs="Arial"/>
                <w:sz w:val="18"/>
                <w:szCs w:val="18"/>
              </w:rPr>
            </w:pPr>
          </w:p>
          <w:p w14:paraId="73F94326" w14:textId="77777777" w:rsidR="0033067B" w:rsidRDefault="00581C72">
            <w:pPr>
              <w:jc w:val="both"/>
              <w:rPr>
                <w:rFonts w:ascii="Arial" w:hAnsi="Arial" w:cs="Arial"/>
                <w:sz w:val="18"/>
                <w:szCs w:val="18"/>
              </w:rPr>
            </w:pPr>
            <w:r>
              <w:rPr>
                <w:rFonts w:ascii="Arial" w:hAnsi="Arial" w:cs="Arial"/>
                <w:b/>
                <w:sz w:val="18"/>
                <w:szCs w:val="18"/>
              </w:rPr>
              <w:t>Desconhecimento dos ativos de TIC:</w:t>
            </w:r>
            <w:r>
              <w:rPr>
                <w:rFonts w:ascii="Arial" w:hAnsi="Arial" w:cs="Arial"/>
                <w:sz w:val="18"/>
                <w:szCs w:val="18"/>
              </w:rPr>
              <w:t xml:space="preserve"> Inventário frágil prejudica controle patrimonial, gestão de riscos, planejamento de substituições e resposta a incidentes.</w:t>
            </w:r>
          </w:p>
          <w:p w14:paraId="3C91EF28" w14:textId="77777777" w:rsidR="0033067B" w:rsidRDefault="0033067B">
            <w:pPr>
              <w:jc w:val="both"/>
              <w:rPr>
                <w:rFonts w:ascii="Arial" w:hAnsi="Arial" w:cs="Arial"/>
                <w:sz w:val="18"/>
                <w:szCs w:val="18"/>
              </w:rPr>
            </w:pPr>
          </w:p>
          <w:p w14:paraId="4590B02A" w14:textId="77777777" w:rsidR="0033067B" w:rsidRDefault="00581C72">
            <w:pPr>
              <w:jc w:val="both"/>
              <w:rPr>
                <w:rFonts w:ascii="Arial" w:hAnsi="Arial" w:cs="Arial"/>
                <w:sz w:val="18"/>
                <w:szCs w:val="18"/>
              </w:rPr>
            </w:pPr>
            <w:r>
              <w:rPr>
                <w:rFonts w:ascii="Arial" w:hAnsi="Arial" w:cs="Arial"/>
                <w:b/>
                <w:sz w:val="18"/>
                <w:szCs w:val="18"/>
              </w:rPr>
              <w:t>Baixa rastreabilidade da infraestrutura:</w:t>
            </w:r>
            <w:r>
              <w:rPr>
                <w:rFonts w:ascii="Arial" w:hAnsi="Arial" w:cs="Arial"/>
                <w:sz w:val="18"/>
                <w:szCs w:val="18"/>
              </w:rPr>
              <w:t xml:space="preserve"> Falta de gestão de configuração reduz a visão sobre componentes, dependências e impactos de mudanças nos serviços de TIC.</w:t>
            </w:r>
          </w:p>
          <w:p w14:paraId="5AC324E8" w14:textId="77777777" w:rsidR="0033067B" w:rsidRDefault="0033067B">
            <w:pPr>
              <w:jc w:val="both"/>
              <w:rPr>
                <w:rFonts w:ascii="Arial" w:hAnsi="Arial" w:cs="Arial"/>
                <w:sz w:val="18"/>
                <w:szCs w:val="18"/>
              </w:rPr>
            </w:pPr>
          </w:p>
          <w:p w14:paraId="0B6BB678" w14:textId="77777777" w:rsidR="0033067B" w:rsidRDefault="00581C72">
            <w:pPr>
              <w:jc w:val="both"/>
              <w:rPr>
                <w:rFonts w:ascii="Arial" w:hAnsi="Arial" w:cs="Arial"/>
                <w:sz w:val="18"/>
                <w:szCs w:val="18"/>
              </w:rPr>
            </w:pPr>
            <w:r>
              <w:rPr>
                <w:rFonts w:ascii="Arial" w:hAnsi="Arial" w:cs="Arial"/>
                <w:b/>
                <w:sz w:val="18"/>
                <w:szCs w:val="18"/>
              </w:rPr>
              <w:t>Tratamento inconsistente de incidentes:</w:t>
            </w:r>
            <w:r>
              <w:rPr>
                <w:rFonts w:ascii="Arial" w:hAnsi="Arial" w:cs="Arial"/>
                <w:sz w:val="18"/>
                <w:szCs w:val="18"/>
              </w:rPr>
              <w:t xml:space="preserve"> Processo informal dificulta priorizar, registrar, escalar, resolver e aprender com falhas de serviços e de segurança.</w:t>
            </w:r>
          </w:p>
        </w:tc>
        <w:tc>
          <w:tcPr>
            <w:tcW w:w="1521" w:type="pct"/>
          </w:tcPr>
          <w:p w14:paraId="3E43D96F" w14:textId="77777777" w:rsidR="0033067B" w:rsidRDefault="00581C72">
            <w:pPr>
              <w:jc w:val="both"/>
              <w:rPr>
                <w:rFonts w:ascii="Arial" w:hAnsi="Arial" w:cs="Arial"/>
                <w:sz w:val="18"/>
                <w:szCs w:val="18"/>
              </w:rPr>
            </w:pPr>
            <w:r>
              <w:rPr>
                <w:rFonts w:ascii="Arial" w:hAnsi="Arial" w:cs="Arial"/>
                <w:b/>
                <w:bCs/>
                <w:sz w:val="18"/>
                <w:szCs w:val="18"/>
                <w:u w:val="single"/>
              </w:rPr>
              <w:t>Comunicação com Recomendação</w:t>
            </w:r>
            <w:r>
              <w:rPr>
                <w:rFonts w:ascii="Arial" w:hAnsi="Arial" w:cs="Arial"/>
                <w:sz w:val="18"/>
                <w:szCs w:val="18"/>
              </w:rPr>
              <w:t xml:space="preserve"> para que institua e mantenha atualizado catálogo de serviços de TIC, atentando-se, minimamente, em identificar os serviços efetivamente prestados, seus responsáveis, usuários, condições de acesso e informações necessárias ao atendimento das áreas demandantes.</w:t>
            </w:r>
          </w:p>
          <w:p w14:paraId="4BF947DF" w14:textId="77777777" w:rsidR="0033067B" w:rsidRDefault="0033067B">
            <w:pPr>
              <w:jc w:val="both"/>
              <w:rPr>
                <w:rFonts w:ascii="Arial" w:hAnsi="Arial" w:cs="Arial"/>
                <w:sz w:val="18"/>
                <w:szCs w:val="18"/>
              </w:rPr>
            </w:pPr>
          </w:p>
          <w:p w14:paraId="354719F8" w14:textId="77777777" w:rsidR="0033067B" w:rsidRDefault="00581C72">
            <w:pPr>
              <w:jc w:val="both"/>
              <w:rPr>
                <w:rFonts w:ascii="Arial" w:hAnsi="Arial" w:cs="Arial"/>
                <w:sz w:val="18"/>
                <w:szCs w:val="18"/>
              </w:rPr>
            </w:pPr>
            <w:r>
              <w:rPr>
                <w:rFonts w:ascii="Arial" w:hAnsi="Arial" w:cs="Arial"/>
                <w:b/>
                <w:bCs/>
                <w:sz w:val="18"/>
                <w:szCs w:val="18"/>
                <w:u w:val="single"/>
              </w:rPr>
              <w:t>Comunicação com Recomendação</w:t>
            </w:r>
            <w:r>
              <w:rPr>
                <w:rFonts w:ascii="Arial" w:hAnsi="Arial" w:cs="Arial"/>
                <w:sz w:val="18"/>
                <w:szCs w:val="18"/>
              </w:rPr>
              <w:t xml:space="preserve"> para que defina, pactue e monitore níveis mínimos de serviço ou metas de atendimento para os serviços de TIC mais relevantes, estabelecendo indicadores, responsáveis, periodicidade de medição e forma de comunicação dos resultados.</w:t>
            </w:r>
          </w:p>
          <w:p w14:paraId="03BBFE6A" w14:textId="77777777" w:rsidR="0033067B" w:rsidRDefault="0033067B">
            <w:pPr>
              <w:jc w:val="both"/>
              <w:rPr>
                <w:rFonts w:ascii="Arial" w:hAnsi="Arial" w:cs="Arial"/>
                <w:sz w:val="18"/>
                <w:szCs w:val="18"/>
              </w:rPr>
            </w:pPr>
          </w:p>
          <w:p w14:paraId="5E1BC847" w14:textId="77777777" w:rsidR="0033067B" w:rsidRDefault="00581C72">
            <w:pPr>
              <w:jc w:val="both"/>
              <w:rPr>
                <w:rFonts w:ascii="Arial" w:hAnsi="Arial" w:cs="Arial"/>
                <w:sz w:val="18"/>
                <w:szCs w:val="18"/>
              </w:rPr>
            </w:pPr>
            <w:r>
              <w:rPr>
                <w:rFonts w:ascii="Arial" w:hAnsi="Arial" w:cs="Arial"/>
                <w:b/>
                <w:bCs/>
                <w:sz w:val="18"/>
                <w:szCs w:val="18"/>
                <w:u w:val="single"/>
              </w:rPr>
              <w:t>Comunicação com Recomendação</w:t>
            </w:r>
            <w:r>
              <w:rPr>
                <w:rFonts w:ascii="Arial" w:hAnsi="Arial" w:cs="Arial"/>
                <w:sz w:val="18"/>
                <w:szCs w:val="18"/>
              </w:rPr>
              <w:t xml:space="preserve"> para que estabeleça e mantenha atualizado inventário de ativos de TIC, atentando-se, minimamente, em registrar equipamentos, servidores, sistemas, softwares, licenças, serviços em nuvem, componentes de infraestrutura, responsáveis e informações necessárias ao controle do ciclo de vida dos ativos.</w:t>
            </w:r>
          </w:p>
          <w:p w14:paraId="6ADF263B" w14:textId="77777777" w:rsidR="0033067B" w:rsidRDefault="0033067B">
            <w:pPr>
              <w:jc w:val="both"/>
              <w:rPr>
                <w:rFonts w:ascii="Arial" w:hAnsi="Arial" w:cs="Arial"/>
                <w:sz w:val="18"/>
                <w:szCs w:val="18"/>
              </w:rPr>
            </w:pPr>
          </w:p>
          <w:p w14:paraId="0DCA887E" w14:textId="77777777" w:rsidR="0033067B" w:rsidRDefault="00581C72">
            <w:pPr>
              <w:jc w:val="both"/>
              <w:rPr>
                <w:rFonts w:ascii="Arial" w:hAnsi="Arial" w:cs="Arial"/>
                <w:sz w:val="18"/>
                <w:szCs w:val="18"/>
              </w:rPr>
            </w:pPr>
            <w:r>
              <w:rPr>
                <w:rFonts w:ascii="Arial" w:hAnsi="Arial" w:cs="Arial"/>
                <w:b/>
                <w:bCs/>
                <w:sz w:val="18"/>
                <w:szCs w:val="18"/>
                <w:u w:val="single"/>
              </w:rPr>
              <w:t>Comunicação com Recomendação</w:t>
            </w:r>
            <w:r>
              <w:rPr>
                <w:rFonts w:ascii="Arial" w:hAnsi="Arial" w:cs="Arial"/>
                <w:sz w:val="18"/>
                <w:szCs w:val="18"/>
              </w:rPr>
              <w:t xml:space="preserve"> para que formalize e execute processo de gestão de configuração, atentando-se, minimamente, em manter base, ferramenta ou registro equivalente com os itens de configuração relevantes, seus responsáveis e os relacionamentos entre ativos, sistemas, infraestrutura e serviços, com atualização periódica e uso das informações no planejamento e acompanhamento de mudanças.</w:t>
            </w:r>
          </w:p>
          <w:p w14:paraId="2DE30259" w14:textId="77777777" w:rsidR="0033067B" w:rsidRDefault="0033067B">
            <w:pPr>
              <w:jc w:val="both"/>
              <w:rPr>
                <w:rFonts w:ascii="Arial" w:hAnsi="Arial" w:cs="Arial"/>
                <w:sz w:val="18"/>
                <w:szCs w:val="18"/>
              </w:rPr>
            </w:pPr>
          </w:p>
          <w:p w14:paraId="78DDC920" w14:textId="77777777" w:rsidR="0033067B" w:rsidRDefault="00581C72">
            <w:pPr>
              <w:jc w:val="both"/>
              <w:rPr>
                <w:rFonts w:ascii="Arial" w:hAnsi="Arial" w:cs="Arial"/>
                <w:sz w:val="18"/>
                <w:szCs w:val="18"/>
              </w:rPr>
            </w:pPr>
            <w:r>
              <w:rPr>
                <w:rFonts w:ascii="Arial" w:hAnsi="Arial" w:cs="Arial"/>
                <w:b/>
                <w:bCs/>
                <w:sz w:val="18"/>
                <w:szCs w:val="18"/>
                <w:u w:val="single"/>
              </w:rPr>
              <w:t>Comunicação com Recomendação</w:t>
            </w:r>
            <w:r>
              <w:rPr>
                <w:rFonts w:ascii="Arial" w:hAnsi="Arial" w:cs="Arial"/>
                <w:sz w:val="18"/>
                <w:szCs w:val="18"/>
              </w:rPr>
              <w:t xml:space="preserve"> para que formalize e execute processo de gestão de incidentes de TIC, atentando-se, minimamente, em definir papéis, responsabilidades, critérios de priorização e escalamento, tratamento de incidentes de serviços e de segurança da informação, registro sistemático e rastreável das ocorrências e análise posterior dos incidentes relevantes ou recorrentes.</w:t>
            </w:r>
          </w:p>
        </w:tc>
      </w:tr>
    </w:tbl>
    <w:p w14:paraId="2D7B7BB7" w14:textId="77777777" w:rsidR="00EF220B" w:rsidRDefault="00EF220B" w:rsidP="001E6730">
      <w:pPr>
        <w:jc w:val="center"/>
        <w:rPr>
          <w:rFonts w:ascii="Arial" w:hAnsi="Arial" w:cs="Arial"/>
          <w:b/>
        </w:rPr>
      </w:pPr>
    </w:p>
    <w:p w14:paraId="7545E4FB" w14:textId="77777777" w:rsidR="00655036" w:rsidRDefault="00EF220B">
      <w:pPr>
        <w:spacing w:after="160" w:line="259" w:lineRule="auto"/>
        <w:rPr>
          <w:rFonts w:ascii="Arial" w:hAnsi="Arial" w:cs="Arial"/>
          <w:b/>
        </w:rPr>
      </w:pPr>
      <w:r>
        <w:rPr>
          <w:rFonts w:ascii="Arial" w:hAnsi="Arial" w:cs="Arial"/>
          <w:b/>
        </w:rPr>
        <w:br w:type="page"/>
      </w:r>
    </w:p>
    <w:tbl>
      <w:tblPr>
        <w:tblStyle w:val="Tabelacomgrad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6"/>
        <w:gridCol w:w="3364"/>
        <w:gridCol w:w="3364"/>
        <w:gridCol w:w="3534"/>
        <w:gridCol w:w="3179"/>
        <w:gridCol w:w="6801"/>
      </w:tblGrid>
      <w:tr w:rsidR="00655036" w:rsidRPr="00636B72" w14:paraId="6F0859E5" w14:textId="77777777" w:rsidTr="003A6734">
        <w:trPr>
          <w:trHeight w:val="300"/>
          <w:tblHeader/>
        </w:trPr>
        <w:tc>
          <w:tcPr>
            <w:tcW w:w="473" w:type="pct"/>
          </w:tcPr>
          <w:p w14:paraId="156E78A8" w14:textId="77777777" w:rsidR="00655036" w:rsidRPr="00636B72" w:rsidRDefault="00655036" w:rsidP="003A6734">
            <w:pPr>
              <w:autoSpaceDE w:val="0"/>
              <w:autoSpaceDN w:val="0"/>
              <w:adjustRightInd w:val="0"/>
              <w:spacing w:before="40" w:after="60"/>
              <w:jc w:val="center"/>
              <w:rPr>
                <w:rFonts w:ascii="Arial" w:hAnsi="Arial" w:cs="Arial"/>
                <w:b/>
                <w:bCs/>
                <w:sz w:val="16"/>
                <w:szCs w:val="16"/>
              </w:rPr>
            </w:pPr>
            <w:r>
              <w:rPr>
                <w:rFonts w:ascii="Arial" w:hAnsi="Arial" w:cs="Arial"/>
                <w:b/>
                <w:bCs/>
                <w:sz w:val="16"/>
                <w:szCs w:val="16"/>
              </w:rPr>
              <w:lastRenderedPageBreak/>
              <w:t>ACHADO</w:t>
            </w:r>
          </w:p>
        </w:tc>
        <w:tc>
          <w:tcPr>
            <w:tcW w:w="752" w:type="pct"/>
            <w:vAlign w:val="center"/>
          </w:tcPr>
          <w:p w14:paraId="4A178817" w14:textId="77777777" w:rsidR="00655036" w:rsidRPr="00636B72" w:rsidRDefault="00655036" w:rsidP="003A6734">
            <w:pPr>
              <w:autoSpaceDE w:val="0"/>
              <w:autoSpaceDN w:val="0"/>
              <w:adjustRightInd w:val="0"/>
              <w:spacing w:before="40" w:after="60"/>
              <w:jc w:val="center"/>
              <w:rPr>
                <w:rFonts w:ascii="Arial" w:hAnsi="Arial" w:cs="Arial"/>
                <w:b/>
                <w:bCs/>
                <w:sz w:val="16"/>
                <w:szCs w:val="16"/>
              </w:rPr>
            </w:pPr>
            <w:r>
              <w:rPr>
                <w:rFonts w:ascii="Arial" w:hAnsi="Arial" w:cs="Arial"/>
                <w:b/>
                <w:bCs/>
                <w:sz w:val="16"/>
                <w:szCs w:val="16"/>
              </w:rPr>
              <w:t>CRITÉRIO</w:t>
            </w:r>
          </w:p>
        </w:tc>
        <w:tc>
          <w:tcPr>
            <w:tcW w:w="752" w:type="pct"/>
            <w:vAlign w:val="center"/>
          </w:tcPr>
          <w:p w14:paraId="03CCCA01" w14:textId="77777777" w:rsidR="00655036" w:rsidRPr="00636B72" w:rsidRDefault="00655036" w:rsidP="003A6734">
            <w:pPr>
              <w:spacing w:before="40" w:after="60"/>
              <w:jc w:val="center"/>
              <w:rPr>
                <w:rFonts w:ascii="Arial" w:hAnsi="Arial" w:cs="Arial"/>
                <w:b/>
                <w:bCs/>
                <w:sz w:val="16"/>
                <w:szCs w:val="16"/>
              </w:rPr>
            </w:pPr>
            <w:r>
              <w:rPr>
                <w:rFonts w:ascii="Arial" w:hAnsi="Arial" w:cs="Arial"/>
                <w:b/>
                <w:bCs/>
                <w:sz w:val="16"/>
                <w:szCs w:val="16"/>
              </w:rPr>
              <w:t>EVIDÊNCIA</w:t>
            </w:r>
          </w:p>
        </w:tc>
        <w:tc>
          <w:tcPr>
            <w:tcW w:w="790" w:type="pct"/>
            <w:vAlign w:val="center"/>
          </w:tcPr>
          <w:p w14:paraId="626E2E33" w14:textId="77777777" w:rsidR="00655036" w:rsidRPr="00636B72" w:rsidRDefault="00655036" w:rsidP="003A6734">
            <w:pPr>
              <w:spacing w:before="40" w:after="60"/>
              <w:jc w:val="center"/>
              <w:rPr>
                <w:rFonts w:ascii="Arial" w:hAnsi="Arial" w:cs="Arial"/>
                <w:b/>
                <w:bCs/>
                <w:strike/>
                <w:sz w:val="16"/>
                <w:szCs w:val="16"/>
              </w:rPr>
            </w:pPr>
            <w:r>
              <w:rPr>
                <w:rFonts w:ascii="Arial" w:hAnsi="Arial" w:cs="Arial"/>
                <w:b/>
                <w:bCs/>
                <w:sz w:val="16"/>
                <w:szCs w:val="16"/>
              </w:rPr>
              <w:t>CAUSA</w:t>
            </w:r>
          </w:p>
        </w:tc>
        <w:tc>
          <w:tcPr>
            <w:tcW w:w="711" w:type="pct"/>
            <w:vAlign w:val="center"/>
          </w:tcPr>
          <w:p w14:paraId="37EF5051" w14:textId="77777777" w:rsidR="00655036" w:rsidRPr="00636B72" w:rsidRDefault="00655036" w:rsidP="003A6734">
            <w:pPr>
              <w:spacing w:before="40" w:after="60"/>
              <w:jc w:val="center"/>
              <w:rPr>
                <w:rFonts w:ascii="Arial" w:hAnsi="Arial" w:cs="Arial"/>
                <w:b/>
                <w:bCs/>
                <w:sz w:val="16"/>
                <w:szCs w:val="16"/>
              </w:rPr>
            </w:pPr>
            <w:r>
              <w:rPr>
                <w:rFonts w:ascii="Arial" w:hAnsi="Arial" w:cs="Arial"/>
                <w:b/>
                <w:bCs/>
                <w:sz w:val="16"/>
                <w:szCs w:val="16"/>
              </w:rPr>
              <w:t>EFEITO</w:t>
            </w:r>
          </w:p>
        </w:tc>
        <w:tc>
          <w:tcPr>
            <w:tcW w:w="1521" w:type="pct"/>
            <w:vAlign w:val="center"/>
          </w:tcPr>
          <w:p w14:paraId="72E8FB94" w14:textId="77777777" w:rsidR="00655036" w:rsidRPr="00636B72" w:rsidRDefault="00655036" w:rsidP="003A6734">
            <w:pPr>
              <w:spacing w:before="40" w:after="60"/>
              <w:jc w:val="center"/>
              <w:rPr>
                <w:rFonts w:ascii="Arial" w:hAnsi="Arial" w:cs="Arial"/>
                <w:b/>
                <w:bCs/>
                <w:sz w:val="16"/>
                <w:szCs w:val="16"/>
              </w:rPr>
            </w:pPr>
            <w:r>
              <w:rPr>
                <w:rFonts w:ascii="Arial" w:hAnsi="Arial" w:cs="Arial"/>
                <w:b/>
                <w:bCs/>
                <w:sz w:val="16"/>
                <w:szCs w:val="16"/>
              </w:rPr>
              <w:t>ENCAMINHAMENTO</w:t>
            </w:r>
          </w:p>
        </w:tc>
      </w:tr>
      <w:tr w:rsidR="003B5A03" w:rsidRPr="00636B72" w14:paraId="09514458" w14:textId="77777777" w:rsidTr="003A6734">
        <w:trPr>
          <w:trHeight w:val="300"/>
        </w:trPr>
        <w:tc>
          <w:tcPr>
            <w:tcW w:w="473" w:type="pct"/>
          </w:tcPr>
          <w:p w14:paraId="2E6D8D38" w14:textId="77777777" w:rsidR="0033067B" w:rsidRDefault="00581C72">
            <w:pPr>
              <w:spacing w:after="60"/>
              <w:jc w:val="both"/>
              <w:rPr>
                <w:rFonts w:ascii="Arial" w:hAnsi="Arial" w:cs="Arial"/>
                <w:b/>
                <w:bCs/>
                <w:sz w:val="18"/>
                <w:szCs w:val="18"/>
              </w:rPr>
            </w:pPr>
            <w:r>
              <w:rPr>
                <w:rFonts w:ascii="Arial" w:hAnsi="Arial" w:cs="Arial"/>
                <w:b/>
                <w:bCs/>
                <w:sz w:val="18"/>
                <w:szCs w:val="18"/>
              </w:rPr>
              <w:t>ACHADO 06</w:t>
            </w:r>
          </w:p>
          <w:p w14:paraId="3BCF6DE4" w14:textId="77777777" w:rsidR="0033067B" w:rsidRDefault="0033067B">
            <w:pPr>
              <w:spacing w:after="60"/>
              <w:jc w:val="both"/>
              <w:rPr>
                <w:rFonts w:ascii="Arial" w:hAnsi="Arial" w:cs="Arial"/>
                <w:b/>
                <w:bCs/>
                <w:sz w:val="18"/>
                <w:szCs w:val="18"/>
              </w:rPr>
            </w:pPr>
          </w:p>
          <w:p w14:paraId="1FB7A7C9" w14:textId="77777777" w:rsidR="0033067B" w:rsidRDefault="00581C72">
            <w:pPr>
              <w:spacing w:after="60"/>
              <w:jc w:val="both"/>
              <w:rPr>
                <w:rFonts w:ascii="Arial" w:hAnsi="Arial" w:cs="Arial"/>
                <w:b/>
                <w:bCs/>
                <w:sz w:val="18"/>
                <w:szCs w:val="18"/>
              </w:rPr>
            </w:pPr>
            <w:r>
              <w:rPr>
                <w:rFonts w:ascii="Arial" w:eastAsia="Arial" w:hAnsi="Arial" w:cs="Arial"/>
                <w:sz w:val="18"/>
                <w:szCs w:val="18"/>
              </w:rPr>
              <w:t>Fragilidades na governança técnica da fase preparatória das contratações de TIC</w:t>
            </w:r>
          </w:p>
        </w:tc>
        <w:tc>
          <w:tcPr>
            <w:tcW w:w="752" w:type="pct"/>
          </w:tcPr>
          <w:p w14:paraId="63AC8955" w14:textId="77777777" w:rsidR="0033067B" w:rsidRDefault="00581C72">
            <w:pPr>
              <w:jc w:val="both"/>
              <w:rPr>
                <w:rFonts w:ascii="Arial" w:hAnsi="Arial" w:cs="Arial"/>
                <w:sz w:val="18"/>
                <w:szCs w:val="18"/>
                <w:vertAlign w:val="superscript"/>
              </w:rPr>
            </w:pPr>
            <w:r>
              <w:rPr>
                <w:rFonts w:ascii="Arial" w:hAnsi="Arial" w:cs="Arial"/>
                <w:b/>
                <w:sz w:val="18"/>
                <w:szCs w:val="18"/>
              </w:rPr>
              <w:t>Art. 11, parágrafo único, da Lei 14.133/2021:</w:t>
            </w:r>
            <w:r>
              <w:rPr>
                <w:rFonts w:ascii="Arial" w:hAnsi="Arial" w:cs="Arial"/>
                <w:sz w:val="18"/>
                <w:szCs w:val="18"/>
              </w:rPr>
              <w:t xml:space="preserve"> responsabilidade da alta administração pela governança das contratações, com processos, estruturas, gestão de riscos e controles internos.</w:t>
            </w:r>
          </w:p>
          <w:p w14:paraId="6D1D6E5F" w14:textId="77777777" w:rsidR="0033067B" w:rsidRDefault="0033067B">
            <w:pPr>
              <w:jc w:val="both"/>
              <w:rPr>
                <w:rFonts w:ascii="Arial" w:hAnsi="Arial" w:cs="Arial"/>
                <w:sz w:val="18"/>
                <w:szCs w:val="18"/>
                <w:vertAlign w:val="superscript"/>
              </w:rPr>
            </w:pPr>
          </w:p>
          <w:p w14:paraId="1D203351" w14:textId="77777777" w:rsidR="0033067B" w:rsidRDefault="00581C72">
            <w:pPr>
              <w:jc w:val="both"/>
              <w:rPr>
                <w:rFonts w:ascii="Arial" w:hAnsi="Arial" w:cs="Arial"/>
                <w:sz w:val="18"/>
                <w:szCs w:val="18"/>
                <w:vertAlign w:val="superscript"/>
              </w:rPr>
            </w:pPr>
            <w:r>
              <w:rPr>
                <w:rFonts w:ascii="Arial" w:hAnsi="Arial" w:cs="Arial"/>
                <w:b/>
                <w:sz w:val="18"/>
                <w:szCs w:val="18"/>
              </w:rPr>
              <w:t>Art. 19, inciso IV, da Lei 14.133/2021:</w:t>
            </w:r>
            <w:r>
              <w:rPr>
                <w:rFonts w:ascii="Arial" w:hAnsi="Arial" w:cs="Arial"/>
                <w:sz w:val="18"/>
                <w:szCs w:val="18"/>
              </w:rPr>
              <w:t xml:space="preserve"> instituição de modelos de minutas de editais, termos de referência, contratos padronizados e demais documentos.</w:t>
            </w:r>
          </w:p>
          <w:p w14:paraId="775D6731" w14:textId="77777777" w:rsidR="0033067B" w:rsidRDefault="0033067B">
            <w:pPr>
              <w:jc w:val="both"/>
              <w:rPr>
                <w:rFonts w:ascii="Arial" w:hAnsi="Arial" w:cs="Arial"/>
                <w:sz w:val="18"/>
                <w:szCs w:val="18"/>
                <w:vertAlign w:val="superscript"/>
              </w:rPr>
            </w:pPr>
          </w:p>
          <w:p w14:paraId="554CA88D" w14:textId="77777777" w:rsidR="0033067B" w:rsidRDefault="00581C72">
            <w:pPr>
              <w:jc w:val="both"/>
              <w:rPr>
                <w:rFonts w:ascii="Arial" w:hAnsi="Arial" w:cs="Arial"/>
                <w:sz w:val="18"/>
                <w:szCs w:val="18"/>
                <w:vertAlign w:val="superscript"/>
              </w:rPr>
            </w:pPr>
            <w:r>
              <w:rPr>
                <w:rFonts w:ascii="Arial" w:hAnsi="Arial" w:cs="Arial"/>
                <w:b/>
                <w:sz w:val="18"/>
                <w:szCs w:val="18"/>
              </w:rPr>
              <w:t>COBIT 2019, APO01.09 - Definir e comunicar políticas e procedimentos:</w:t>
            </w:r>
            <w:r>
              <w:rPr>
                <w:rFonts w:ascii="Arial" w:hAnsi="Arial" w:cs="Arial"/>
                <w:sz w:val="18"/>
                <w:szCs w:val="18"/>
              </w:rPr>
              <w:t xml:space="preserve"> manter políticas, procedimentos e orientações para direcionar processos de gestão de TIC.</w:t>
            </w:r>
          </w:p>
          <w:p w14:paraId="78EB1CD5" w14:textId="77777777" w:rsidR="0033067B" w:rsidRDefault="0033067B">
            <w:pPr>
              <w:jc w:val="both"/>
              <w:rPr>
                <w:rFonts w:ascii="Arial" w:hAnsi="Arial" w:cs="Arial"/>
                <w:sz w:val="18"/>
                <w:szCs w:val="18"/>
                <w:vertAlign w:val="superscript"/>
              </w:rPr>
            </w:pPr>
          </w:p>
          <w:p w14:paraId="6EBE21FE" w14:textId="77777777" w:rsidR="0033067B" w:rsidRDefault="00581C72">
            <w:pPr>
              <w:jc w:val="both"/>
              <w:rPr>
                <w:rFonts w:ascii="Arial" w:hAnsi="Arial" w:cs="Arial"/>
                <w:sz w:val="18"/>
                <w:szCs w:val="18"/>
                <w:vertAlign w:val="superscript"/>
              </w:rPr>
            </w:pPr>
            <w:r>
              <w:rPr>
                <w:rFonts w:ascii="Arial" w:hAnsi="Arial" w:cs="Arial"/>
                <w:b/>
                <w:sz w:val="18"/>
                <w:szCs w:val="18"/>
              </w:rPr>
              <w:t>COBIT 2019, BAI02.04 - Obter aprovação dos requisitos da solução:</w:t>
            </w:r>
            <w:r>
              <w:rPr>
                <w:rFonts w:ascii="Arial" w:hAnsi="Arial" w:cs="Arial"/>
                <w:sz w:val="18"/>
                <w:szCs w:val="18"/>
              </w:rPr>
              <w:t xml:space="preserve"> obter aprovação formal dos requisitos funcionais, técnicos, de segurança e de conformidade antes de prosseguir com a solução.</w:t>
            </w:r>
          </w:p>
          <w:p w14:paraId="0F2B0EFA" w14:textId="77777777" w:rsidR="0033067B" w:rsidRDefault="0033067B">
            <w:pPr>
              <w:jc w:val="both"/>
              <w:rPr>
                <w:rFonts w:ascii="Arial" w:hAnsi="Arial" w:cs="Arial"/>
                <w:sz w:val="18"/>
                <w:szCs w:val="18"/>
                <w:vertAlign w:val="superscript"/>
              </w:rPr>
            </w:pPr>
          </w:p>
          <w:p w14:paraId="01EA507C" w14:textId="77777777" w:rsidR="0033067B" w:rsidRDefault="00581C72">
            <w:pPr>
              <w:jc w:val="both"/>
              <w:rPr>
                <w:rFonts w:ascii="Arial" w:hAnsi="Arial" w:cs="Arial"/>
                <w:sz w:val="18"/>
                <w:szCs w:val="18"/>
                <w:vertAlign w:val="superscript"/>
              </w:rPr>
            </w:pPr>
            <w:r>
              <w:rPr>
                <w:rFonts w:ascii="Arial" w:hAnsi="Arial" w:cs="Arial"/>
                <w:b/>
                <w:sz w:val="18"/>
                <w:szCs w:val="18"/>
              </w:rPr>
              <w:t>COBIT 2019, APO01.05 - Estabelecer papéis e responsabilidades:</w:t>
            </w:r>
            <w:r>
              <w:rPr>
                <w:rFonts w:ascii="Arial" w:hAnsi="Arial" w:cs="Arial"/>
                <w:sz w:val="18"/>
                <w:szCs w:val="18"/>
              </w:rPr>
              <w:t xml:space="preserve"> definir e comunicar papéis e responsabilidades relacionados à informação e à tecnologia.</w:t>
            </w:r>
          </w:p>
          <w:p w14:paraId="151E595A" w14:textId="77777777" w:rsidR="0033067B" w:rsidRDefault="0033067B">
            <w:pPr>
              <w:jc w:val="both"/>
              <w:rPr>
                <w:rFonts w:ascii="Arial" w:hAnsi="Arial" w:cs="Arial"/>
                <w:sz w:val="18"/>
                <w:szCs w:val="18"/>
                <w:vertAlign w:val="superscript"/>
              </w:rPr>
            </w:pPr>
          </w:p>
          <w:p w14:paraId="48567CEE" w14:textId="77777777" w:rsidR="0033067B" w:rsidRDefault="00581C72">
            <w:pPr>
              <w:jc w:val="both"/>
              <w:rPr>
                <w:rFonts w:ascii="Arial" w:hAnsi="Arial" w:cs="Arial"/>
                <w:sz w:val="18"/>
                <w:szCs w:val="18"/>
                <w:vertAlign w:val="superscript"/>
              </w:rPr>
            </w:pPr>
            <w:r>
              <w:rPr>
                <w:rFonts w:ascii="Arial" w:hAnsi="Arial" w:cs="Arial"/>
                <w:b/>
                <w:sz w:val="18"/>
                <w:szCs w:val="18"/>
              </w:rPr>
              <w:t>Art. 18, caput e §1º, incisos I, IV, V, VIII, IX, X e XIII, da Lei 14.133/2021:</w:t>
            </w:r>
            <w:r>
              <w:rPr>
                <w:rFonts w:ascii="Arial" w:hAnsi="Arial" w:cs="Arial"/>
                <w:sz w:val="18"/>
                <w:szCs w:val="18"/>
              </w:rPr>
              <w:t xml:space="preserve"> fase preparatória caracterizada pelo planejamento, compatibilização com o plano de contratações anual e elementos mínimos do estudo técnico preliminar.</w:t>
            </w:r>
          </w:p>
          <w:p w14:paraId="39039FE3" w14:textId="77777777" w:rsidR="0033067B" w:rsidRDefault="0033067B">
            <w:pPr>
              <w:jc w:val="both"/>
              <w:rPr>
                <w:rFonts w:ascii="Arial" w:hAnsi="Arial" w:cs="Arial"/>
                <w:sz w:val="18"/>
                <w:szCs w:val="18"/>
                <w:vertAlign w:val="superscript"/>
              </w:rPr>
            </w:pPr>
          </w:p>
          <w:p w14:paraId="5B1990BE" w14:textId="77777777" w:rsidR="0033067B" w:rsidRDefault="00581C72">
            <w:pPr>
              <w:jc w:val="both"/>
              <w:rPr>
                <w:rFonts w:ascii="Arial" w:hAnsi="Arial" w:cs="Arial"/>
                <w:sz w:val="18"/>
                <w:szCs w:val="18"/>
                <w:vertAlign w:val="superscript"/>
              </w:rPr>
            </w:pPr>
            <w:r>
              <w:rPr>
                <w:rFonts w:ascii="Arial" w:hAnsi="Arial" w:cs="Arial"/>
                <w:b/>
                <w:sz w:val="18"/>
                <w:szCs w:val="18"/>
              </w:rPr>
              <w:t>Art. 7º, caput, incisos I a III e §1º, da Lei 14.133/2021:</w:t>
            </w:r>
            <w:r>
              <w:rPr>
                <w:rFonts w:ascii="Arial" w:hAnsi="Arial" w:cs="Arial"/>
                <w:sz w:val="18"/>
                <w:szCs w:val="18"/>
              </w:rPr>
              <w:t xml:space="preserve"> designação de agentes públicos para funções essenciais, observados atribuições, formação, segregação de funções e inexistência de vínculos que comprometam a atuação.</w:t>
            </w:r>
          </w:p>
          <w:p/>
          <w:p>
            <w:r>
              <w:rPr>
                <w:rFonts w:ascii="Arial" w:hAnsi="Arial"/>
                <w:b/>
                <w:sz w:val="18"/>
              </w:rPr>
              <w:t>Instrução Normativa SGD/ME nº 94, de 23 de dezembro de 2022, art. 1º, § 1º:</w:t>
            </w:r>
            <w:r>
              <w:rPr>
                <w:rFonts w:ascii="Arial" w:hAnsi="Arial"/>
                <w:b w:val="0"/>
                <w:sz w:val="18"/>
              </w:rPr>
              <w:t xml:space="preserve"> como referência de boa prática, a aplicação de ritos formais de contratação de TIC pode ser facultada para contratações diretas por dispensa em razão do valor (inciso II do art. 75 da Lei nº 14.133/2021), indicando a possibilidade de fluxos simplificados para aquisições de baixa complexidade ou valor.</w:t>
            </w:r>
          </w:p>
        </w:tc>
        <w:tc>
          <w:tcPr>
            <w:tcW w:w="752" w:type="pct"/>
          </w:tcPr>
          <w:p w14:paraId="7ED2BB96" w14:textId="77777777" w:rsidR="0033067B" w:rsidRDefault="00581C72">
            <w:pPr>
              <w:spacing w:after="60"/>
              <w:jc w:val="both"/>
              <w:rPr>
                <w:rFonts w:ascii="Arial" w:hAnsi="Arial" w:cs="Arial"/>
                <w:sz w:val="18"/>
                <w:szCs w:val="18"/>
              </w:rPr>
            </w:pPr>
            <w:r>
              <w:rPr>
                <w:rFonts w:ascii="Arial" w:hAnsi="Arial" w:cs="Arial"/>
                <w:b/>
                <w:bCs/>
                <w:sz w:val="18"/>
                <w:szCs w:val="18"/>
              </w:rPr>
              <w:t>Respostas Questionário</w:t>
            </w:r>
            <w:r>
              <w:rPr>
                <w:rFonts w:ascii="Arial" w:hAnsi="Arial" w:cs="Arial"/>
                <w:sz w:val="18"/>
                <w:szCs w:val="18"/>
              </w:rPr>
              <w:t xml:space="preserve"> - Respostas e evidências anexadas ao questionário eletrônico iGovTI 2026, avaliadas conforme as regras de identificação previstas na matriz de planejamento.</w:t>
            </w:r>
          </w:p>
          <w:p w14:paraId="75735F47" w14:textId="77777777" w:rsidR="0033067B" w:rsidRDefault="0033067B">
            <w:pPr>
              <w:spacing w:after="60"/>
              <w:jc w:val="both"/>
              <w:rPr>
                <w:rFonts w:ascii="Arial" w:hAnsi="Arial" w:cs="Arial"/>
                <w:sz w:val="18"/>
                <w:szCs w:val="18"/>
              </w:rPr>
            </w:pPr>
          </w:p>
          <w:p w14:paraId="661B154F" w14:textId="77777777" w:rsidR="0033067B" w:rsidRDefault="00581C72">
            <w:pPr>
              <w:spacing w:after="60"/>
              <w:jc w:val="both"/>
              <w:rPr>
                <w:rFonts w:ascii="Arial" w:hAnsi="Arial" w:cs="Arial"/>
                <w:sz w:val="18"/>
                <w:szCs w:val="18"/>
              </w:rPr>
            </w:pPr>
            <w:r>
              <w:rPr>
                <w:rFonts w:ascii="Arial" w:hAnsi="Arial" w:cs="Arial"/>
                <w:sz w:val="18"/>
                <w:szCs w:val="18"/>
              </w:rPr>
              <w:t>a) Resposta negativa ou insuficiente sobre processo formal e padronizado para contratações de TIC.</w:t>
            </w:r>
          </w:p>
          <w:p w14:paraId="380D74E8" w14:textId="77777777" w:rsidR="0033067B" w:rsidRDefault="00581C72">
            <w:pPr>
              <w:spacing w:after="60"/>
              <w:jc w:val="both"/>
              <w:rPr>
                <w:rFonts w:ascii="Arial" w:hAnsi="Arial" w:cs="Arial"/>
                <w:sz w:val="18"/>
                <w:szCs w:val="18"/>
              </w:rPr>
            </w:pPr>
            <w:r>
              <w:rPr>
                <w:rFonts w:ascii="Arial" w:hAnsi="Arial" w:cs="Arial"/>
                <w:sz w:val="18"/>
                <w:szCs w:val="18"/>
              </w:rPr>
              <w:t>b) Ausência, desatualização ou insuficiência de evidências de fluxo, papéis, responsabilidades, modelos, manuais, checklists ou normativos orientativos.</w:t>
            </w:r>
          </w:p>
          <w:p w14:paraId="774AAFC3" w14:textId="77777777" w:rsidR="0033067B" w:rsidRDefault="00581C72">
            <w:pPr>
              <w:spacing w:after="60"/>
              <w:jc w:val="both"/>
              <w:rPr>
                <w:rFonts w:ascii="Arial" w:hAnsi="Arial" w:cs="Arial"/>
                <w:sz w:val="18"/>
                <w:szCs w:val="18"/>
              </w:rPr>
            </w:pPr>
            <w:r>
              <w:rPr>
                <w:rFonts w:ascii="Arial" w:hAnsi="Arial" w:cs="Arial"/>
                <w:sz w:val="18"/>
                <w:szCs w:val="18"/>
              </w:rPr>
              <w:t>c) Resposta negativa ou insuficiente sobre análise prévia e aprovação técnica da área de TIC.</w:t>
            </w:r>
          </w:p>
          <w:p w14:paraId="0745B09F" w14:textId="77777777" w:rsidR="0033067B" w:rsidRDefault="00581C72">
            <w:pPr>
              <w:spacing w:after="60"/>
              <w:jc w:val="both"/>
              <w:rPr>
                <w:rFonts w:ascii="Arial" w:hAnsi="Arial" w:cs="Arial"/>
                <w:sz w:val="18"/>
                <w:szCs w:val="18"/>
              </w:rPr>
            </w:pPr>
            <w:r>
              <w:rPr>
                <w:rFonts w:ascii="Arial" w:hAnsi="Arial" w:cs="Arial"/>
                <w:sz w:val="18"/>
                <w:szCs w:val="18"/>
              </w:rPr>
              <w:t>d) Ausência de evidência específica de aprovação técnica da área de TIC em caso concreto.</w:t>
            </w:r>
          </w:p>
          <w:p w14:paraId="17958314" w14:textId="77777777" w:rsidR="0033067B" w:rsidRDefault="00581C72">
            <w:pPr>
              <w:spacing w:after="60"/>
              <w:jc w:val="both"/>
              <w:rPr>
                <w:rFonts w:ascii="Arial" w:hAnsi="Arial" w:cs="Arial"/>
                <w:sz w:val="18"/>
                <w:szCs w:val="18"/>
              </w:rPr>
            </w:pPr>
            <w:r>
              <w:rPr>
                <w:rFonts w:ascii="Arial" w:hAnsi="Arial" w:cs="Arial"/>
                <w:sz w:val="18"/>
                <w:szCs w:val="18"/>
              </w:rPr>
              <w:t>e) Resposta negativa ou insuficiente sobre aderência das contratações ao plano de TIC ou ao plano de contratações.</w:t>
            </w:r>
          </w:p>
          <w:p w14:paraId="5DD25C66" w14:textId="77777777" w:rsidR="0033067B" w:rsidRDefault="00581C72">
            <w:pPr>
              <w:spacing w:after="60"/>
              <w:jc w:val="both"/>
              <w:rPr>
                <w:rFonts w:ascii="Arial" w:hAnsi="Arial" w:cs="Arial"/>
                <w:sz w:val="18"/>
                <w:szCs w:val="18"/>
              </w:rPr>
            </w:pPr>
            <w:r>
              <w:rPr>
                <w:rFonts w:ascii="Arial" w:hAnsi="Arial" w:cs="Arial"/>
                <w:sz w:val="18"/>
                <w:szCs w:val="18"/>
              </w:rPr>
              <w:t>f) Resposta negativa ou insuficiente sobre equipe de planejamento formalmente designada e com participação técnica de TIC.</w:t>
            </w:r>
          </w:p>
        </w:tc>
        <w:tc>
          <w:tcPr>
            <w:tcW w:w="790" w:type="pct"/>
          </w:tcPr>
          <w:p w14:paraId="6A2F8F7E" w14:textId="77777777" w:rsidR="0033067B" w:rsidRDefault="00581C72">
            <w:pPr>
              <w:jc w:val="both"/>
              <w:rPr>
                <w:rFonts w:ascii="Arial" w:hAnsi="Arial" w:cs="Arial"/>
                <w:sz w:val="18"/>
                <w:szCs w:val="18"/>
              </w:rPr>
            </w:pPr>
            <w:r>
              <w:rPr>
                <w:rFonts w:ascii="Arial" w:hAnsi="Arial" w:cs="Arial"/>
                <w:b/>
                <w:bCs/>
                <w:sz w:val="18"/>
                <w:szCs w:val="18"/>
              </w:rPr>
              <w:t>Não investigada.</w:t>
            </w:r>
          </w:p>
        </w:tc>
        <w:tc>
          <w:tcPr>
            <w:tcW w:w="711" w:type="pct"/>
          </w:tcPr>
          <w:p w14:paraId="3DA0B7D4" w14:textId="77777777" w:rsidR="0033067B" w:rsidRDefault="00581C72">
            <w:pPr>
              <w:jc w:val="both"/>
              <w:rPr>
                <w:rFonts w:ascii="Arial" w:hAnsi="Arial" w:cs="Arial"/>
                <w:sz w:val="18"/>
                <w:szCs w:val="18"/>
              </w:rPr>
            </w:pPr>
            <w:r>
              <w:rPr>
                <w:rFonts w:ascii="Arial" w:hAnsi="Arial" w:cs="Arial"/>
                <w:b/>
                <w:sz w:val="18"/>
                <w:szCs w:val="18"/>
              </w:rPr>
              <w:t>Contratações pouco padronizadas:</w:t>
            </w:r>
            <w:r>
              <w:rPr>
                <w:rFonts w:ascii="Arial" w:hAnsi="Arial" w:cs="Arial"/>
                <w:sz w:val="18"/>
                <w:szCs w:val="18"/>
              </w:rPr>
              <w:t xml:space="preserve"> Inexistência ou fragilidade de processo formal aumenta a dependência de iniciativas isoladas e reduz a consistência dos artefatos de contratação.</w:t>
            </w:r>
          </w:p>
          <w:p w14:paraId="59B91ECC" w14:textId="77777777" w:rsidR="0033067B" w:rsidRDefault="0033067B">
            <w:pPr>
              <w:jc w:val="both"/>
              <w:rPr>
                <w:rFonts w:ascii="Arial" w:hAnsi="Arial" w:cs="Arial"/>
                <w:sz w:val="18"/>
                <w:szCs w:val="18"/>
              </w:rPr>
            </w:pPr>
          </w:p>
          <w:p w14:paraId="2DDF6FB2" w14:textId="77777777" w:rsidR="0033067B" w:rsidRDefault="00581C72">
            <w:pPr>
              <w:jc w:val="both"/>
              <w:rPr>
                <w:rFonts w:ascii="Arial" w:hAnsi="Arial" w:cs="Arial"/>
                <w:sz w:val="18"/>
                <w:szCs w:val="18"/>
              </w:rPr>
            </w:pPr>
            <w:r>
              <w:rPr>
                <w:rFonts w:ascii="Arial" w:hAnsi="Arial" w:cs="Arial"/>
                <w:b/>
                <w:sz w:val="18"/>
                <w:szCs w:val="18"/>
              </w:rPr>
              <w:t>Baixo controle técnico das soluções:</w:t>
            </w:r>
            <w:r>
              <w:rPr>
                <w:rFonts w:ascii="Arial" w:hAnsi="Arial" w:cs="Arial"/>
                <w:sz w:val="18"/>
                <w:szCs w:val="18"/>
              </w:rPr>
              <w:t xml:space="preserve"> Ausência de análise e aprovação da área de TIC aumenta o risco de soluções incompatíveis com padrões tecnológicos, arquitetura e segurança.</w:t>
            </w:r>
          </w:p>
          <w:p w14:paraId="6FCCD59B" w14:textId="77777777" w:rsidR="0033067B" w:rsidRDefault="0033067B">
            <w:pPr>
              <w:jc w:val="both"/>
              <w:rPr>
                <w:rFonts w:ascii="Arial" w:hAnsi="Arial" w:cs="Arial"/>
                <w:sz w:val="18"/>
                <w:szCs w:val="18"/>
              </w:rPr>
            </w:pPr>
          </w:p>
          <w:p w14:paraId="202B8243" w14:textId="77777777" w:rsidR="0033067B" w:rsidRDefault="00581C72">
            <w:pPr>
              <w:jc w:val="both"/>
              <w:rPr>
                <w:rFonts w:ascii="Arial" w:hAnsi="Arial" w:cs="Arial"/>
                <w:sz w:val="18"/>
                <w:szCs w:val="18"/>
              </w:rPr>
            </w:pPr>
            <w:r>
              <w:rPr>
                <w:rFonts w:ascii="Arial" w:hAnsi="Arial" w:cs="Arial"/>
                <w:b/>
                <w:sz w:val="18"/>
                <w:szCs w:val="18"/>
              </w:rPr>
              <w:t>Desalinhamento com prioridades institucionais:</w:t>
            </w:r>
            <w:r>
              <w:rPr>
                <w:rFonts w:ascii="Arial" w:hAnsi="Arial" w:cs="Arial"/>
                <w:sz w:val="18"/>
                <w:szCs w:val="18"/>
              </w:rPr>
              <w:t xml:space="preserve"> Contratações desconectadas do plano de TIC, do plano de contratações ou do orçamento podem consumir recursos sem atender necessidades priorizadas.</w:t>
            </w:r>
          </w:p>
          <w:p w14:paraId="40310DFF" w14:textId="77777777" w:rsidR="0033067B" w:rsidRDefault="0033067B">
            <w:pPr>
              <w:jc w:val="both"/>
              <w:rPr>
                <w:rFonts w:ascii="Arial" w:hAnsi="Arial" w:cs="Arial"/>
                <w:sz w:val="18"/>
                <w:szCs w:val="18"/>
              </w:rPr>
            </w:pPr>
          </w:p>
          <w:p w14:paraId="34F2B851" w14:textId="77777777" w:rsidR="0033067B" w:rsidRDefault="00581C72">
            <w:pPr>
              <w:jc w:val="both"/>
              <w:rPr>
                <w:rFonts w:ascii="Arial" w:hAnsi="Arial" w:cs="Arial"/>
                <w:sz w:val="18"/>
                <w:szCs w:val="18"/>
              </w:rPr>
            </w:pPr>
            <w:r>
              <w:rPr>
                <w:rFonts w:ascii="Arial" w:hAnsi="Arial" w:cs="Arial"/>
                <w:b/>
                <w:sz w:val="18"/>
                <w:szCs w:val="18"/>
              </w:rPr>
              <w:t>Fragilidade no planejamento da contratação:</w:t>
            </w:r>
            <w:r>
              <w:rPr>
                <w:rFonts w:ascii="Arial" w:hAnsi="Arial" w:cs="Arial"/>
                <w:sz w:val="18"/>
                <w:szCs w:val="18"/>
              </w:rPr>
              <w:t xml:space="preserve"> Ausência de equipe formalmente designada com participação técnica de TIC compromete estudos preliminares, análise de riscos, requisitos e fiscalização futura.</w:t>
            </w:r>
          </w:p>
        </w:tc>
        <w:tc>
          <w:tcPr>
            <w:tcW w:w="1521" w:type="pct"/>
          </w:tcPr>
          <w:p w14:paraId="5E95DC9B" w14:textId="77777777" w:rsidR="0033067B" w:rsidRDefault="00581C72">
            <w:pPr>
              <w:jc w:val="both"/>
              <w:rPr>
                <w:rFonts w:ascii="Arial" w:hAnsi="Arial" w:cs="Arial"/>
                <w:sz w:val="18"/>
                <w:szCs w:val="18"/>
              </w:rPr>
            </w:pPr>
            <w:r>
              <w:rPr>
                <w:rFonts w:ascii="Arial" w:hAnsi="Arial" w:cs="Arial"/>
                <w:b/>
                <w:bCs/>
                <w:sz w:val="18"/>
                <w:szCs w:val="18"/>
                <w:u w:val="single"/>
              </w:rPr>
              <w:t>Comunicação com Recomendação</w:t>
            </w:r>
            <w:r>
              <w:rPr>
                <w:rFonts w:ascii="Arial" w:hAnsi="Arial" w:cs="Arial"/>
                <w:sz w:val="18"/>
                <w:szCs w:val="18"/>
              </w:rPr>
              <w:t xml:space="preserve"> para que formalize e padronize o processo de contratação de TIC, atentando-se, minimamente, em definir fluxo, etapas, papéis, responsabilidades, instâncias de aprovação e modelos de artefatos, manuais, listas de verificação ou orientações internas aplicáveis.</w:t>
            </w:r>
          </w:p>
          <w:p w14:paraId="363D16B4" w14:textId="77777777" w:rsidR="0033067B" w:rsidRDefault="0033067B">
            <w:pPr>
              <w:jc w:val="both"/>
              <w:rPr>
                <w:rFonts w:ascii="Arial" w:hAnsi="Arial" w:cs="Arial"/>
                <w:sz w:val="18"/>
                <w:szCs w:val="18"/>
              </w:rPr>
            </w:pPr>
          </w:p>
          <w:p w14:paraId="609CBC8C" w14:textId="77777777" w:rsidR="0033067B" w:rsidRDefault="00581C72">
            <w:pPr>
              <w:jc w:val="both"/>
              <w:rPr>
                <w:rFonts w:ascii="Arial" w:hAnsi="Arial" w:cs="Arial"/>
                <w:sz w:val="18"/>
                <w:szCs w:val="18"/>
              </w:rPr>
            </w:pPr>
            <w:r>
              <w:rPr>
                <w:rFonts w:ascii="Arial" w:hAnsi="Arial" w:cs="Arial"/>
                <w:b/>
                <w:bCs/>
                <w:sz w:val="18"/>
                <w:szCs w:val="18"/>
                <w:u w:val="single"/>
              </w:rPr>
              <w:t>Comunicação com Recomendação</w:t>
            </w:r>
            <w:r>
              <w:rPr>
                <w:rFonts w:ascii="Arial" w:hAnsi="Arial" w:cs="Arial"/>
                <w:sz w:val="18"/>
                <w:szCs w:val="18"/>
              </w:rPr>
              <w:t xml:space="preserve"> para que estabeleça a submissão das contratações de TIC à análise prévia e à aprovação técnica da área de TIC, inclusive quando demandadas por outras áreas, de modo a verificar a compatibilidade da solução com os padrões tecnológicos, os requisitos institucionais, a segurança da informação e a arquitetura existente, facultando a adoção de fluxos simplificados ou a dispensa de parecer detalhado para contratações diretas por dispensa em razão do valor (baixo valor) ou de baixa complexidade técnica, mediante critérios objetivos ou catálogos de soluções padronizadas.</w:t>
            </w:r>
          </w:p>
          <w:p w14:paraId="77FA39CC" w14:textId="77777777" w:rsidR="0033067B" w:rsidRDefault="0033067B">
            <w:pPr>
              <w:jc w:val="both"/>
              <w:rPr>
                <w:rFonts w:ascii="Arial" w:hAnsi="Arial" w:cs="Arial"/>
                <w:sz w:val="18"/>
                <w:szCs w:val="18"/>
              </w:rPr>
            </w:pPr>
          </w:p>
          <w:p w14:paraId="55883960" w14:textId="77777777" w:rsidR="0033067B" w:rsidRDefault="00581C72">
            <w:pPr>
              <w:jc w:val="both"/>
              <w:rPr>
                <w:rFonts w:ascii="Arial" w:hAnsi="Arial" w:cs="Arial"/>
                <w:sz w:val="18"/>
                <w:szCs w:val="18"/>
              </w:rPr>
            </w:pPr>
            <w:r>
              <w:rPr>
                <w:rFonts w:ascii="Arial" w:hAnsi="Arial" w:cs="Arial"/>
                <w:b/>
                <w:bCs/>
                <w:sz w:val="18"/>
                <w:szCs w:val="18"/>
                <w:u w:val="single"/>
              </w:rPr>
              <w:t>Comunicação com Recomendação</w:t>
            </w:r>
            <w:r>
              <w:rPr>
                <w:rFonts w:ascii="Arial" w:hAnsi="Arial" w:cs="Arial"/>
                <w:sz w:val="18"/>
                <w:szCs w:val="18"/>
              </w:rPr>
              <w:t xml:space="preserve"> para que integre as contratações de TIC ao planejamento de TIC, ao plano de contratações e à proposta orçamentária, atentando-se, minimamente, em registrar a necessidade atendida, a prioridade, a disponibilidade de recursos e a justificativa das situações excepcionais.</w:t>
            </w:r>
          </w:p>
          <w:p w14:paraId="660DF1DD" w14:textId="77777777" w:rsidR="0033067B" w:rsidRDefault="0033067B">
            <w:pPr>
              <w:jc w:val="both"/>
              <w:rPr>
                <w:rFonts w:ascii="Arial" w:hAnsi="Arial" w:cs="Arial"/>
                <w:sz w:val="18"/>
                <w:szCs w:val="18"/>
              </w:rPr>
            </w:pPr>
          </w:p>
          <w:p w14:paraId="40048AE5" w14:textId="77777777" w:rsidR="0033067B" w:rsidRDefault="00581C72">
            <w:pPr>
              <w:jc w:val="both"/>
              <w:rPr>
                <w:rFonts w:ascii="Arial" w:hAnsi="Arial" w:cs="Arial"/>
                <w:sz w:val="18"/>
                <w:szCs w:val="18"/>
              </w:rPr>
            </w:pPr>
            <w:r>
              <w:rPr>
                <w:rFonts w:ascii="Arial" w:hAnsi="Arial" w:cs="Arial"/>
                <w:b/>
                <w:bCs/>
                <w:sz w:val="18"/>
                <w:szCs w:val="18"/>
                <w:u w:val="single"/>
              </w:rPr>
              <w:t>Comunicação com Recomendação</w:t>
            </w:r>
            <w:r>
              <w:rPr>
                <w:rFonts w:ascii="Arial" w:hAnsi="Arial" w:cs="Arial"/>
                <w:sz w:val="18"/>
                <w:szCs w:val="18"/>
              </w:rPr>
              <w:t xml:space="preserve"> para que designe formalmente equipe responsável pelo planejamento das contratações de TIC, atentando-se, minimamente, em assegurar a participação da área requisitante, da área técnica de TIC e das demais áreas necessárias, com definição das responsabilidades de seus integrantes.</w:t>
            </w:r>
          </w:p>
        </w:tc>
      </w:tr>
    </w:tbl>
    <w:p w14:paraId="0DB78C95" w14:textId="77777777" w:rsidR="00C94549" w:rsidRDefault="00C94549" w:rsidP="001E6730">
      <w:pPr>
        <w:jc w:val="center"/>
        <w:rPr>
          <w:rFonts w:ascii="Arial" w:hAnsi="Arial" w:cs="Arial"/>
          <w:b/>
        </w:rPr>
      </w:pPr>
    </w:p>
    <w:p w14:paraId="5598F4D6" w14:textId="77777777" w:rsidR="00C94549" w:rsidRDefault="00C94549">
      <w:pPr>
        <w:spacing w:after="160" w:line="259" w:lineRule="auto"/>
        <w:rPr>
          <w:rFonts w:ascii="Arial" w:hAnsi="Arial" w:cs="Arial"/>
          <w:b/>
        </w:rPr>
      </w:pPr>
      <w:r>
        <w:rPr>
          <w:rFonts w:ascii="Arial" w:hAnsi="Arial" w:cs="Arial"/>
          <w:b/>
        </w:rPr>
        <w:br w:type="page"/>
      </w:r>
    </w:p>
    <w:p w14:paraId="67F5A53C" w14:textId="77777777" w:rsidR="00A80F99" w:rsidRDefault="00A80F99" w:rsidP="001E6730">
      <w:pPr>
        <w:jc w:val="center"/>
        <w:rPr>
          <w:rFonts w:ascii="Arial" w:hAnsi="Arial" w:cs="Arial"/>
          <w:b/>
        </w:rPr>
      </w:pPr>
    </w:p>
    <w:p w14:paraId="55D0D36D" w14:textId="77777777" w:rsidR="00962849" w:rsidRDefault="00962849" w:rsidP="001E6730">
      <w:pPr>
        <w:jc w:val="center"/>
        <w:rPr>
          <w:rFonts w:ascii="Arial" w:hAnsi="Arial" w:cs="Arial"/>
          <w:b/>
        </w:rPr>
      </w:pPr>
    </w:p>
    <w:p w14:paraId="474BD443" w14:textId="77777777" w:rsidR="00962849" w:rsidRDefault="00962849">
      <w:pPr>
        <w:spacing w:after="160" w:line="259" w:lineRule="auto"/>
        <w:rPr>
          <w:rFonts w:ascii="Arial" w:hAnsi="Arial" w:cs="Arial"/>
          <w:b/>
        </w:rPr>
      </w:pPr>
      <w:r>
        <w:rPr>
          <w:rFonts w:ascii="Arial" w:hAnsi="Arial" w:cs="Arial"/>
          <w:b/>
        </w:rPr>
        <w:br w:type="page"/>
      </w:r>
    </w:p>
    <w:p w14:paraId="431AFC1C" w14:textId="77777777" w:rsidR="00AB5FA0" w:rsidRDefault="00AB5FA0" w:rsidP="001E6730">
      <w:pPr>
        <w:jc w:val="center"/>
        <w:rPr>
          <w:rFonts w:ascii="Arial" w:hAnsi="Arial" w:cs="Arial"/>
          <w:b/>
        </w:rPr>
      </w:pPr>
    </w:p>
    <w:p w14:paraId="7D469BFB" w14:textId="77777777" w:rsidR="00AB5FA0" w:rsidRPr="00697DEB" w:rsidRDefault="00AB5FA0" w:rsidP="00697DEB">
      <w:pPr>
        <w:spacing w:after="160" w:line="259" w:lineRule="auto"/>
        <w:rPr>
          <w:rFonts w:ascii="Arial" w:hAnsi="Arial" w:cs="Arial"/>
          <w:b/>
        </w:rPr>
      </w:pPr>
    </w:p>
    <w:p w14:paraId="18DAD5E9" w14:textId="77777777" w:rsidR="00557E4D" w:rsidRDefault="00557E4D" w:rsidP="00AB5FA0">
      <w:pPr>
        <w:spacing w:after="160" w:line="259" w:lineRule="auto"/>
        <w:rPr>
          <w:rFonts w:ascii="Arial" w:hAnsi="Arial" w:cs="Arial"/>
          <w:b/>
        </w:rPr>
      </w:pPr>
    </w:p>
    <w:sectPr w:rsidR="00557E4D" w:rsidSect="00E0568D">
      <w:headerReference w:type="default" r:id="rId11"/>
      <w:pgSz w:w="23808" w:h="16840" w:orient="landscape" w:code="8"/>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97161" w14:textId="77777777" w:rsidR="00581C72" w:rsidRDefault="00581C72" w:rsidP="00E1739A">
      <w:r>
        <w:separator/>
      </w:r>
    </w:p>
  </w:endnote>
  <w:endnote w:type="continuationSeparator" w:id="0">
    <w:p w14:paraId="4E7B25AA" w14:textId="77777777" w:rsidR="00581C72" w:rsidRDefault="00581C72" w:rsidP="00E1739A">
      <w:r>
        <w:continuationSeparator/>
      </w:r>
    </w:p>
  </w:endnote>
  <w:endnote w:type="continuationNotice" w:id="1">
    <w:p w14:paraId="4F3D1268" w14:textId="77777777" w:rsidR="00581C72" w:rsidRDefault="00581C7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TimesNewRoman">
    <w:altName w:val="Times New Roman"/>
    <w:panose1 w:val="00000000000000000000"/>
    <w:charset w:val="00"/>
    <w:family w:val="auto"/>
    <w:notTrueType/>
    <w:pitch w:val="default"/>
    <w:sig w:usb0="00000003" w:usb1="00000000" w:usb2="00000000" w:usb3="00000000" w:csb0="00000001" w:csb1="00000000"/>
  </w:font>
  <w:font w:name="Arial MT">
    <w:altName w:val="Arial"/>
    <w:charset w:val="01"/>
    <w:family w:val="swiss"/>
    <w:pitch w:val="variable"/>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476ED" w14:textId="77777777" w:rsidR="00581C72" w:rsidRDefault="00581C72" w:rsidP="00E1739A">
      <w:r>
        <w:separator/>
      </w:r>
    </w:p>
  </w:footnote>
  <w:footnote w:type="continuationSeparator" w:id="0">
    <w:p w14:paraId="089C0B73" w14:textId="77777777" w:rsidR="00581C72" w:rsidRDefault="00581C72" w:rsidP="00E1739A">
      <w:r>
        <w:continuationSeparator/>
      </w:r>
    </w:p>
  </w:footnote>
  <w:footnote w:type="continuationNotice" w:id="1">
    <w:p w14:paraId="135316EF" w14:textId="77777777" w:rsidR="00581C72" w:rsidRDefault="00581C7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ade"/>
      <w:tblW w:w="22397" w:type="dxa"/>
      <w:tblLook w:val="04A0" w:firstRow="1" w:lastRow="0" w:firstColumn="1" w:lastColumn="0" w:noHBand="0" w:noVBand="1"/>
    </w:tblPr>
    <w:tblGrid>
      <w:gridCol w:w="1838"/>
      <w:gridCol w:w="7093"/>
      <w:gridCol w:w="13466"/>
    </w:tblGrid>
    <w:tr w:rsidR="009036F0" w14:paraId="271DB252" w14:textId="77777777" w:rsidTr="00164EE8">
      <w:tc>
        <w:tcPr>
          <w:tcW w:w="1838" w:type="dxa"/>
        </w:tcPr>
        <w:p w14:paraId="29BBC290" w14:textId="77777777" w:rsidR="009036F0" w:rsidRDefault="009036F0" w:rsidP="009036F0">
          <w:pPr>
            <w:pStyle w:val="Ttulo"/>
            <w:spacing w:before="0"/>
            <w:ind w:left="0"/>
          </w:pPr>
          <w:r>
            <w:rPr>
              <w:noProof/>
            </w:rPr>
            <w:drawing>
              <wp:anchor distT="0" distB="0" distL="114300" distR="114300" simplePos="0" relativeHeight="251658240" behindDoc="0" locked="0" layoutInCell="1" allowOverlap="1" wp14:anchorId="25D10DD4" wp14:editId="600C4C9D">
                <wp:simplePos x="0" y="0"/>
                <wp:positionH relativeFrom="column">
                  <wp:posOffset>181637</wp:posOffset>
                </wp:positionH>
                <wp:positionV relativeFrom="paragraph">
                  <wp:posOffset>4815</wp:posOffset>
                </wp:positionV>
                <wp:extent cx="903478" cy="381468"/>
                <wp:effectExtent l="0" t="0" r="0" b="0"/>
                <wp:wrapNone/>
                <wp:docPr id="954985232" name="Picture 954985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horizontal-colorida-para_fundo_branco.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930644" cy="392938"/>
                        </a:xfrm>
                        <a:prstGeom prst="rect">
                          <a:avLst/>
                        </a:prstGeom>
                      </pic:spPr>
                    </pic:pic>
                  </a:graphicData>
                </a:graphic>
                <wp14:sizeRelH relativeFrom="page">
                  <wp14:pctWidth>0</wp14:pctWidth>
                </wp14:sizeRelH>
                <wp14:sizeRelV relativeFrom="page">
                  <wp14:pctHeight>0</wp14:pctHeight>
                </wp14:sizeRelV>
              </wp:anchor>
            </w:drawing>
          </w:r>
        </w:p>
      </w:tc>
      <w:tc>
        <w:tcPr>
          <w:tcW w:w="7093" w:type="dxa"/>
        </w:tcPr>
        <w:p w14:paraId="2323D007" w14:textId="77777777" w:rsidR="009036F0" w:rsidRPr="003C6BC3" w:rsidRDefault="009036F0" w:rsidP="003C6BC3">
          <w:pPr>
            <w:pStyle w:val="Cabealho"/>
            <w:rPr>
              <w:rFonts w:ascii="Arial" w:hAnsi="Arial" w:cs="Arial"/>
              <w:sz w:val="16"/>
              <w:szCs w:val="16"/>
            </w:rPr>
          </w:pPr>
          <w:r w:rsidRPr="003C6BC3">
            <w:rPr>
              <w:rFonts w:ascii="Arial" w:hAnsi="Arial" w:cs="Arial"/>
              <w:sz w:val="16"/>
              <w:szCs w:val="16"/>
            </w:rPr>
            <w:t>SECRETARIA-GERAL</w:t>
          </w:r>
          <w:r w:rsidRPr="003C6BC3">
            <w:rPr>
              <w:rFonts w:ascii="Arial" w:hAnsi="Arial" w:cs="Arial"/>
              <w:spacing w:val="-2"/>
              <w:sz w:val="16"/>
              <w:szCs w:val="16"/>
            </w:rPr>
            <w:t xml:space="preserve"> </w:t>
          </w:r>
          <w:r w:rsidRPr="003C6BC3">
            <w:rPr>
              <w:rFonts w:ascii="Arial" w:hAnsi="Arial" w:cs="Arial"/>
              <w:sz w:val="16"/>
              <w:szCs w:val="16"/>
            </w:rPr>
            <w:t>DE</w:t>
          </w:r>
          <w:r w:rsidRPr="003C6BC3">
            <w:rPr>
              <w:rFonts w:ascii="Arial" w:hAnsi="Arial" w:cs="Arial"/>
              <w:spacing w:val="-1"/>
              <w:sz w:val="16"/>
              <w:szCs w:val="16"/>
            </w:rPr>
            <w:t xml:space="preserve"> </w:t>
          </w:r>
          <w:r w:rsidRPr="003C6BC3">
            <w:rPr>
              <w:rFonts w:ascii="Arial" w:hAnsi="Arial" w:cs="Arial"/>
              <w:sz w:val="16"/>
              <w:szCs w:val="16"/>
            </w:rPr>
            <w:t>CONTROLE</w:t>
          </w:r>
          <w:r w:rsidRPr="003C6BC3">
            <w:rPr>
              <w:rFonts w:ascii="Arial" w:hAnsi="Arial" w:cs="Arial"/>
              <w:spacing w:val="-1"/>
              <w:sz w:val="16"/>
              <w:szCs w:val="16"/>
            </w:rPr>
            <w:t xml:space="preserve"> </w:t>
          </w:r>
          <w:r w:rsidRPr="003C6BC3">
            <w:rPr>
              <w:rFonts w:ascii="Arial" w:hAnsi="Arial" w:cs="Arial"/>
              <w:sz w:val="16"/>
              <w:szCs w:val="16"/>
            </w:rPr>
            <w:t>EXTERNO</w:t>
          </w:r>
        </w:p>
        <w:p w14:paraId="2FF05B7C" w14:textId="77777777" w:rsidR="009036F0" w:rsidRPr="003C6BC3" w:rsidRDefault="009036F0" w:rsidP="003C6BC3">
          <w:pPr>
            <w:pStyle w:val="Ttulo"/>
            <w:tabs>
              <w:tab w:val="left" w:pos="6105"/>
            </w:tabs>
            <w:spacing w:before="0"/>
            <w:ind w:left="0"/>
            <w:jc w:val="left"/>
            <w:rPr>
              <w:rFonts w:eastAsia="Arial MT"/>
              <w:b w:val="0"/>
              <w:bCs w:val="0"/>
              <w:sz w:val="16"/>
              <w:szCs w:val="16"/>
            </w:rPr>
          </w:pPr>
          <w:r w:rsidRPr="003C6BC3">
            <w:rPr>
              <w:rFonts w:eastAsia="Arial MT"/>
              <w:b w:val="0"/>
              <w:bCs w:val="0"/>
              <w:sz w:val="16"/>
              <w:szCs w:val="16"/>
            </w:rPr>
            <w:t>SUBSECRETARIA DE CONTROLE DE POLÍTICAS DE CIDADANIA</w:t>
          </w:r>
        </w:p>
        <w:p w14:paraId="32F26DB4" w14:textId="77777777" w:rsidR="009036F0" w:rsidRPr="003C6BC3" w:rsidRDefault="009036F0" w:rsidP="003C6BC3">
          <w:pPr>
            <w:pStyle w:val="Ttulo"/>
            <w:spacing w:before="0"/>
            <w:ind w:left="0"/>
            <w:jc w:val="left"/>
            <w:rPr>
              <w:sz w:val="16"/>
              <w:szCs w:val="16"/>
            </w:rPr>
          </w:pPr>
          <w:r w:rsidRPr="003C6BC3">
            <w:rPr>
              <w:rFonts w:eastAsia="Arial MT"/>
              <w:b w:val="0"/>
              <w:bCs w:val="0"/>
              <w:sz w:val="16"/>
              <w:szCs w:val="16"/>
            </w:rPr>
            <w:t>COORDENADORIA DE AUDITORIA DE POLÍTICAS EM TECNOLOGIA DA INFORMAÇÃO</w:t>
          </w:r>
        </w:p>
      </w:tc>
      <w:tc>
        <w:tcPr>
          <w:tcW w:w="13466" w:type="dxa"/>
        </w:tcPr>
        <w:p w14:paraId="19675B13" w14:textId="1D61EB62" w:rsidR="00D62CE9" w:rsidRPr="00F25234" w:rsidRDefault="00D62CE9" w:rsidP="00F42298">
          <w:pPr>
            <w:tabs>
              <w:tab w:val="right" w:pos="14034"/>
            </w:tabs>
            <w:autoSpaceDE w:val="0"/>
            <w:autoSpaceDN w:val="0"/>
            <w:adjustRightInd w:val="0"/>
            <w:spacing w:after="120"/>
            <w:ind w:left="-386" w:firstLine="386"/>
            <w:rPr>
              <w:rFonts w:ascii="Arial" w:hAnsi="Arial" w:cs="Arial"/>
              <w:sz w:val="18"/>
              <w:szCs w:val="18"/>
            </w:rPr>
          </w:pPr>
          <w:r w:rsidRPr="00F25234">
            <w:rPr>
              <w:rFonts w:ascii="Arial" w:hAnsi="Arial" w:cs="Arial"/>
              <w:b/>
              <w:bCs/>
              <w:sz w:val="18"/>
              <w:szCs w:val="18"/>
            </w:rPr>
            <w:t>FISCALIZAÇÃO</w:t>
          </w:r>
          <w:r w:rsidRPr="00F25234">
            <w:rPr>
              <w:rFonts w:ascii="Arial" w:hAnsi="Arial" w:cs="Arial"/>
              <w:sz w:val="18"/>
              <w:szCs w:val="18"/>
            </w:rPr>
            <w:t xml:space="preserve">: </w:t>
          </w:r>
          <w:r w:rsidR="004F7414">
            <w:rPr>
              <w:rFonts w:ascii="Arial" w:hAnsi="Arial" w:cs="Arial"/>
              <w:sz w:val="18"/>
              <w:szCs w:val="18"/>
            </w:rPr>
            <w:t>18/2026</w:t>
          </w:r>
        </w:p>
        <w:p w14:paraId="2D1DA2B9" w14:textId="77A57D2C" w:rsidR="00D62CE9" w:rsidRPr="008927C5" w:rsidRDefault="00D62CE9" w:rsidP="00D62CE9">
          <w:pPr>
            <w:autoSpaceDE w:val="0"/>
            <w:autoSpaceDN w:val="0"/>
            <w:adjustRightInd w:val="0"/>
            <w:spacing w:after="120"/>
            <w:jc w:val="both"/>
            <w:rPr>
              <w:rFonts w:ascii="Arial" w:hAnsi="Arial" w:cs="Arial"/>
              <w:sz w:val="18"/>
              <w:szCs w:val="18"/>
            </w:rPr>
          </w:pPr>
          <w:r w:rsidRPr="008927C5">
            <w:rPr>
              <w:rFonts w:ascii="Arial" w:hAnsi="Arial" w:cs="Arial"/>
              <w:b/>
              <w:bCs/>
              <w:sz w:val="18"/>
              <w:szCs w:val="18"/>
            </w:rPr>
            <w:t>JURISDICIONADOS</w:t>
          </w:r>
          <w:r w:rsidRPr="008927C5">
            <w:rPr>
              <w:rFonts w:ascii="Arial" w:hAnsi="Arial" w:cs="Arial"/>
              <w:sz w:val="18"/>
              <w:szCs w:val="18"/>
            </w:rPr>
            <w:t xml:space="preserve">: </w:t>
          </w:r>
          <w:r w:rsidR="004F7414">
            <w:rPr>
              <w:rFonts w:ascii="Arial" w:hAnsi="Arial" w:cs="Arial"/>
              <w:sz w:val="18"/>
              <w:szCs w:val="18"/>
            </w:rPr>
            <w:t>1</w:t>
          </w:r>
          <w:r w:rsidR="004F7414">
            <w:rPr>
              <w:rFonts w:ascii="Arial" w:hAnsi="Arial" w:cs="Arial"/>
              <w:sz w:val="18"/>
              <w:szCs w:val="18"/>
            </w:rPr>
            <w:t>20</w:t>
          </w:r>
          <w:r w:rsidR="004F7414">
            <w:rPr>
              <w:rFonts w:ascii="Arial" w:hAnsi="Arial" w:cs="Arial"/>
              <w:sz w:val="18"/>
              <w:szCs w:val="18"/>
            </w:rPr>
            <w:t xml:space="preserve"> organizações públicas estaduais e municipais respondentes do iGovTI 2026</w:t>
          </w:r>
          <w:r w:rsidRPr="008927C5">
            <w:rPr>
              <w:rFonts w:ascii="Arial" w:hAnsi="Arial" w:cs="Arial"/>
              <w:sz w:val="16"/>
              <w:szCs w:val="16"/>
            </w:rPr>
            <w:t>.</w:t>
          </w:r>
        </w:p>
        <w:p w14:paraId="64F85D3C" w14:textId="38618C9C" w:rsidR="009036F0" w:rsidRPr="00DD42D3" w:rsidRDefault="00D62CE9" w:rsidP="00D62CE9">
          <w:pPr>
            <w:pStyle w:val="Corpodetexto"/>
            <w:spacing w:after="120"/>
            <w:rPr>
              <w:rFonts w:ascii="Arial" w:hAnsi="Arial" w:cs="Arial"/>
              <w:sz w:val="18"/>
              <w:szCs w:val="18"/>
            </w:rPr>
          </w:pPr>
          <w:r w:rsidRPr="00F25234">
            <w:rPr>
              <w:rFonts w:ascii="Arial" w:hAnsi="Arial" w:cs="Arial"/>
              <w:b/>
              <w:bCs/>
              <w:sz w:val="18"/>
              <w:szCs w:val="18"/>
            </w:rPr>
            <w:t>OBJETIVO DA AUDITORIA</w:t>
          </w:r>
          <w:r w:rsidRPr="00F25234">
            <w:rPr>
              <w:rFonts w:ascii="Arial" w:hAnsi="Arial" w:cs="Arial"/>
              <w:sz w:val="18"/>
              <w:szCs w:val="18"/>
            </w:rPr>
            <w:t xml:space="preserve">: </w:t>
          </w:r>
          <w:r w:rsidR="004F7414">
            <w:rPr>
              <w:rFonts w:ascii="Arial" w:hAnsi="Arial" w:cs="Arial"/>
              <w:sz w:val="18"/>
              <w:szCs w:val="18"/>
            </w:rPr>
            <w:t>Avaliar o grau de adoção das organizações públicas às boas práticas de governança e gestão de tecnologia da informação, mediante aplicação do iGovTI 2026</w:t>
          </w:r>
          <w:r w:rsidR="00987287" w:rsidRPr="00DD42D3">
            <w:rPr>
              <w:rFonts w:ascii="Arial" w:hAnsi="Arial" w:cs="Arial"/>
              <w:sz w:val="18"/>
              <w:szCs w:val="18"/>
            </w:rPr>
            <w:t>.</w:t>
          </w:r>
        </w:p>
      </w:tc>
    </w:tr>
  </w:tbl>
  <w:p w14:paraId="394EC05E" w14:textId="77777777" w:rsidR="0041253F" w:rsidRPr="0041253F" w:rsidRDefault="0041253F" w:rsidP="00ED5C0C">
    <w:pPr>
      <w:jc w:val="center"/>
      <w:rPr>
        <w:bCs/>
        <w:sz w:val="12"/>
        <w:szCs w:val="12"/>
      </w:rPr>
    </w:pPr>
  </w:p>
  <w:p w14:paraId="1D36A20E" w14:textId="77777777" w:rsidR="000A68D2" w:rsidRPr="000A68D2" w:rsidRDefault="000A68D2" w:rsidP="009036F0">
    <w:pPr>
      <w:pStyle w:val="Cabealho"/>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0F9D"/>
    <w:multiLevelType w:val="multilevel"/>
    <w:tmpl w:val="73422692"/>
    <w:lvl w:ilvl="0">
      <w:start w:val="1"/>
      <w:numFmt w:val="decimal"/>
      <w:lvlText w:val="%1."/>
      <w:lvlJc w:val="left"/>
      <w:pPr>
        <w:tabs>
          <w:tab w:val="num" w:pos="720"/>
        </w:tabs>
        <w:ind w:left="284" w:hanging="284"/>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46E12"/>
    <w:multiLevelType w:val="multilevel"/>
    <w:tmpl w:val="73422692"/>
    <w:lvl w:ilvl="0">
      <w:start w:val="1"/>
      <w:numFmt w:val="decimal"/>
      <w:lvlText w:val="%1."/>
      <w:lvlJc w:val="left"/>
      <w:pPr>
        <w:tabs>
          <w:tab w:val="num" w:pos="720"/>
        </w:tabs>
        <w:ind w:left="284" w:hanging="284"/>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43530"/>
    <w:multiLevelType w:val="multilevel"/>
    <w:tmpl w:val="73422692"/>
    <w:lvl w:ilvl="0">
      <w:start w:val="1"/>
      <w:numFmt w:val="decimal"/>
      <w:lvlText w:val="%1."/>
      <w:lvlJc w:val="left"/>
      <w:pPr>
        <w:tabs>
          <w:tab w:val="num" w:pos="720"/>
        </w:tabs>
        <w:ind w:left="284" w:hanging="284"/>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47353"/>
    <w:multiLevelType w:val="multilevel"/>
    <w:tmpl w:val="73422692"/>
    <w:lvl w:ilvl="0">
      <w:start w:val="1"/>
      <w:numFmt w:val="decimal"/>
      <w:lvlText w:val="%1."/>
      <w:lvlJc w:val="left"/>
      <w:pPr>
        <w:tabs>
          <w:tab w:val="num" w:pos="720"/>
        </w:tabs>
        <w:ind w:left="284" w:hanging="284"/>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24D5A"/>
    <w:multiLevelType w:val="multilevel"/>
    <w:tmpl w:val="73422692"/>
    <w:lvl w:ilvl="0">
      <w:start w:val="1"/>
      <w:numFmt w:val="decimal"/>
      <w:lvlText w:val="%1."/>
      <w:lvlJc w:val="left"/>
      <w:pPr>
        <w:tabs>
          <w:tab w:val="num" w:pos="720"/>
        </w:tabs>
        <w:ind w:left="284" w:hanging="284"/>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8913F8"/>
    <w:multiLevelType w:val="multilevel"/>
    <w:tmpl w:val="73422692"/>
    <w:lvl w:ilvl="0">
      <w:start w:val="1"/>
      <w:numFmt w:val="decimal"/>
      <w:lvlText w:val="%1."/>
      <w:lvlJc w:val="left"/>
      <w:pPr>
        <w:tabs>
          <w:tab w:val="num" w:pos="720"/>
        </w:tabs>
        <w:ind w:left="284" w:hanging="284"/>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EF121C"/>
    <w:multiLevelType w:val="multilevel"/>
    <w:tmpl w:val="73422692"/>
    <w:lvl w:ilvl="0">
      <w:start w:val="1"/>
      <w:numFmt w:val="decimal"/>
      <w:lvlText w:val="%1."/>
      <w:lvlJc w:val="left"/>
      <w:pPr>
        <w:tabs>
          <w:tab w:val="num" w:pos="720"/>
        </w:tabs>
        <w:ind w:left="284" w:hanging="284"/>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6A44B0"/>
    <w:multiLevelType w:val="multilevel"/>
    <w:tmpl w:val="73422692"/>
    <w:lvl w:ilvl="0">
      <w:start w:val="1"/>
      <w:numFmt w:val="decimal"/>
      <w:lvlText w:val="%1."/>
      <w:lvlJc w:val="left"/>
      <w:pPr>
        <w:tabs>
          <w:tab w:val="num" w:pos="720"/>
        </w:tabs>
        <w:ind w:left="284" w:hanging="284"/>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A6280D"/>
    <w:multiLevelType w:val="multilevel"/>
    <w:tmpl w:val="73422692"/>
    <w:lvl w:ilvl="0">
      <w:start w:val="1"/>
      <w:numFmt w:val="decimal"/>
      <w:lvlText w:val="%1."/>
      <w:lvlJc w:val="left"/>
      <w:pPr>
        <w:tabs>
          <w:tab w:val="num" w:pos="720"/>
        </w:tabs>
        <w:ind w:left="284" w:hanging="284"/>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FD0E1C"/>
    <w:multiLevelType w:val="multilevel"/>
    <w:tmpl w:val="73422692"/>
    <w:lvl w:ilvl="0">
      <w:start w:val="1"/>
      <w:numFmt w:val="decimal"/>
      <w:lvlText w:val="%1."/>
      <w:lvlJc w:val="left"/>
      <w:pPr>
        <w:tabs>
          <w:tab w:val="num" w:pos="720"/>
        </w:tabs>
        <w:ind w:left="284" w:hanging="284"/>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ED1196"/>
    <w:multiLevelType w:val="multilevel"/>
    <w:tmpl w:val="73422692"/>
    <w:lvl w:ilvl="0">
      <w:start w:val="1"/>
      <w:numFmt w:val="decimal"/>
      <w:lvlText w:val="%1."/>
      <w:lvlJc w:val="left"/>
      <w:pPr>
        <w:tabs>
          <w:tab w:val="num" w:pos="720"/>
        </w:tabs>
        <w:ind w:left="284" w:hanging="284"/>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1A6FC5"/>
    <w:multiLevelType w:val="multilevel"/>
    <w:tmpl w:val="73422692"/>
    <w:lvl w:ilvl="0">
      <w:start w:val="1"/>
      <w:numFmt w:val="decimal"/>
      <w:lvlText w:val="%1."/>
      <w:lvlJc w:val="left"/>
      <w:pPr>
        <w:tabs>
          <w:tab w:val="num" w:pos="720"/>
        </w:tabs>
        <w:ind w:left="284" w:hanging="284"/>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921E74"/>
    <w:multiLevelType w:val="multilevel"/>
    <w:tmpl w:val="73422692"/>
    <w:lvl w:ilvl="0">
      <w:start w:val="1"/>
      <w:numFmt w:val="decimal"/>
      <w:lvlText w:val="%1."/>
      <w:lvlJc w:val="left"/>
      <w:pPr>
        <w:tabs>
          <w:tab w:val="num" w:pos="720"/>
        </w:tabs>
        <w:ind w:left="284" w:hanging="284"/>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5C6DEF"/>
    <w:multiLevelType w:val="multilevel"/>
    <w:tmpl w:val="73422692"/>
    <w:lvl w:ilvl="0">
      <w:start w:val="1"/>
      <w:numFmt w:val="decimal"/>
      <w:lvlText w:val="%1."/>
      <w:lvlJc w:val="left"/>
      <w:pPr>
        <w:tabs>
          <w:tab w:val="num" w:pos="720"/>
        </w:tabs>
        <w:ind w:left="284" w:hanging="284"/>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4F68F6"/>
    <w:multiLevelType w:val="multilevel"/>
    <w:tmpl w:val="73422692"/>
    <w:lvl w:ilvl="0">
      <w:start w:val="1"/>
      <w:numFmt w:val="decimal"/>
      <w:lvlText w:val="%1."/>
      <w:lvlJc w:val="left"/>
      <w:pPr>
        <w:tabs>
          <w:tab w:val="num" w:pos="720"/>
        </w:tabs>
        <w:ind w:left="284" w:hanging="284"/>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8C75C7"/>
    <w:multiLevelType w:val="multilevel"/>
    <w:tmpl w:val="73422692"/>
    <w:lvl w:ilvl="0">
      <w:start w:val="1"/>
      <w:numFmt w:val="decimal"/>
      <w:lvlText w:val="%1."/>
      <w:lvlJc w:val="left"/>
      <w:pPr>
        <w:tabs>
          <w:tab w:val="num" w:pos="720"/>
        </w:tabs>
        <w:ind w:left="284" w:hanging="284"/>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0B1BC2"/>
    <w:multiLevelType w:val="multilevel"/>
    <w:tmpl w:val="73422692"/>
    <w:lvl w:ilvl="0">
      <w:start w:val="1"/>
      <w:numFmt w:val="decimal"/>
      <w:lvlText w:val="%1."/>
      <w:lvlJc w:val="left"/>
      <w:pPr>
        <w:tabs>
          <w:tab w:val="num" w:pos="720"/>
        </w:tabs>
        <w:ind w:left="284" w:hanging="284"/>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232578"/>
    <w:multiLevelType w:val="multilevel"/>
    <w:tmpl w:val="73422692"/>
    <w:lvl w:ilvl="0">
      <w:start w:val="1"/>
      <w:numFmt w:val="decimal"/>
      <w:lvlText w:val="%1."/>
      <w:lvlJc w:val="left"/>
      <w:pPr>
        <w:tabs>
          <w:tab w:val="num" w:pos="720"/>
        </w:tabs>
        <w:ind w:left="284" w:hanging="284"/>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B91488"/>
    <w:multiLevelType w:val="multilevel"/>
    <w:tmpl w:val="C3B0D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FD2E53"/>
    <w:multiLevelType w:val="multilevel"/>
    <w:tmpl w:val="73422692"/>
    <w:lvl w:ilvl="0">
      <w:start w:val="1"/>
      <w:numFmt w:val="decimal"/>
      <w:lvlText w:val="%1."/>
      <w:lvlJc w:val="left"/>
      <w:pPr>
        <w:tabs>
          <w:tab w:val="num" w:pos="720"/>
        </w:tabs>
        <w:ind w:left="284" w:hanging="284"/>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9E24BF"/>
    <w:multiLevelType w:val="multilevel"/>
    <w:tmpl w:val="73422692"/>
    <w:lvl w:ilvl="0">
      <w:start w:val="1"/>
      <w:numFmt w:val="decimal"/>
      <w:lvlText w:val="%1."/>
      <w:lvlJc w:val="left"/>
      <w:pPr>
        <w:tabs>
          <w:tab w:val="num" w:pos="720"/>
        </w:tabs>
        <w:ind w:left="284" w:hanging="284"/>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1D0C6B"/>
    <w:multiLevelType w:val="multilevel"/>
    <w:tmpl w:val="73422692"/>
    <w:lvl w:ilvl="0">
      <w:start w:val="1"/>
      <w:numFmt w:val="decimal"/>
      <w:lvlText w:val="%1."/>
      <w:lvlJc w:val="left"/>
      <w:pPr>
        <w:tabs>
          <w:tab w:val="num" w:pos="720"/>
        </w:tabs>
        <w:ind w:left="284" w:hanging="284"/>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5B6020"/>
    <w:multiLevelType w:val="multilevel"/>
    <w:tmpl w:val="73422692"/>
    <w:lvl w:ilvl="0">
      <w:start w:val="1"/>
      <w:numFmt w:val="decimal"/>
      <w:lvlText w:val="%1."/>
      <w:lvlJc w:val="left"/>
      <w:pPr>
        <w:tabs>
          <w:tab w:val="num" w:pos="720"/>
        </w:tabs>
        <w:ind w:left="284" w:hanging="284"/>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6724A2"/>
    <w:multiLevelType w:val="multilevel"/>
    <w:tmpl w:val="73422692"/>
    <w:lvl w:ilvl="0">
      <w:start w:val="1"/>
      <w:numFmt w:val="decimal"/>
      <w:lvlText w:val="%1."/>
      <w:lvlJc w:val="left"/>
      <w:pPr>
        <w:tabs>
          <w:tab w:val="num" w:pos="720"/>
        </w:tabs>
        <w:ind w:left="284" w:hanging="284"/>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355605"/>
    <w:multiLevelType w:val="hybridMultilevel"/>
    <w:tmpl w:val="76C6E45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69484DD3"/>
    <w:multiLevelType w:val="multilevel"/>
    <w:tmpl w:val="73422692"/>
    <w:lvl w:ilvl="0">
      <w:start w:val="1"/>
      <w:numFmt w:val="decimal"/>
      <w:lvlText w:val="%1."/>
      <w:lvlJc w:val="left"/>
      <w:pPr>
        <w:tabs>
          <w:tab w:val="num" w:pos="720"/>
        </w:tabs>
        <w:ind w:left="284" w:hanging="284"/>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A75E1C"/>
    <w:multiLevelType w:val="multilevel"/>
    <w:tmpl w:val="73422692"/>
    <w:lvl w:ilvl="0">
      <w:start w:val="1"/>
      <w:numFmt w:val="decimal"/>
      <w:lvlText w:val="%1."/>
      <w:lvlJc w:val="left"/>
      <w:pPr>
        <w:tabs>
          <w:tab w:val="num" w:pos="720"/>
        </w:tabs>
        <w:ind w:left="284" w:hanging="284"/>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466097"/>
    <w:multiLevelType w:val="multilevel"/>
    <w:tmpl w:val="73422692"/>
    <w:lvl w:ilvl="0">
      <w:start w:val="1"/>
      <w:numFmt w:val="decimal"/>
      <w:lvlText w:val="%1."/>
      <w:lvlJc w:val="left"/>
      <w:pPr>
        <w:tabs>
          <w:tab w:val="num" w:pos="720"/>
        </w:tabs>
        <w:ind w:left="284" w:hanging="284"/>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626535"/>
    <w:multiLevelType w:val="multilevel"/>
    <w:tmpl w:val="73422692"/>
    <w:lvl w:ilvl="0">
      <w:start w:val="1"/>
      <w:numFmt w:val="decimal"/>
      <w:lvlText w:val="%1."/>
      <w:lvlJc w:val="left"/>
      <w:pPr>
        <w:tabs>
          <w:tab w:val="num" w:pos="720"/>
        </w:tabs>
        <w:ind w:left="284" w:hanging="284"/>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0033EC"/>
    <w:multiLevelType w:val="multilevel"/>
    <w:tmpl w:val="73422692"/>
    <w:lvl w:ilvl="0">
      <w:start w:val="1"/>
      <w:numFmt w:val="decimal"/>
      <w:lvlText w:val="%1."/>
      <w:lvlJc w:val="left"/>
      <w:pPr>
        <w:tabs>
          <w:tab w:val="num" w:pos="720"/>
        </w:tabs>
        <w:ind w:left="284" w:hanging="284"/>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617B57"/>
    <w:multiLevelType w:val="multilevel"/>
    <w:tmpl w:val="73422692"/>
    <w:lvl w:ilvl="0">
      <w:start w:val="1"/>
      <w:numFmt w:val="decimal"/>
      <w:lvlText w:val="%1."/>
      <w:lvlJc w:val="left"/>
      <w:pPr>
        <w:tabs>
          <w:tab w:val="num" w:pos="720"/>
        </w:tabs>
        <w:ind w:left="284" w:hanging="284"/>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F64E15"/>
    <w:multiLevelType w:val="multilevel"/>
    <w:tmpl w:val="73422692"/>
    <w:lvl w:ilvl="0">
      <w:start w:val="1"/>
      <w:numFmt w:val="decimal"/>
      <w:lvlText w:val="%1."/>
      <w:lvlJc w:val="left"/>
      <w:pPr>
        <w:tabs>
          <w:tab w:val="num" w:pos="720"/>
        </w:tabs>
        <w:ind w:left="284" w:hanging="284"/>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597865266">
    <w:abstractNumId w:val="16"/>
  </w:num>
  <w:num w:numId="2" w16cid:durableId="1834295709">
    <w:abstractNumId w:val="22"/>
  </w:num>
  <w:num w:numId="3" w16cid:durableId="1525055315">
    <w:abstractNumId w:val="31"/>
  </w:num>
  <w:num w:numId="4" w16cid:durableId="27876356">
    <w:abstractNumId w:val="29"/>
  </w:num>
  <w:num w:numId="5" w16cid:durableId="1467091359">
    <w:abstractNumId w:val="25"/>
  </w:num>
  <w:num w:numId="6" w16cid:durableId="1722054125">
    <w:abstractNumId w:val="10"/>
  </w:num>
  <w:num w:numId="7" w16cid:durableId="2071927349">
    <w:abstractNumId w:val="9"/>
  </w:num>
  <w:num w:numId="8" w16cid:durableId="130443872">
    <w:abstractNumId w:val="30"/>
  </w:num>
  <w:num w:numId="9" w16cid:durableId="494342606">
    <w:abstractNumId w:val="12"/>
  </w:num>
  <w:num w:numId="10" w16cid:durableId="327833772">
    <w:abstractNumId w:val="13"/>
  </w:num>
  <w:num w:numId="11" w16cid:durableId="288628031">
    <w:abstractNumId w:val="3"/>
  </w:num>
  <w:num w:numId="12" w16cid:durableId="573734544">
    <w:abstractNumId w:val="1"/>
  </w:num>
  <w:num w:numId="13" w16cid:durableId="1842311409">
    <w:abstractNumId w:val="4"/>
  </w:num>
  <w:num w:numId="14" w16cid:durableId="569510883">
    <w:abstractNumId w:val="15"/>
  </w:num>
  <w:num w:numId="15" w16cid:durableId="1717511090">
    <w:abstractNumId w:val="8"/>
  </w:num>
  <w:num w:numId="16" w16cid:durableId="2060934341">
    <w:abstractNumId w:val="11"/>
  </w:num>
  <w:num w:numId="17" w16cid:durableId="209390631">
    <w:abstractNumId w:val="20"/>
  </w:num>
  <w:num w:numId="18" w16cid:durableId="417017120">
    <w:abstractNumId w:val="2"/>
  </w:num>
  <w:num w:numId="19" w16cid:durableId="1833325685">
    <w:abstractNumId w:val="17"/>
  </w:num>
  <w:num w:numId="20" w16cid:durableId="863515728">
    <w:abstractNumId w:val="24"/>
  </w:num>
  <w:num w:numId="21" w16cid:durableId="644553927">
    <w:abstractNumId w:val="0"/>
  </w:num>
  <w:num w:numId="22" w16cid:durableId="1993823490">
    <w:abstractNumId w:val="5"/>
  </w:num>
  <w:num w:numId="23" w16cid:durableId="1566408288">
    <w:abstractNumId w:val="19"/>
  </w:num>
  <w:num w:numId="24" w16cid:durableId="1815444369">
    <w:abstractNumId w:val="28"/>
  </w:num>
  <w:num w:numId="25" w16cid:durableId="1104495893">
    <w:abstractNumId w:val="23"/>
  </w:num>
  <w:num w:numId="26" w16cid:durableId="2080979493">
    <w:abstractNumId w:val="6"/>
  </w:num>
  <w:num w:numId="27" w16cid:durableId="1539198458">
    <w:abstractNumId w:val="26"/>
  </w:num>
  <w:num w:numId="28" w16cid:durableId="749086438">
    <w:abstractNumId w:val="27"/>
  </w:num>
  <w:num w:numId="29" w16cid:durableId="160852745">
    <w:abstractNumId w:val="14"/>
  </w:num>
  <w:num w:numId="30" w16cid:durableId="427389148">
    <w:abstractNumId w:val="21"/>
  </w:num>
  <w:num w:numId="31" w16cid:durableId="1896087562">
    <w:abstractNumId w:val="7"/>
  </w:num>
  <w:num w:numId="32" w16cid:durableId="1645741549">
    <w:abstractNumId w:val="1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39A"/>
    <w:rsid w:val="000009DD"/>
    <w:rsid w:val="00000BE4"/>
    <w:rsid w:val="00001226"/>
    <w:rsid w:val="00002785"/>
    <w:rsid w:val="00002BCB"/>
    <w:rsid w:val="00002F98"/>
    <w:rsid w:val="00003A1C"/>
    <w:rsid w:val="0000415B"/>
    <w:rsid w:val="00005867"/>
    <w:rsid w:val="00005909"/>
    <w:rsid w:val="00005E5B"/>
    <w:rsid w:val="00005FC6"/>
    <w:rsid w:val="00006C96"/>
    <w:rsid w:val="000070A6"/>
    <w:rsid w:val="000071E2"/>
    <w:rsid w:val="00007D3E"/>
    <w:rsid w:val="00007D68"/>
    <w:rsid w:val="0001093D"/>
    <w:rsid w:val="00010B84"/>
    <w:rsid w:val="00010B94"/>
    <w:rsid w:val="00010F94"/>
    <w:rsid w:val="00011064"/>
    <w:rsid w:val="00011793"/>
    <w:rsid w:val="00011A33"/>
    <w:rsid w:val="00011B33"/>
    <w:rsid w:val="00011F5F"/>
    <w:rsid w:val="00012102"/>
    <w:rsid w:val="000122B6"/>
    <w:rsid w:val="00013547"/>
    <w:rsid w:val="00014894"/>
    <w:rsid w:val="00015A66"/>
    <w:rsid w:val="00015A9E"/>
    <w:rsid w:val="0001613B"/>
    <w:rsid w:val="00016143"/>
    <w:rsid w:val="0001648E"/>
    <w:rsid w:val="00017401"/>
    <w:rsid w:val="0001764B"/>
    <w:rsid w:val="00017E94"/>
    <w:rsid w:val="00020202"/>
    <w:rsid w:val="0002081B"/>
    <w:rsid w:val="00021A59"/>
    <w:rsid w:val="00021A84"/>
    <w:rsid w:val="0002251E"/>
    <w:rsid w:val="000230C7"/>
    <w:rsid w:val="000230D8"/>
    <w:rsid w:val="0002356A"/>
    <w:rsid w:val="00023BC3"/>
    <w:rsid w:val="00024774"/>
    <w:rsid w:val="00024FD9"/>
    <w:rsid w:val="0002518A"/>
    <w:rsid w:val="0002538F"/>
    <w:rsid w:val="00025A8F"/>
    <w:rsid w:val="00025EA0"/>
    <w:rsid w:val="0002600B"/>
    <w:rsid w:val="00026EBC"/>
    <w:rsid w:val="00027630"/>
    <w:rsid w:val="00027AB9"/>
    <w:rsid w:val="000307B7"/>
    <w:rsid w:val="000308EA"/>
    <w:rsid w:val="0003093E"/>
    <w:rsid w:val="00030DC2"/>
    <w:rsid w:val="00030E2B"/>
    <w:rsid w:val="000310C3"/>
    <w:rsid w:val="000315A3"/>
    <w:rsid w:val="0003183C"/>
    <w:rsid w:val="00031B7B"/>
    <w:rsid w:val="00032DAB"/>
    <w:rsid w:val="000335BC"/>
    <w:rsid w:val="00033A99"/>
    <w:rsid w:val="00033E16"/>
    <w:rsid w:val="00033FC1"/>
    <w:rsid w:val="0003409C"/>
    <w:rsid w:val="00034D38"/>
    <w:rsid w:val="00034EF7"/>
    <w:rsid w:val="000354AB"/>
    <w:rsid w:val="00036758"/>
    <w:rsid w:val="00036A32"/>
    <w:rsid w:val="00036B64"/>
    <w:rsid w:val="00037B57"/>
    <w:rsid w:val="00037F47"/>
    <w:rsid w:val="000406B0"/>
    <w:rsid w:val="00040832"/>
    <w:rsid w:val="00040A57"/>
    <w:rsid w:val="0004101E"/>
    <w:rsid w:val="0004134E"/>
    <w:rsid w:val="0004144D"/>
    <w:rsid w:val="00041CCD"/>
    <w:rsid w:val="00041D78"/>
    <w:rsid w:val="00041FBD"/>
    <w:rsid w:val="00042988"/>
    <w:rsid w:val="00042B16"/>
    <w:rsid w:val="00042EBB"/>
    <w:rsid w:val="000434B2"/>
    <w:rsid w:val="00043933"/>
    <w:rsid w:val="00043A06"/>
    <w:rsid w:val="00043A80"/>
    <w:rsid w:val="00043BA9"/>
    <w:rsid w:val="0004477A"/>
    <w:rsid w:val="00045966"/>
    <w:rsid w:val="00045D00"/>
    <w:rsid w:val="000468AA"/>
    <w:rsid w:val="00046FF2"/>
    <w:rsid w:val="00050588"/>
    <w:rsid w:val="0005089E"/>
    <w:rsid w:val="00050ACE"/>
    <w:rsid w:val="00051731"/>
    <w:rsid w:val="00051DBA"/>
    <w:rsid w:val="00052375"/>
    <w:rsid w:val="0005249E"/>
    <w:rsid w:val="00052B40"/>
    <w:rsid w:val="00052B98"/>
    <w:rsid w:val="00052C6E"/>
    <w:rsid w:val="00052FBF"/>
    <w:rsid w:val="0005310A"/>
    <w:rsid w:val="000533C5"/>
    <w:rsid w:val="000536DF"/>
    <w:rsid w:val="0005385D"/>
    <w:rsid w:val="00053C0D"/>
    <w:rsid w:val="0005615D"/>
    <w:rsid w:val="00056825"/>
    <w:rsid w:val="00056E0B"/>
    <w:rsid w:val="0005798B"/>
    <w:rsid w:val="00057BC0"/>
    <w:rsid w:val="00060D42"/>
    <w:rsid w:val="000610EF"/>
    <w:rsid w:val="0006135D"/>
    <w:rsid w:val="0006169D"/>
    <w:rsid w:val="00061BA6"/>
    <w:rsid w:val="00061DA4"/>
    <w:rsid w:val="00061DBD"/>
    <w:rsid w:val="00061DF5"/>
    <w:rsid w:val="0006306A"/>
    <w:rsid w:val="000632A7"/>
    <w:rsid w:val="00063707"/>
    <w:rsid w:val="00064637"/>
    <w:rsid w:val="00064831"/>
    <w:rsid w:val="000650FA"/>
    <w:rsid w:val="00065428"/>
    <w:rsid w:val="00065DF2"/>
    <w:rsid w:val="00066E80"/>
    <w:rsid w:val="00066FB1"/>
    <w:rsid w:val="00067795"/>
    <w:rsid w:val="000678A3"/>
    <w:rsid w:val="00067933"/>
    <w:rsid w:val="00070335"/>
    <w:rsid w:val="00070767"/>
    <w:rsid w:val="00070AE8"/>
    <w:rsid w:val="000716B0"/>
    <w:rsid w:val="00071869"/>
    <w:rsid w:val="00072225"/>
    <w:rsid w:val="00072C66"/>
    <w:rsid w:val="000733AF"/>
    <w:rsid w:val="0007378B"/>
    <w:rsid w:val="00073D3F"/>
    <w:rsid w:val="000743D7"/>
    <w:rsid w:val="00074447"/>
    <w:rsid w:val="000749C9"/>
    <w:rsid w:val="00074E65"/>
    <w:rsid w:val="00075639"/>
    <w:rsid w:val="00075AE5"/>
    <w:rsid w:val="000761FF"/>
    <w:rsid w:val="00076244"/>
    <w:rsid w:val="00076C0B"/>
    <w:rsid w:val="00077113"/>
    <w:rsid w:val="000776B2"/>
    <w:rsid w:val="000777A5"/>
    <w:rsid w:val="0007781D"/>
    <w:rsid w:val="000779F0"/>
    <w:rsid w:val="00077F74"/>
    <w:rsid w:val="000800E0"/>
    <w:rsid w:val="00080166"/>
    <w:rsid w:val="00080692"/>
    <w:rsid w:val="00080F6C"/>
    <w:rsid w:val="000815FD"/>
    <w:rsid w:val="00081624"/>
    <w:rsid w:val="000818F5"/>
    <w:rsid w:val="000820EA"/>
    <w:rsid w:val="00082523"/>
    <w:rsid w:val="0008253A"/>
    <w:rsid w:val="000825D5"/>
    <w:rsid w:val="00082CCE"/>
    <w:rsid w:val="00083207"/>
    <w:rsid w:val="00083597"/>
    <w:rsid w:val="0008359A"/>
    <w:rsid w:val="00084CF8"/>
    <w:rsid w:val="00084D33"/>
    <w:rsid w:val="00084F31"/>
    <w:rsid w:val="0008517E"/>
    <w:rsid w:val="00085B13"/>
    <w:rsid w:val="0008634F"/>
    <w:rsid w:val="00086B7F"/>
    <w:rsid w:val="0008706D"/>
    <w:rsid w:val="000876B9"/>
    <w:rsid w:val="00090799"/>
    <w:rsid w:val="000908ED"/>
    <w:rsid w:val="000909F2"/>
    <w:rsid w:val="00091068"/>
    <w:rsid w:val="00091820"/>
    <w:rsid w:val="00091F06"/>
    <w:rsid w:val="000925E6"/>
    <w:rsid w:val="000927A3"/>
    <w:rsid w:val="00092D66"/>
    <w:rsid w:val="00093327"/>
    <w:rsid w:val="00094067"/>
    <w:rsid w:val="000946B0"/>
    <w:rsid w:val="00095947"/>
    <w:rsid w:val="00096DEF"/>
    <w:rsid w:val="00097268"/>
    <w:rsid w:val="00097609"/>
    <w:rsid w:val="0009779B"/>
    <w:rsid w:val="000A0C75"/>
    <w:rsid w:val="000A10D3"/>
    <w:rsid w:val="000A1729"/>
    <w:rsid w:val="000A1DA5"/>
    <w:rsid w:val="000A2E7D"/>
    <w:rsid w:val="000A33AE"/>
    <w:rsid w:val="000A36B1"/>
    <w:rsid w:val="000A3B99"/>
    <w:rsid w:val="000A3C50"/>
    <w:rsid w:val="000A3E17"/>
    <w:rsid w:val="000A3F5F"/>
    <w:rsid w:val="000A4C56"/>
    <w:rsid w:val="000A588A"/>
    <w:rsid w:val="000A624A"/>
    <w:rsid w:val="000A6589"/>
    <w:rsid w:val="000A6618"/>
    <w:rsid w:val="000A68D2"/>
    <w:rsid w:val="000B04FA"/>
    <w:rsid w:val="000B09C5"/>
    <w:rsid w:val="000B0FAE"/>
    <w:rsid w:val="000B1794"/>
    <w:rsid w:val="000B2BE1"/>
    <w:rsid w:val="000B31AE"/>
    <w:rsid w:val="000B3900"/>
    <w:rsid w:val="000B3AD8"/>
    <w:rsid w:val="000B4649"/>
    <w:rsid w:val="000B4EB7"/>
    <w:rsid w:val="000B530D"/>
    <w:rsid w:val="000B53C5"/>
    <w:rsid w:val="000B53C8"/>
    <w:rsid w:val="000B56A3"/>
    <w:rsid w:val="000B5E73"/>
    <w:rsid w:val="000B7A3F"/>
    <w:rsid w:val="000B7E93"/>
    <w:rsid w:val="000C2252"/>
    <w:rsid w:val="000C2C67"/>
    <w:rsid w:val="000C2DB9"/>
    <w:rsid w:val="000C38A2"/>
    <w:rsid w:val="000C4193"/>
    <w:rsid w:val="000C487D"/>
    <w:rsid w:val="000C675A"/>
    <w:rsid w:val="000C67D5"/>
    <w:rsid w:val="000C700D"/>
    <w:rsid w:val="000C7881"/>
    <w:rsid w:val="000C78D0"/>
    <w:rsid w:val="000D09A1"/>
    <w:rsid w:val="000D0A9A"/>
    <w:rsid w:val="000D1888"/>
    <w:rsid w:val="000D1AE6"/>
    <w:rsid w:val="000D1EA8"/>
    <w:rsid w:val="000D3176"/>
    <w:rsid w:val="000D3D36"/>
    <w:rsid w:val="000D3F42"/>
    <w:rsid w:val="000D4C1D"/>
    <w:rsid w:val="000D5743"/>
    <w:rsid w:val="000D5EB4"/>
    <w:rsid w:val="000D76E8"/>
    <w:rsid w:val="000D79A9"/>
    <w:rsid w:val="000E00EC"/>
    <w:rsid w:val="000E0978"/>
    <w:rsid w:val="000E09AA"/>
    <w:rsid w:val="000E0B92"/>
    <w:rsid w:val="000E0E64"/>
    <w:rsid w:val="000E155A"/>
    <w:rsid w:val="000E1962"/>
    <w:rsid w:val="000E244A"/>
    <w:rsid w:val="000E2CDE"/>
    <w:rsid w:val="000E3C38"/>
    <w:rsid w:val="000E4775"/>
    <w:rsid w:val="000E4A89"/>
    <w:rsid w:val="000E516E"/>
    <w:rsid w:val="000E56CB"/>
    <w:rsid w:val="000E5E8E"/>
    <w:rsid w:val="000E6420"/>
    <w:rsid w:val="000E65AB"/>
    <w:rsid w:val="000E66D0"/>
    <w:rsid w:val="000E6A95"/>
    <w:rsid w:val="000E6E19"/>
    <w:rsid w:val="000E7249"/>
    <w:rsid w:val="000E78D6"/>
    <w:rsid w:val="000E7F37"/>
    <w:rsid w:val="000F05D8"/>
    <w:rsid w:val="000F0DB0"/>
    <w:rsid w:val="000F0EB9"/>
    <w:rsid w:val="000F108A"/>
    <w:rsid w:val="000F1445"/>
    <w:rsid w:val="000F2DF9"/>
    <w:rsid w:val="000F2FA3"/>
    <w:rsid w:val="000F57FC"/>
    <w:rsid w:val="000F60B4"/>
    <w:rsid w:val="000F6298"/>
    <w:rsid w:val="000F655B"/>
    <w:rsid w:val="000F7859"/>
    <w:rsid w:val="00100A34"/>
    <w:rsid w:val="00101170"/>
    <w:rsid w:val="001011F7"/>
    <w:rsid w:val="0010133B"/>
    <w:rsid w:val="0010150B"/>
    <w:rsid w:val="00101D07"/>
    <w:rsid w:val="00102037"/>
    <w:rsid w:val="00102A7D"/>
    <w:rsid w:val="001031D7"/>
    <w:rsid w:val="00103423"/>
    <w:rsid w:val="00103B63"/>
    <w:rsid w:val="00104322"/>
    <w:rsid w:val="00104BD4"/>
    <w:rsid w:val="00104D5E"/>
    <w:rsid w:val="00104DFD"/>
    <w:rsid w:val="001051F1"/>
    <w:rsid w:val="00106AF2"/>
    <w:rsid w:val="0010738C"/>
    <w:rsid w:val="00107448"/>
    <w:rsid w:val="00110308"/>
    <w:rsid w:val="001104C5"/>
    <w:rsid w:val="001106E7"/>
    <w:rsid w:val="0011099E"/>
    <w:rsid w:val="00110E29"/>
    <w:rsid w:val="00111631"/>
    <w:rsid w:val="00111BB7"/>
    <w:rsid w:val="00112218"/>
    <w:rsid w:val="00112CF1"/>
    <w:rsid w:val="00112D50"/>
    <w:rsid w:val="00112F81"/>
    <w:rsid w:val="001133C0"/>
    <w:rsid w:val="00113567"/>
    <w:rsid w:val="00113CF7"/>
    <w:rsid w:val="00113ED2"/>
    <w:rsid w:val="00113F4A"/>
    <w:rsid w:val="001146A5"/>
    <w:rsid w:val="00114C51"/>
    <w:rsid w:val="00114CEB"/>
    <w:rsid w:val="00115B90"/>
    <w:rsid w:val="001163B0"/>
    <w:rsid w:val="001173F3"/>
    <w:rsid w:val="001176B6"/>
    <w:rsid w:val="00120674"/>
    <w:rsid w:val="00120948"/>
    <w:rsid w:val="001209CF"/>
    <w:rsid w:val="00120BF1"/>
    <w:rsid w:val="001211CB"/>
    <w:rsid w:val="00121282"/>
    <w:rsid w:val="001212B0"/>
    <w:rsid w:val="001216C5"/>
    <w:rsid w:val="00121DC0"/>
    <w:rsid w:val="001220E1"/>
    <w:rsid w:val="001220FE"/>
    <w:rsid w:val="0012246A"/>
    <w:rsid w:val="00122A8D"/>
    <w:rsid w:val="00123A00"/>
    <w:rsid w:val="00124604"/>
    <w:rsid w:val="00124F1F"/>
    <w:rsid w:val="00126245"/>
    <w:rsid w:val="00126920"/>
    <w:rsid w:val="00127242"/>
    <w:rsid w:val="00127435"/>
    <w:rsid w:val="00130A1E"/>
    <w:rsid w:val="00130C72"/>
    <w:rsid w:val="00131949"/>
    <w:rsid w:val="00131A78"/>
    <w:rsid w:val="00132AD7"/>
    <w:rsid w:val="00133F35"/>
    <w:rsid w:val="001340BB"/>
    <w:rsid w:val="00134847"/>
    <w:rsid w:val="00134A38"/>
    <w:rsid w:val="00134F8C"/>
    <w:rsid w:val="001357E9"/>
    <w:rsid w:val="0013597B"/>
    <w:rsid w:val="0013614A"/>
    <w:rsid w:val="0013624B"/>
    <w:rsid w:val="00136487"/>
    <w:rsid w:val="0013661E"/>
    <w:rsid w:val="00136C81"/>
    <w:rsid w:val="00137034"/>
    <w:rsid w:val="0013738A"/>
    <w:rsid w:val="001373C0"/>
    <w:rsid w:val="0013747F"/>
    <w:rsid w:val="00137BC8"/>
    <w:rsid w:val="0014030B"/>
    <w:rsid w:val="00140385"/>
    <w:rsid w:val="00140DC3"/>
    <w:rsid w:val="00141967"/>
    <w:rsid w:val="001420BD"/>
    <w:rsid w:val="001420EB"/>
    <w:rsid w:val="00142143"/>
    <w:rsid w:val="0014258E"/>
    <w:rsid w:val="00142699"/>
    <w:rsid w:val="00142A61"/>
    <w:rsid w:val="00142C1C"/>
    <w:rsid w:val="00142F0B"/>
    <w:rsid w:val="001435F5"/>
    <w:rsid w:val="00143A4E"/>
    <w:rsid w:val="00143D3D"/>
    <w:rsid w:val="00143E2D"/>
    <w:rsid w:val="00144523"/>
    <w:rsid w:val="001445B6"/>
    <w:rsid w:val="00144D96"/>
    <w:rsid w:val="001474B4"/>
    <w:rsid w:val="00150F7E"/>
    <w:rsid w:val="001511CA"/>
    <w:rsid w:val="00151844"/>
    <w:rsid w:val="00151869"/>
    <w:rsid w:val="001528C5"/>
    <w:rsid w:val="001530AF"/>
    <w:rsid w:val="0015319A"/>
    <w:rsid w:val="00153482"/>
    <w:rsid w:val="00154C7F"/>
    <w:rsid w:val="001553E4"/>
    <w:rsid w:val="00155436"/>
    <w:rsid w:val="00155DA2"/>
    <w:rsid w:val="001561C7"/>
    <w:rsid w:val="001561D3"/>
    <w:rsid w:val="001563E2"/>
    <w:rsid w:val="001565D8"/>
    <w:rsid w:val="00156902"/>
    <w:rsid w:val="00156D5F"/>
    <w:rsid w:val="00156DFC"/>
    <w:rsid w:val="00156E91"/>
    <w:rsid w:val="00156EAE"/>
    <w:rsid w:val="00157122"/>
    <w:rsid w:val="001575CC"/>
    <w:rsid w:val="00157679"/>
    <w:rsid w:val="001576B5"/>
    <w:rsid w:val="0016059B"/>
    <w:rsid w:val="00160A5E"/>
    <w:rsid w:val="00161263"/>
    <w:rsid w:val="0016138E"/>
    <w:rsid w:val="0016159C"/>
    <w:rsid w:val="0016182A"/>
    <w:rsid w:val="0016183A"/>
    <w:rsid w:val="00161C1C"/>
    <w:rsid w:val="00162254"/>
    <w:rsid w:val="001622D6"/>
    <w:rsid w:val="00162518"/>
    <w:rsid w:val="00162570"/>
    <w:rsid w:val="001625CE"/>
    <w:rsid w:val="001626F9"/>
    <w:rsid w:val="0016297C"/>
    <w:rsid w:val="00162C6F"/>
    <w:rsid w:val="00163491"/>
    <w:rsid w:val="0016354C"/>
    <w:rsid w:val="001635A6"/>
    <w:rsid w:val="0016370E"/>
    <w:rsid w:val="00163823"/>
    <w:rsid w:val="00163C52"/>
    <w:rsid w:val="00163D04"/>
    <w:rsid w:val="00163F56"/>
    <w:rsid w:val="00164D76"/>
    <w:rsid w:val="00164EE8"/>
    <w:rsid w:val="00165074"/>
    <w:rsid w:val="0016598F"/>
    <w:rsid w:val="001659EE"/>
    <w:rsid w:val="00166B34"/>
    <w:rsid w:val="00166E3A"/>
    <w:rsid w:val="001672CD"/>
    <w:rsid w:val="001674B1"/>
    <w:rsid w:val="00167600"/>
    <w:rsid w:val="00167E32"/>
    <w:rsid w:val="00167F4F"/>
    <w:rsid w:val="001701AD"/>
    <w:rsid w:val="0017090A"/>
    <w:rsid w:val="00170976"/>
    <w:rsid w:val="00170ABE"/>
    <w:rsid w:val="00172222"/>
    <w:rsid w:val="001725FF"/>
    <w:rsid w:val="00172A64"/>
    <w:rsid w:val="00172BDC"/>
    <w:rsid w:val="00172F7F"/>
    <w:rsid w:val="00174497"/>
    <w:rsid w:val="00174521"/>
    <w:rsid w:val="00174575"/>
    <w:rsid w:val="001759AA"/>
    <w:rsid w:val="00175D60"/>
    <w:rsid w:val="00175E21"/>
    <w:rsid w:val="00176317"/>
    <w:rsid w:val="00176A1C"/>
    <w:rsid w:val="00176C58"/>
    <w:rsid w:val="001778BD"/>
    <w:rsid w:val="00177AEA"/>
    <w:rsid w:val="00177E16"/>
    <w:rsid w:val="00180301"/>
    <w:rsid w:val="00180725"/>
    <w:rsid w:val="001807F0"/>
    <w:rsid w:val="00180E5D"/>
    <w:rsid w:val="00181C6C"/>
    <w:rsid w:val="00182626"/>
    <w:rsid w:val="00182767"/>
    <w:rsid w:val="00182819"/>
    <w:rsid w:val="00183399"/>
    <w:rsid w:val="00183E8B"/>
    <w:rsid w:val="00185005"/>
    <w:rsid w:val="001850FF"/>
    <w:rsid w:val="0018524F"/>
    <w:rsid w:val="00186FA2"/>
    <w:rsid w:val="00187127"/>
    <w:rsid w:val="0018759C"/>
    <w:rsid w:val="0018793C"/>
    <w:rsid w:val="0019009C"/>
    <w:rsid w:val="00191BF6"/>
    <w:rsid w:val="00192944"/>
    <w:rsid w:val="00192EF8"/>
    <w:rsid w:val="00193532"/>
    <w:rsid w:val="001939C5"/>
    <w:rsid w:val="001942E2"/>
    <w:rsid w:val="001945DC"/>
    <w:rsid w:val="00194834"/>
    <w:rsid w:val="00195496"/>
    <w:rsid w:val="00195E2F"/>
    <w:rsid w:val="0019631A"/>
    <w:rsid w:val="00196794"/>
    <w:rsid w:val="00196854"/>
    <w:rsid w:val="00196C6E"/>
    <w:rsid w:val="001977AE"/>
    <w:rsid w:val="001A0165"/>
    <w:rsid w:val="001A01DB"/>
    <w:rsid w:val="001A03F4"/>
    <w:rsid w:val="001A03FD"/>
    <w:rsid w:val="001A0710"/>
    <w:rsid w:val="001A1AE1"/>
    <w:rsid w:val="001A1B27"/>
    <w:rsid w:val="001A1F10"/>
    <w:rsid w:val="001A291D"/>
    <w:rsid w:val="001A2C49"/>
    <w:rsid w:val="001A30B1"/>
    <w:rsid w:val="001A326F"/>
    <w:rsid w:val="001A3AB2"/>
    <w:rsid w:val="001A4005"/>
    <w:rsid w:val="001A4343"/>
    <w:rsid w:val="001A455A"/>
    <w:rsid w:val="001A46E3"/>
    <w:rsid w:val="001A55A7"/>
    <w:rsid w:val="001A5652"/>
    <w:rsid w:val="001A5AFA"/>
    <w:rsid w:val="001A625B"/>
    <w:rsid w:val="001A65DB"/>
    <w:rsid w:val="001A6A14"/>
    <w:rsid w:val="001A6ED1"/>
    <w:rsid w:val="001A77B7"/>
    <w:rsid w:val="001B1E8D"/>
    <w:rsid w:val="001B278B"/>
    <w:rsid w:val="001B2E52"/>
    <w:rsid w:val="001B349A"/>
    <w:rsid w:val="001B394D"/>
    <w:rsid w:val="001B3FC7"/>
    <w:rsid w:val="001B4AFF"/>
    <w:rsid w:val="001B4B99"/>
    <w:rsid w:val="001B5647"/>
    <w:rsid w:val="001B5FA7"/>
    <w:rsid w:val="001B6238"/>
    <w:rsid w:val="001B64B7"/>
    <w:rsid w:val="001B708D"/>
    <w:rsid w:val="001C0BE2"/>
    <w:rsid w:val="001C0C2B"/>
    <w:rsid w:val="001C2188"/>
    <w:rsid w:val="001C3D2E"/>
    <w:rsid w:val="001C43F0"/>
    <w:rsid w:val="001C44A7"/>
    <w:rsid w:val="001C5465"/>
    <w:rsid w:val="001C5D6C"/>
    <w:rsid w:val="001C6048"/>
    <w:rsid w:val="001C6A96"/>
    <w:rsid w:val="001C7F8E"/>
    <w:rsid w:val="001D04D4"/>
    <w:rsid w:val="001D05C9"/>
    <w:rsid w:val="001D1121"/>
    <w:rsid w:val="001D1F6C"/>
    <w:rsid w:val="001D23BD"/>
    <w:rsid w:val="001D2829"/>
    <w:rsid w:val="001D3404"/>
    <w:rsid w:val="001D38A9"/>
    <w:rsid w:val="001D3C2C"/>
    <w:rsid w:val="001D4820"/>
    <w:rsid w:val="001D4F02"/>
    <w:rsid w:val="001D53F4"/>
    <w:rsid w:val="001D563D"/>
    <w:rsid w:val="001D5FAF"/>
    <w:rsid w:val="001D5FF9"/>
    <w:rsid w:val="001D6400"/>
    <w:rsid w:val="001D71A2"/>
    <w:rsid w:val="001D759E"/>
    <w:rsid w:val="001D7766"/>
    <w:rsid w:val="001D7E0D"/>
    <w:rsid w:val="001E0439"/>
    <w:rsid w:val="001E0D3C"/>
    <w:rsid w:val="001E0F4C"/>
    <w:rsid w:val="001E1186"/>
    <w:rsid w:val="001E1235"/>
    <w:rsid w:val="001E12A0"/>
    <w:rsid w:val="001E1439"/>
    <w:rsid w:val="001E184E"/>
    <w:rsid w:val="001E18A1"/>
    <w:rsid w:val="001E1D25"/>
    <w:rsid w:val="001E21A3"/>
    <w:rsid w:val="001E2C87"/>
    <w:rsid w:val="001E3B81"/>
    <w:rsid w:val="001E3E00"/>
    <w:rsid w:val="001E438F"/>
    <w:rsid w:val="001E4471"/>
    <w:rsid w:val="001E4AED"/>
    <w:rsid w:val="001E4D4E"/>
    <w:rsid w:val="001E4ED5"/>
    <w:rsid w:val="001E4F5A"/>
    <w:rsid w:val="001E5349"/>
    <w:rsid w:val="001E540D"/>
    <w:rsid w:val="001E5C16"/>
    <w:rsid w:val="001E5D3D"/>
    <w:rsid w:val="001E62C9"/>
    <w:rsid w:val="001E6730"/>
    <w:rsid w:val="001E698D"/>
    <w:rsid w:val="001E78B2"/>
    <w:rsid w:val="001F2A34"/>
    <w:rsid w:val="001F34E0"/>
    <w:rsid w:val="001F3550"/>
    <w:rsid w:val="001F36B7"/>
    <w:rsid w:val="001F3D8D"/>
    <w:rsid w:val="001F3DD3"/>
    <w:rsid w:val="001F416B"/>
    <w:rsid w:val="001F4775"/>
    <w:rsid w:val="001F48CD"/>
    <w:rsid w:val="001F4ACB"/>
    <w:rsid w:val="001F4FB3"/>
    <w:rsid w:val="001F5B5D"/>
    <w:rsid w:val="001F6CDF"/>
    <w:rsid w:val="001F6F68"/>
    <w:rsid w:val="001F7302"/>
    <w:rsid w:val="001F74C1"/>
    <w:rsid w:val="001F7D57"/>
    <w:rsid w:val="001F7DAC"/>
    <w:rsid w:val="001F7E12"/>
    <w:rsid w:val="001F7EEF"/>
    <w:rsid w:val="002001BE"/>
    <w:rsid w:val="00200253"/>
    <w:rsid w:val="002010F3"/>
    <w:rsid w:val="00201AF9"/>
    <w:rsid w:val="00201BC2"/>
    <w:rsid w:val="002027B6"/>
    <w:rsid w:val="00203240"/>
    <w:rsid w:val="002034F6"/>
    <w:rsid w:val="00203E1C"/>
    <w:rsid w:val="002040D8"/>
    <w:rsid w:val="00205054"/>
    <w:rsid w:val="002050B7"/>
    <w:rsid w:val="002058B9"/>
    <w:rsid w:val="00206019"/>
    <w:rsid w:val="00206375"/>
    <w:rsid w:val="0020686E"/>
    <w:rsid w:val="00206AB0"/>
    <w:rsid w:val="00206BF5"/>
    <w:rsid w:val="00206F02"/>
    <w:rsid w:val="00207268"/>
    <w:rsid w:val="00207A43"/>
    <w:rsid w:val="00207D41"/>
    <w:rsid w:val="002100EC"/>
    <w:rsid w:val="00210224"/>
    <w:rsid w:val="0021056F"/>
    <w:rsid w:val="00210B17"/>
    <w:rsid w:val="00211D87"/>
    <w:rsid w:val="0021252A"/>
    <w:rsid w:val="00212646"/>
    <w:rsid w:val="002128C4"/>
    <w:rsid w:val="0021404E"/>
    <w:rsid w:val="002149A8"/>
    <w:rsid w:val="00214D37"/>
    <w:rsid w:val="00214F60"/>
    <w:rsid w:val="002154FE"/>
    <w:rsid w:val="00215616"/>
    <w:rsid w:val="002157F1"/>
    <w:rsid w:val="002161FB"/>
    <w:rsid w:val="00216486"/>
    <w:rsid w:val="00216DBF"/>
    <w:rsid w:val="00216EC1"/>
    <w:rsid w:val="002171FD"/>
    <w:rsid w:val="00217F05"/>
    <w:rsid w:val="00220165"/>
    <w:rsid w:val="002208B4"/>
    <w:rsid w:val="00220EBB"/>
    <w:rsid w:val="002211CC"/>
    <w:rsid w:val="002213DC"/>
    <w:rsid w:val="00221712"/>
    <w:rsid w:val="0022189F"/>
    <w:rsid w:val="00222386"/>
    <w:rsid w:val="00222A23"/>
    <w:rsid w:val="00222F7A"/>
    <w:rsid w:val="002233E8"/>
    <w:rsid w:val="00223588"/>
    <w:rsid w:val="00224452"/>
    <w:rsid w:val="0022448A"/>
    <w:rsid w:val="002246FB"/>
    <w:rsid w:val="0022523A"/>
    <w:rsid w:val="0022570B"/>
    <w:rsid w:val="00225A39"/>
    <w:rsid w:val="00225E91"/>
    <w:rsid w:val="002263AE"/>
    <w:rsid w:val="0022667F"/>
    <w:rsid w:val="00226B4D"/>
    <w:rsid w:val="00227138"/>
    <w:rsid w:val="00227281"/>
    <w:rsid w:val="002277FA"/>
    <w:rsid w:val="002279FA"/>
    <w:rsid w:val="00227AEB"/>
    <w:rsid w:val="00230AFE"/>
    <w:rsid w:val="0023101F"/>
    <w:rsid w:val="0023131C"/>
    <w:rsid w:val="00231765"/>
    <w:rsid w:val="002318F1"/>
    <w:rsid w:val="00231B6E"/>
    <w:rsid w:val="002326B9"/>
    <w:rsid w:val="002326E8"/>
    <w:rsid w:val="00232CB5"/>
    <w:rsid w:val="00232F3C"/>
    <w:rsid w:val="0023302B"/>
    <w:rsid w:val="00233625"/>
    <w:rsid w:val="00233BDE"/>
    <w:rsid w:val="002349DA"/>
    <w:rsid w:val="00234A55"/>
    <w:rsid w:val="00234BA8"/>
    <w:rsid w:val="00234C98"/>
    <w:rsid w:val="00235E74"/>
    <w:rsid w:val="0023611D"/>
    <w:rsid w:val="002365E5"/>
    <w:rsid w:val="00236723"/>
    <w:rsid w:val="002367C4"/>
    <w:rsid w:val="00236817"/>
    <w:rsid w:val="0023681C"/>
    <w:rsid w:val="00236A6B"/>
    <w:rsid w:val="00240072"/>
    <w:rsid w:val="00240187"/>
    <w:rsid w:val="002407D6"/>
    <w:rsid w:val="002413F3"/>
    <w:rsid w:val="00241513"/>
    <w:rsid w:val="002416DC"/>
    <w:rsid w:val="00241D31"/>
    <w:rsid w:val="002424B0"/>
    <w:rsid w:val="0024272E"/>
    <w:rsid w:val="00243881"/>
    <w:rsid w:val="00243FB1"/>
    <w:rsid w:val="00244E0B"/>
    <w:rsid w:val="00245E02"/>
    <w:rsid w:val="00245F05"/>
    <w:rsid w:val="0024623A"/>
    <w:rsid w:val="00247180"/>
    <w:rsid w:val="00247328"/>
    <w:rsid w:val="0024733E"/>
    <w:rsid w:val="00247342"/>
    <w:rsid w:val="002479BD"/>
    <w:rsid w:val="00247A8B"/>
    <w:rsid w:val="002501BB"/>
    <w:rsid w:val="00250870"/>
    <w:rsid w:val="00251589"/>
    <w:rsid w:val="00251CDE"/>
    <w:rsid w:val="00251E03"/>
    <w:rsid w:val="0025207F"/>
    <w:rsid w:val="00252211"/>
    <w:rsid w:val="002524C1"/>
    <w:rsid w:val="002526B1"/>
    <w:rsid w:val="00252C67"/>
    <w:rsid w:val="00253075"/>
    <w:rsid w:val="00253846"/>
    <w:rsid w:val="00253852"/>
    <w:rsid w:val="00253E3F"/>
    <w:rsid w:val="00254376"/>
    <w:rsid w:val="00255108"/>
    <w:rsid w:val="00255326"/>
    <w:rsid w:val="002555FA"/>
    <w:rsid w:val="002556F1"/>
    <w:rsid w:val="002557A6"/>
    <w:rsid w:val="00256870"/>
    <w:rsid w:val="00256DEC"/>
    <w:rsid w:val="0025777D"/>
    <w:rsid w:val="00257FCB"/>
    <w:rsid w:val="002600C6"/>
    <w:rsid w:val="00260B3F"/>
    <w:rsid w:val="00260EB1"/>
    <w:rsid w:val="00261067"/>
    <w:rsid w:val="0026159D"/>
    <w:rsid w:val="00262247"/>
    <w:rsid w:val="00262E89"/>
    <w:rsid w:val="00263267"/>
    <w:rsid w:val="002632D8"/>
    <w:rsid w:val="00263BED"/>
    <w:rsid w:val="00264E3C"/>
    <w:rsid w:val="0026511E"/>
    <w:rsid w:val="002651E2"/>
    <w:rsid w:val="00265AE8"/>
    <w:rsid w:val="00265DCC"/>
    <w:rsid w:val="00266EBB"/>
    <w:rsid w:val="002670B2"/>
    <w:rsid w:val="002678ED"/>
    <w:rsid w:val="00267929"/>
    <w:rsid w:val="00267F62"/>
    <w:rsid w:val="00271030"/>
    <w:rsid w:val="002711B2"/>
    <w:rsid w:val="00271BF4"/>
    <w:rsid w:val="00274E96"/>
    <w:rsid w:val="00275411"/>
    <w:rsid w:val="00275A5F"/>
    <w:rsid w:val="0027604E"/>
    <w:rsid w:val="0027628E"/>
    <w:rsid w:val="002767D6"/>
    <w:rsid w:val="0027686C"/>
    <w:rsid w:val="002769AE"/>
    <w:rsid w:val="00276C12"/>
    <w:rsid w:val="0028014F"/>
    <w:rsid w:val="00280562"/>
    <w:rsid w:val="00281E49"/>
    <w:rsid w:val="00282E61"/>
    <w:rsid w:val="00282FF8"/>
    <w:rsid w:val="00283756"/>
    <w:rsid w:val="002837CF"/>
    <w:rsid w:val="002839D6"/>
    <w:rsid w:val="0028474B"/>
    <w:rsid w:val="00284755"/>
    <w:rsid w:val="00284F7A"/>
    <w:rsid w:val="00285269"/>
    <w:rsid w:val="002859B7"/>
    <w:rsid w:val="00285C64"/>
    <w:rsid w:val="002873EC"/>
    <w:rsid w:val="0029007A"/>
    <w:rsid w:val="0029016E"/>
    <w:rsid w:val="0029069F"/>
    <w:rsid w:val="00290EEC"/>
    <w:rsid w:val="0029158E"/>
    <w:rsid w:val="00291752"/>
    <w:rsid w:val="00291B6A"/>
    <w:rsid w:val="00291B90"/>
    <w:rsid w:val="00291F64"/>
    <w:rsid w:val="002925BB"/>
    <w:rsid w:val="00292F49"/>
    <w:rsid w:val="00293152"/>
    <w:rsid w:val="002935F0"/>
    <w:rsid w:val="002936B4"/>
    <w:rsid w:val="00293912"/>
    <w:rsid w:val="00293A47"/>
    <w:rsid w:val="00293FCC"/>
    <w:rsid w:val="002954F1"/>
    <w:rsid w:val="00295909"/>
    <w:rsid w:val="0029632E"/>
    <w:rsid w:val="00296DB2"/>
    <w:rsid w:val="002971F9"/>
    <w:rsid w:val="00297488"/>
    <w:rsid w:val="0029764B"/>
    <w:rsid w:val="00297679"/>
    <w:rsid w:val="002A03E2"/>
    <w:rsid w:val="002A0FBF"/>
    <w:rsid w:val="002A1097"/>
    <w:rsid w:val="002A13D1"/>
    <w:rsid w:val="002A1BBF"/>
    <w:rsid w:val="002A1F96"/>
    <w:rsid w:val="002A1FAD"/>
    <w:rsid w:val="002A25AC"/>
    <w:rsid w:val="002A27E0"/>
    <w:rsid w:val="002A2E6A"/>
    <w:rsid w:val="002A3673"/>
    <w:rsid w:val="002A375F"/>
    <w:rsid w:val="002A3C63"/>
    <w:rsid w:val="002A3E12"/>
    <w:rsid w:val="002A42EE"/>
    <w:rsid w:val="002A462E"/>
    <w:rsid w:val="002A4B4D"/>
    <w:rsid w:val="002A5036"/>
    <w:rsid w:val="002A5258"/>
    <w:rsid w:val="002A5B41"/>
    <w:rsid w:val="002A5B44"/>
    <w:rsid w:val="002A618F"/>
    <w:rsid w:val="002A661D"/>
    <w:rsid w:val="002A6ABE"/>
    <w:rsid w:val="002A6ABF"/>
    <w:rsid w:val="002A76C6"/>
    <w:rsid w:val="002A7720"/>
    <w:rsid w:val="002B027F"/>
    <w:rsid w:val="002B035D"/>
    <w:rsid w:val="002B0CF6"/>
    <w:rsid w:val="002B13AB"/>
    <w:rsid w:val="002B16FD"/>
    <w:rsid w:val="002B1BFB"/>
    <w:rsid w:val="002B327F"/>
    <w:rsid w:val="002B3A1C"/>
    <w:rsid w:val="002B3C7B"/>
    <w:rsid w:val="002B402E"/>
    <w:rsid w:val="002B4062"/>
    <w:rsid w:val="002B437E"/>
    <w:rsid w:val="002B443B"/>
    <w:rsid w:val="002B4825"/>
    <w:rsid w:val="002B491B"/>
    <w:rsid w:val="002B4B69"/>
    <w:rsid w:val="002B5095"/>
    <w:rsid w:val="002B53AC"/>
    <w:rsid w:val="002B6605"/>
    <w:rsid w:val="002B6D2B"/>
    <w:rsid w:val="002B736C"/>
    <w:rsid w:val="002B7A0D"/>
    <w:rsid w:val="002C07A2"/>
    <w:rsid w:val="002C094B"/>
    <w:rsid w:val="002C0D9D"/>
    <w:rsid w:val="002C0DBF"/>
    <w:rsid w:val="002C16C1"/>
    <w:rsid w:val="002C16F1"/>
    <w:rsid w:val="002C1A8F"/>
    <w:rsid w:val="002C2D8F"/>
    <w:rsid w:val="002C32AF"/>
    <w:rsid w:val="002C331E"/>
    <w:rsid w:val="002C3323"/>
    <w:rsid w:val="002C34E3"/>
    <w:rsid w:val="002C3F8B"/>
    <w:rsid w:val="002C5A01"/>
    <w:rsid w:val="002C5F4D"/>
    <w:rsid w:val="002C61ED"/>
    <w:rsid w:val="002C6CE1"/>
    <w:rsid w:val="002C6FC8"/>
    <w:rsid w:val="002C7AC9"/>
    <w:rsid w:val="002C7E67"/>
    <w:rsid w:val="002D0267"/>
    <w:rsid w:val="002D06BA"/>
    <w:rsid w:val="002D123E"/>
    <w:rsid w:val="002D27F3"/>
    <w:rsid w:val="002D2960"/>
    <w:rsid w:val="002D2D31"/>
    <w:rsid w:val="002D2F16"/>
    <w:rsid w:val="002D2F30"/>
    <w:rsid w:val="002D30A8"/>
    <w:rsid w:val="002D3B10"/>
    <w:rsid w:val="002D43B4"/>
    <w:rsid w:val="002D4556"/>
    <w:rsid w:val="002D563A"/>
    <w:rsid w:val="002D5BF8"/>
    <w:rsid w:val="002D6525"/>
    <w:rsid w:val="002D6A22"/>
    <w:rsid w:val="002D7009"/>
    <w:rsid w:val="002E11CF"/>
    <w:rsid w:val="002E133A"/>
    <w:rsid w:val="002E19A3"/>
    <w:rsid w:val="002E24B4"/>
    <w:rsid w:val="002E394B"/>
    <w:rsid w:val="002E3C59"/>
    <w:rsid w:val="002E42CD"/>
    <w:rsid w:val="002E4496"/>
    <w:rsid w:val="002E5062"/>
    <w:rsid w:val="002E532D"/>
    <w:rsid w:val="002E5C64"/>
    <w:rsid w:val="002E65C2"/>
    <w:rsid w:val="002E6615"/>
    <w:rsid w:val="002E6EC7"/>
    <w:rsid w:val="002E7D62"/>
    <w:rsid w:val="002E7F3B"/>
    <w:rsid w:val="002F01B9"/>
    <w:rsid w:val="002F0910"/>
    <w:rsid w:val="002F0F0D"/>
    <w:rsid w:val="002F1127"/>
    <w:rsid w:val="002F154E"/>
    <w:rsid w:val="002F1835"/>
    <w:rsid w:val="002F18DA"/>
    <w:rsid w:val="002F1B78"/>
    <w:rsid w:val="002F2761"/>
    <w:rsid w:val="002F3014"/>
    <w:rsid w:val="002F32CB"/>
    <w:rsid w:val="002F347D"/>
    <w:rsid w:val="002F3C32"/>
    <w:rsid w:val="002F3DD8"/>
    <w:rsid w:val="002F4656"/>
    <w:rsid w:val="002F492B"/>
    <w:rsid w:val="002F4AEB"/>
    <w:rsid w:val="002F4CBF"/>
    <w:rsid w:val="002F50BC"/>
    <w:rsid w:val="002F51E8"/>
    <w:rsid w:val="002F52EC"/>
    <w:rsid w:val="002F5F7D"/>
    <w:rsid w:val="002F697A"/>
    <w:rsid w:val="002F6D01"/>
    <w:rsid w:val="002F6F3E"/>
    <w:rsid w:val="002F79B9"/>
    <w:rsid w:val="00300522"/>
    <w:rsid w:val="00300D3E"/>
    <w:rsid w:val="00300F41"/>
    <w:rsid w:val="00300F93"/>
    <w:rsid w:val="003017F5"/>
    <w:rsid w:val="00301C30"/>
    <w:rsid w:val="00301DF4"/>
    <w:rsid w:val="00301E49"/>
    <w:rsid w:val="0030244F"/>
    <w:rsid w:val="003024B6"/>
    <w:rsid w:val="00302EA7"/>
    <w:rsid w:val="0030359C"/>
    <w:rsid w:val="0030426C"/>
    <w:rsid w:val="00304440"/>
    <w:rsid w:val="00304D39"/>
    <w:rsid w:val="00305603"/>
    <w:rsid w:val="003056E4"/>
    <w:rsid w:val="00305AD0"/>
    <w:rsid w:val="00305E2D"/>
    <w:rsid w:val="00305E56"/>
    <w:rsid w:val="003071F7"/>
    <w:rsid w:val="0031007B"/>
    <w:rsid w:val="00310CEB"/>
    <w:rsid w:val="00310EEA"/>
    <w:rsid w:val="003110CF"/>
    <w:rsid w:val="003113C9"/>
    <w:rsid w:val="003123F1"/>
    <w:rsid w:val="00312484"/>
    <w:rsid w:val="00312749"/>
    <w:rsid w:val="00313363"/>
    <w:rsid w:val="003134B5"/>
    <w:rsid w:val="00313F72"/>
    <w:rsid w:val="00313F7F"/>
    <w:rsid w:val="00314329"/>
    <w:rsid w:val="00314478"/>
    <w:rsid w:val="00314D29"/>
    <w:rsid w:val="00315611"/>
    <w:rsid w:val="00315BFB"/>
    <w:rsid w:val="0031616D"/>
    <w:rsid w:val="00316A0B"/>
    <w:rsid w:val="003174C6"/>
    <w:rsid w:val="00317592"/>
    <w:rsid w:val="00317DDD"/>
    <w:rsid w:val="00320255"/>
    <w:rsid w:val="0032029B"/>
    <w:rsid w:val="003206C0"/>
    <w:rsid w:val="00320763"/>
    <w:rsid w:val="00320B1D"/>
    <w:rsid w:val="00320C39"/>
    <w:rsid w:val="003215B2"/>
    <w:rsid w:val="00322E66"/>
    <w:rsid w:val="00323233"/>
    <w:rsid w:val="00323D33"/>
    <w:rsid w:val="00323F75"/>
    <w:rsid w:val="0032419D"/>
    <w:rsid w:val="00324AE6"/>
    <w:rsid w:val="00326D3D"/>
    <w:rsid w:val="00326F1A"/>
    <w:rsid w:val="0033065E"/>
    <w:rsid w:val="0033067B"/>
    <w:rsid w:val="00330773"/>
    <w:rsid w:val="00330BF1"/>
    <w:rsid w:val="003312A3"/>
    <w:rsid w:val="003318D0"/>
    <w:rsid w:val="00331EF6"/>
    <w:rsid w:val="00332144"/>
    <w:rsid w:val="0033427E"/>
    <w:rsid w:val="0033465E"/>
    <w:rsid w:val="00334BD3"/>
    <w:rsid w:val="00336E19"/>
    <w:rsid w:val="00337970"/>
    <w:rsid w:val="00337A7F"/>
    <w:rsid w:val="00337DA1"/>
    <w:rsid w:val="00337F4F"/>
    <w:rsid w:val="003404C4"/>
    <w:rsid w:val="00340636"/>
    <w:rsid w:val="00340905"/>
    <w:rsid w:val="00340CBD"/>
    <w:rsid w:val="00340D59"/>
    <w:rsid w:val="00341FBC"/>
    <w:rsid w:val="003420E4"/>
    <w:rsid w:val="0034237C"/>
    <w:rsid w:val="00342627"/>
    <w:rsid w:val="00342C44"/>
    <w:rsid w:val="00342DF5"/>
    <w:rsid w:val="00343C7C"/>
    <w:rsid w:val="003459B9"/>
    <w:rsid w:val="00345D76"/>
    <w:rsid w:val="003464D8"/>
    <w:rsid w:val="003465B9"/>
    <w:rsid w:val="003508E0"/>
    <w:rsid w:val="00351812"/>
    <w:rsid w:val="00352514"/>
    <w:rsid w:val="003526FE"/>
    <w:rsid w:val="00352FBD"/>
    <w:rsid w:val="00354088"/>
    <w:rsid w:val="00354640"/>
    <w:rsid w:val="0035475D"/>
    <w:rsid w:val="00354DC7"/>
    <w:rsid w:val="00354E3F"/>
    <w:rsid w:val="00355D97"/>
    <w:rsid w:val="003560B1"/>
    <w:rsid w:val="00356407"/>
    <w:rsid w:val="00356CC1"/>
    <w:rsid w:val="00357ACF"/>
    <w:rsid w:val="003603A3"/>
    <w:rsid w:val="003606D0"/>
    <w:rsid w:val="003607A9"/>
    <w:rsid w:val="00360DE5"/>
    <w:rsid w:val="003615A6"/>
    <w:rsid w:val="003617E1"/>
    <w:rsid w:val="003619F1"/>
    <w:rsid w:val="00362A6D"/>
    <w:rsid w:val="00363715"/>
    <w:rsid w:val="00363A1D"/>
    <w:rsid w:val="00363B9B"/>
    <w:rsid w:val="00364A90"/>
    <w:rsid w:val="0036526C"/>
    <w:rsid w:val="00365F71"/>
    <w:rsid w:val="00366CDE"/>
    <w:rsid w:val="003670B0"/>
    <w:rsid w:val="00367170"/>
    <w:rsid w:val="00367545"/>
    <w:rsid w:val="00370AD1"/>
    <w:rsid w:val="003712C6"/>
    <w:rsid w:val="0037158A"/>
    <w:rsid w:val="003716EA"/>
    <w:rsid w:val="00371874"/>
    <w:rsid w:val="003723D6"/>
    <w:rsid w:val="00372526"/>
    <w:rsid w:val="00372AFD"/>
    <w:rsid w:val="00372DB7"/>
    <w:rsid w:val="00372E24"/>
    <w:rsid w:val="00374555"/>
    <w:rsid w:val="00375030"/>
    <w:rsid w:val="0037689B"/>
    <w:rsid w:val="0037695D"/>
    <w:rsid w:val="00376F51"/>
    <w:rsid w:val="00377F58"/>
    <w:rsid w:val="00380560"/>
    <w:rsid w:val="003812FB"/>
    <w:rsid w:val="00381461"/>
    <w:rsid w:val="003821F6"/>
    <w:rsid w:val="003822F0"/>
    <w:rsid w:val="003829E2"/>
    <w:rsid w:val="00382E97"/>
    <w:rsid w:val="00382F53"/>
    <w:rsid w:val="0038342B"/>
    <w:rsid w:val="0038392F"/>
    <w:rsid w:val="00383DC1"/>
    <w:rsid w:val="003842EB"/>
    <w:rsid w:val="00384D42"/>
    <w:rsid w:val="00384FCA"/>
    <w:rsid w:val="003857F8"/>
    <w:rsid w:val="00385AE0"/>
    <w:rsid w:val="00386047"/>
    <w:rsid w:val="0038604D"/>
    <w:rsid w:val="0038628C"/>
    <w:rsid w:val="00387240"/>
    <w:rsid w:val="003874CC"/>
    <w:rsid w:val="00387714"/>
    <w:rsid w:val="003877F9"/>
    <w:rsid w:val="00387A49"/>
    <w:rsid w:val="003909A6"/>
    <w:rsid w:val="00390E8C"/>
    <w:rsid w:val="00390F26"/>
    <w:rsid w:val="00391268"/>
    <w:rsid w:val="00391876"/>
    <w:rsid w:val="003919F2"/>
    <w:rsid w:val="0039248B"/>
    <w:rsid w:val="00392878"/>
    <w:rsid w:val="003932E0"/>
    <w:rsid w:val="00393835"/>
    <w:rsid w:val="00393AC7"/>
    <w:rsid w:val="00394966"/>
    <w:rsid w:val="00394D2B"/>
    <w:rsid w:val="003957D4"/>
    <w:rsid w:val="00395C66"/>
    <w:rsid w:val="00395F25"/>
    <w:rsid w:val="00395F63"/>
    <w:rsid w:val="003961EF"/>
    <w:rsid w:val="003979BD"/>
    <w:rsid w:val="003A0651"/>
    <w:rsid w:val="003A0CBF"/>
    <w:rsid w:val="003A179B"/>
    <w:rsid w:val="003A2209"/>
    <w:rsid w:val="003A2469"/>
    <w:rsid w:val="003A27EB"/>
    <w:rsid w:val="003A3269"/>
    <w:rsid w:val="003A39DA"/>
    <w:rsid w:val="003A3F71"/>
    <w:rsid w:val="003A3FD9"/>
    <w:rsid w:val="003A445A"/>
    <w:rsid w:val="003A4550"/>
    <w:rsid w:val="003A48B1"/>
    <w:rsid w:val="003A48C8"/>
    <w:rsid w:val="003A5117"/>
    <w:rsid w:val="003A54E8"/>
    <w:rsid w:val="003A5E0B"/>
    <w:rsid w:val="003A5EF9"/>
    <w:rsid w:val="003A6468"/>
    <w:rsid w:val="003A6DE8"/>
    <w:rsid w:val="003A71EF"/>
    <w:rsid w:val="003A7657"/>
    <w:rsid w:val="003A7C6F"/>
    <w:rsid w:val="003A7E2B"/>
    <w:rsid w:val="003B05B2"/>
    <w:rsid w:val="003B0BD4"/>
    <w:rsid w:val="003B0E20"/>
    <w:rsid w:val="003B0F7F"/>
    <w:rsid w:val="003B18AC"/>
    <w:rsid w:val="003B1B64"/>
    <w:rsid w:val="003B1DB4"/>
    <w:rsid w:val="003B2240"/>
    <w:rsid w:val="003B269B"/>
    <w:rsid w:val="003B3180"/>
    <w:rsid w:val="003B3A57"/>
    <w:rsid w:val="003B3C4B"/>
    <w:rsid w:val="003B4675"/>
    <w:rsid w:val="003B46F5"/>
    <w:rsid w:val="003B4736"/>
    <w:rsid w:val="003B4C98"/>
    <w:rsid w:val="003B513D"/>
    <w:rsid w:val="003B55AA"/>
    <w:rsid w:val="003B59B5"/>
    <w:rsid w:val="003B5A03"/>
    <w:rsid w:val="003B74BA"/>
    <w:rsid w:val="003B75D2"/>
    <w:rsid w:val="003B79D5"/>
    <w:rsid w:val="003C036B"/>
    <w:rsid w:val="003C0AF7"/>
    <w:rsid w:val="003C1248"/>
    <w:rsid w:val="003C1389"/>
    <w:rsid w:val="003C1E54"/>
    <w:rsid w:val="003C2111"/>
    <w:rsid w:val="003C2A2E"/>
    <w:rsid w:val="003C33A9"/>
    <w:rsid w:val="003C3F9D"/>
    <w:rsid w:val="003C4F68"/>
    <w:rsid w:val="003C57FE"/>
    <w:rsid w:val="003C6BC3"/>
    <w:rsid w:val="003C7275"/>
    <w:rsid w:val="003C7ACD"/>
    <w:rsid w:val="003C7BDB"/>
    <w:rsid w:val="003D02B3"/>
    <w:rsid w:val="003D06C6"/>
    <w:rsid w:val="003D127D"/>
    <w:rsid w:val="003D146B"/>
    <w:rsid w:val="003D1559"/>
    <w:rsid w:val="003D1E93"/>
    <w:rsid w:val="003D238F"/>
    <w:rsid w:val="003D2632"/>
    <w:rsid w:val="003D26F5"/>
    <w:rsid w:val="003D27EF"/>
    <w:rsid w:val="003D2A4C"/>
    <w:rsid w:val="003D3B1F"/>
    <w:rsid w:val="003D3D59"/>
    <w:rsid w:val="003D408F"/>
    <w:rsid w:val="003D4607"/>
    <w:rsid w:val="003D4BCA"/>
    <w:rsid w:val="003D4E1F"/>
    <w:rsid w:val="003D4E4E"/>
    <w:rsid w:val="003D5044"/>
    <w:rsid w:val="003D57B8"/>
    <w:rsid w:val="003D5B89"/>
    <w:rsid w:val="003D5F48"/>
    <w:rsid w:val="003D676D"/>
    <w:rsid w:val="003D68CD"/>
    <w:rsid w:val="003D6C96"/>
    <w:rsid w:val="003D6FB4"/>
    <w:rsid w:val="003D7D8C"/>
    <w:rsid w:val="003D7E77"/>
    <w:rsid w:val="003E0131"/>
    <w:rsid w:val="003E015E"/>
    <w:rsid w:val="003E02FC"/>
    <w:rsid w:val="003E03C0"/>
    <w:rsid w:val="003E0A16"/>
    <w:rsid w:val="003E1705"/>
    <w:rsid w:val="003E18FC"/>
    <w:rsid w:val="003E1B4A"/>
    <w:rsid w:val="003E207C"/>
    <w:rsid w:val="003E2D3B"/>
    <w:rsid w:val="003E30D6"/>
    <w:rsid w:val="003E3689"/>
    <w:rsid w:val="003E52F2"/>
    <w:rsid w:val="003E5CB3"/>
    <w:rsid w:val="003E6178"/>
    <w:rsid w:val="003E6213"/>
    <w:rsid w:val="003E7AD9"/>
    <w:rsid w:val="003F039B"/>
    <w:rsid w:val="003F0CC6"/>
    <w:rsid w:val="003F14E1"/>
    <w:rsid w:val="003F16B0"/>
    <w:rsid w:val="003F1737"/>
    <w:rsid w:val="003F1DA9"/>
    <w:rsid w:val="003F1FF2"/>
    <w:rsid w:val="003F31EC"/>
    <w:rsid w:val="003F3462"/>
    <w:rsid w:val="003F3581"/>
    <w:rsid w:val="003F49B0"/>
    <w:rsid w:val="003F4FA1"/>
    <w:rsid w:val="003F5088"/>
    <w:rsid w:val="003F53BC"/>
    <w:rsid w:val="003F54C8"/>
    <w:rsid w:val="003F586D"/>
    <w:rsid w:val="003F5989"/>
    <w:rsid w:val="003F689E"/>
    <w:rsid w:val="003F6EFF"/>
    <w:rsid w:val="003F715A"/>
    <w:rsid w:val="003F7381"/>
    <w:rsid w:val="003F77BD"/>
    <w:rsid w:val="003F7A5D"/>
    <w:rsid w:val="003F7B47"/>
    <w:rsid w:val="004002FB"/>
    <w:rsid w:val="00400719"/>
    <w:rsid w:val="004008E7"/>
    <w:rsid w:val="00400AD1"/>
    <w:rsid w:val="00401BE3"/>
    <w:rsid w:val="0040216D"/>
    <w:rsid w:val="00402E87"/>
    <w:rsid w:val="00403CFD"/>
    <w:rsid w:val="00403D55"/>
    <w:rsid w:val="00403EE9"/>
    <w:rsid w:val="00403F53"/>
    <w:rsid w:val="00404B63"/>
    <w:rsid w:val="00404B7C"/>
    <w:rsid w:val="00404C43"/>
    <w:rsid w:val="00404DB7"/>
    <w:rsid w:val="00405C24"/>
    <w:rsid w:val="0040655A"/>
    <w:rsid w:val="004070AB"/>
    <w:rsid w:val="004070DC"/>
    <w:rsid w:val="00410799"/>
    <w:rsid w:val="00410FA6"/>
    <w:rsid w:val="00411998"/>
    <w:rsid w:val="00411C7F"/>
    <w:rsid w:val="0041200A"/>
    <w:rsid w:val="0041222E"/>
    <w:rsid w:val="0041253F"/>
    <w:rsid w:val="0041306D"/>
    <w:rsid w:val="0041338E"/>
    <w:rsid w:val="00413EC5"/>
    <w:rsid w:val="004143E6"/>
    <w:rsid w:val="00414536"/>
    <w:rsid w:val="00415940"/>
    <w:rsid w:val="00415AA5"/>
    <w:rsid w:val="00415C56"/>
    <w:rsid w:val="00420624"/>
    <w:rsid w:val="00422324"/>
    <w:rsid w:val="0042282C"/>
    <w:rsid w:val="00423018"/>
    <w:rsid w:val="00423605"/>
    <w:rsid w:val="0042368E"/>
    <w:rsid w:val="00423751"/>
    <w:rsid w:val="00423A78"/>
    <w:rsid w:val="00423A82"/>
    <w:rsid w:val="00424181"/>
    <w:rsid w:val="004251BB"/>
    <w:rsid w:val="00425635"/>
    <w:rsid w:val="00425C97"/>
    <w:rsid w:val="00426B62"/>
    <w:rsid w:val="004271AA"/>
    <w:rsid w:val="00427447"/>
    <w:rsid w:val="00427563"/>
    <w:rsid w:val="004278CA"/>
    <w:rsid w:val="00427A2E"/>
    <w:rsid w:val="004302A5"/>
    <w:rsid w:val="004305E0"/>
    <w:rsid w:val="004306DD"/>
    <w:rsid w:val="0043136D"/>
    <w:rsid w:val="004318A1"/>
    <w:rsid w:val="00431900"/>
    <w:rsid w:val="00431BA9"/>
    <w:rsid w:val="00431E1D"/>
    <w:rsid w:val="00432D74"/>
    <w:rsid w:val="00432F6B"/>
    <w:rsid w:val="004331DE"/>
    <w:rsid w:val="004337D9"/>
    <w:rsid w:val="00434029"/>
    <w:rsid w:val="004342AF"/>
    <w:rsid w:val="00434347"/>
    <w:rsid w:val="0043493F"/>
    <w:rsid w:val="004350CF"/>
    <w:rsid w:val="00435F4A"/>
    <w:rsid w:val="00436BCB"/>
    <w:rsid w:val="0043766D"/>
    <w:rsid w:val="00437BB9"/>
    <w:rsid w:val="004401CE"/>
    <w:rsid w:val="004405F2"/>
    <w:rsid w:val="00440AC0"/>
    <w:rsid w:val="00440D09"/>
    <w:rsid w:val="00441108"/>
    <w:rsid w:val="00441FAA"/>
    <w:rsid w:val="00442137"/>
    <w:rsid w:val="0044229C"/>
    <w:rsid w:val="00443131"/>
    <w:rsid w:val="00443399"/>
    <w:rsid w:val="0044392B"/>
    <w:rsid w:val="004444D9"/>
    <w:rsid w:val="004447B9"/>
    <w:rsid w:val="0044481E"/>
    <w:rsid w:val="004455B8"/>
    <w:rsid w:val="00445801"/>
    <w:rsid w:val="00445EF3"/>
    <w:rsid w:val="00446AAB"/>
    <w:rsid w:val="00446DBA"/>
    <w:rsid w:val="004476B8"/>
    <w:rsid w:val="00447AB0"/>
    <w:rsid w:val="00450115"/>
    <w:rsid w:val="004519AD"/>
    <w:rsid w:val="00452F5B"/>
    <w:rsid w:val="00453B6A"/>
    <w:rsid w:val="00454022"/>
    <w:rsid w:val="00455B60"/>
    <w:rsid w:val="00456547"/>
    <w:rsid w:val="0045662C"/>
    <w:rsid w:val="00456705"/>
    <w:rsid w:val="0045699D"/>
    <w:rsid w:val="00456C60"/>
    <w:rsid w:val="00457B68"/>
    <w:rsid w:val="004602C2"/>
    <w:rsid w:val="00460D39"/>
    <w:rsid w:val="00460F97"/>
    <w:rsid w:val="004632E1"/>
    <w:rsid w:val="00463A33"/>
    <w:rsid w:val="00463CFC"/>
    <w:rsid w:val="0046406E"/>
    <w:rsid w:val="00464783"/>
    <w:rsid w:val="004652E6"/>
    <w:rsid w:val="00466604"/>
    <w:rsid w:val="00467114"/>
    <w:rsid w:val="00467394"/>
    <w:rsid w:val="0046739D"/>
    <w:rsid w:val="00467939"/>
    <w:rsid w:val="00467AD5"/>
    <w:rsid w:val="00467B3A"/>
    <w:rsid w:val="00470137"/>
    <w:rsid w:val="004703FB"/>
    <w:rsid w:val="004704AA"/>
    <w:rsid w:val="00470CFB"/>
    <w:rsid w:val="004718A5"/>
    <w:rsid w:val="00472136"/>
    <w:rsid w:val="00473049"/>
    <w:rsid w:val="00473D69"/>
    <w:rsid w:val="00474AFC"/>
    <w:rsid w:val="00474D3F"/>
    <w:rsid w:val="00475072"/>
    <w:rsid w:val="00475365"/>
    <w:rsid w:val="004753F2"/>
    <w:rsid w:val="004755F5"/>
    <w:rsid w:val="00475AF8"/>
    <w:rsid w:val="004761D7"/>
    <w:rsid w:val="00476A67"/>
    <w:rsid w:val="00476CE6"/>
    <w:rsid w:val="00477884"/>
    <w:rsid w:val="00477C81"/>
    <w:rsid w:val="0048046B"/>
    <w:rsid w:val="00480477"/>
    <w:rsid w:val="0048051F"/>
    <w:rsid w:val="004809C4"/>
    <w:rsid w:val="00480A5D"/>
    <w:rsid w:val="00480D11"/>
    <w:rsid w:val="00480E6C"/>
    <w:rsid w:val="00480E6F"/>
    <w:rsid w:val="004811FE"/>
    <w:rsid w:val="00481D76"/>
    <w:rsid w:val="00481E55"/>
    <w:rsid w:val="00481FC7"/>
    <w:rsid w:val="00482138"/>
    <w:rsid w:val="00482685"/>
    <w:rsid w:val="00482DEB"/>
    <w:rsid w:val="004830F1"/>
    <w:rsid w:val="0048356C"/>
    <w:rsid w:val="00484645"/>
    <w:rsid w:val="004857F6"/>
    <w:rsid w:val="00485CCC"/>
    <w:rsid w:val="00485D1A"/>
    <w:rsid w:val="00486378"/>
    <w:rsid w:val="004863D4"/>
    <w:rsid w:val="00486B13"/>
    <w:rsid w:val="0048722D"/>
    <w:rsid w:val="0049025A"/>
    <w:rsid w:val="0049044F"/>
    <w:rsid w:val="0049059C"/>
    <w:rsid w:val="0049103A"/>
    <w:rsid w:val="00491094"/>
    <w:rsid w:val="00491E28"/>
    <w:rsid w:val="00492586"/>
    <w:rsid w:val="00492670"/>
    <w:rsid w:val="00492B1F"/>
    <w:rsid w:val="00492BDB"/>
    <w:rsid w:val="004934F1"/>
    <w:rsid w:val="00493C29"/>
    <w:rsid w:val="00493C37"/>
    <w:rsid w:val="00494412"/>
    <w:rsid w:val="004944F8"/>
    <w:rsid w:val="0049456F"/>
    <w:rsid w:val="00494866"/>
    <w:rsid w:val="00494A92"/>
    <w:rsid w:val="0049556B"/>
    <w:rsid w:val="0049625B"/>
    <w:rsid w:val="004966FA"/>
    <w:rsid w:val="0049743C"/>
    <w:rsid w:val="004975F7"/>
    <w:rsid w:val="00497B80"/>
    <w:rsid w:val="004A0139"/>
    <w:rsid w:val="004A0184"/>
    <w:rsid w:val="004A0350"/>
    <w:rsid w:val="004A0988"/>
    <w:rsid w:val="004A0BB3"/>
    <w:rsid w:val="004A0BB9"/>
    <w:rsid w:val="004A0E26"/>
    <w:rsid w:val="004A12F7"/>
    <w:rsid w:val="004A1671"/>
    <w:rsid w:val="004A2290"/>
    <w:rsid w:val="004A31A4"/>
    <w:rsid w:val="004A33C4"/>
    <w:rsid w:val="004A3550"/>
    <w:rsid w:val="004A3562"/>
    <w:rsid w:val="004A3674"/>
    <w:rsid w:val="004A3BB2"/>
    <w:rsid w:val="004A3CB8"/>
    <w:rsid w:val="004A440C"/>
    <w:rsid w:val="004A44F7"/>
    <w:rsid w:val="004A477B"/>
    <w:rsid w:val="004A4919"/>
    <w:rsid w:val="004A52C0"/>
    <w:rsid w:val="004A52FD"/>
    <w:rsid w:val="004A6075"/>
    <w:rsid w:val="004A61A8"/>
    <w:rsid w:val="004A752B"/>
    <w:rsid w:val="004A788D"/>
    <w:rsid w:val="004A7E94"/>
    <w:rsid w:val="004B0233"/>
    <w:rsid w:val="004B0235"/>
    <w:rsid w:val="004B050C"/>
    <w:rsid w:val="004B0A78"/>
    <w:rsid w:val="004B0F56"/>
    <w:rsid w:val="004B1835"/>
    <w:rsid w:val="004B1B29"/>
    <w:rsid w:val="004B1B2A"/>
    <w:rsid w:val="004B27E6"/>
    <w:rsid w:val="004B29D4"/>
    <w:rsid w:val="004B2B78"/>
    <w:rsid w:val="004B2D48"/>
    <w:rsid w:val="004B2E5A"/>
    <w:rsid w:val="004B3E86"/>
    <w:rsid w:val="004B4D69"/>
    <w:rsid w:val="004B56C9"/>
    <w:rsid w:val="004B583C"/>
    <w:rsid w:val="004B5927"/>
    <w:rsid w:val="004B5C3C"/>
    <w:rsid w:val="004B6562"/>
    <w:rsid w:val="004B67C3"/>
    <w:rsid w:val="004B6EE9"/>
    <w:rsid w:val="004B7071"/>
    <w:rsid w:val="004B7492"/>
    <w:rsid w:val="004B78A0"/>
    <w:rsid w:val="004C05FA"/>
    <w:rsid w:val="004C0647"/>
    <w:rsid w:val="004C0E49"/>
    <w:rsid w:val="004C0F26"/>
    <w:rsid w:val="004C1039"/>
    <w:rsid w:val="004C163F"/>
    <w:rsid w:val="004C1881"/>
    <w:rsid w:val="004C22EB"/>
    <w:rsid w:val="004C27AA"/>
    <w:rsid w:val="004C2DF2"/>
    <w:rsid w:val="004C3099"/>
    <w:rsid w:val="004C3D89"/>
    <w:rsid w:val="004C3EF1"/>
    <w:rsid w:val="004C40F5"/>
    <w:rsid w:val="004C5314"/>
    <w:rsid w:val="004C5405"/>
    <w:rsid w:val="004C554C"/>
    <w:rsid w:val="004C5F7A"/>
    <w:rsid w:val="004C6EE6"/>
    <w:rsid w:val="004C7AA8"/>
    <w:rsid w:val="004D0206"/>
    <w:rsid w:val="004D09BA"/>
    <w:rsid w:val="004D1018"/>
    <w:rsid w:val="004D102C"/>
    <w:rsid w:val="004D1B54"/>
    <w:rsid w:val="004D22F8"/>
    <w:rsid w:val="004D2856"/>
    <w:rsid w:val="004D3427"/>
    <w:rsid w:val="004D3C4B"/>
    <w:rsid w:val="004D3EA5"/>
    <w:rsid w:val="004D418D"/>
    <w:rsid w:val="004D435C"/>
    <w:rsid w:val="004D439C"/>
    <w:rsid w:val="004D57A4"/>
    <w:rsid w:val="004D5BA0"/>
    <w:rsid w:val="004D5DCE"/>
    <w:rsid w:val="004D5EA2"/>
    <w:rsid w:val="004D6DCE"/>
    <w:rsid w:val="004E053E"/>
    <w:rsid w:val="004E17BC"/>
    <w:rsid w:val="004E1A2C"/>
    <w:rsid w:val="004E2D15"/>
    <w:rsid w:val="004E2E09"/>
    <w:rsid w:val="004E342B"/>
    <w:rsid w:val="004E53FC"/>
    <w:rsid w:val="004E5E42"/>
    <w:rsid w:val="004E60B7"/>
    <w:rsid w:val="004E6258"/>
    <w:rsid w:val="004E694F"/>
    <w:rsid w:val="004E7E5E"/>
    <w:rsid w:val="004E7FBB"/>
    <w:rsid w:val="004F008F"/>
    <w:rsid w:val="004F0295"/>
    <w:rsid w:val="004F1658"/>
    <w:rsid w:val="004F166D"/>
    <w:rsid w:val="004F1EE7"/>
    <w:rsid w:val="004F23E1"/>
    <w:rsid w:val="004F267D"/>
    <w:rsid w:val="004F2C0B"/>
    <w:rsid w:val="004F2C51"/>
    <w:rsid w:val="004F3233"/>
    <w:rsid w:val="004F37C8"/>
    <w:rsid w:val="004F4484"/>
    <w:rsid w:val="004F47AA"/>
    <w:rsid w:val="004F4847"/>
    <w:rsid w:val="004F535A"/>
    <w:rsid w:val="004F5459"/>
    <w:rsid w:val="004F65D9"/>
    <w:rsid w:val="004F6749"/>
    <w:rsid w:val="004F6FD2"/>
    <w:rsid w:val="004F7414"/>
    <w:rsid w:val="004F767F"/>
    <w:rsid w:val="00500B17"/>
    <w:rsid w:val="00501070"/>
    <w:rsid w:val="0050115B"/>
    <w:rsid w:val="005011D4"/>
    <w:rsid w:val="005015D7"/>
    <w:rsid w:val="0050186D"/>
    <w:rsid w:val="00501B57"/>
    <w:rsid w:val="00501C96"/>
    <w:rsid w:val="00502230"/>
    <w:rsid w:val="00502542"/>
    <w:rsid w:val="00502693"/>
    <w:rsid w:val="005026B4"/>
    <w:rsid w:val="00502A0D"/>
    <w:rsid w:val="00502B81"/>
    <w:rsid w:val="00503493"/>
    <w:rsid w:val="005035EB"/>
    <w:rsid w:val="0050379C"/>
    <w:rsid w:val="00503C3F"/>
    <w:rsid w:val="00503CB6"/>
    <w:rsid w:val="005045FE"/>
    <w:rsid w:val="00507046"/>
    <w:rsid w:val="005071A4"/>
    <w:rsid w:val="00507490"/>
    <w:rsid w:val="00507E27"/>
    <w:rsid w:val="00510A37"/>
    <w:rsid w:val="00511044"/>
    <w:rsid w:val="005114F6"/>
    <w:rsid w:val="00511EB1"/>
    <w:rsid w:val="005121BC"/>
    <w:rsid w:val="00512BA3"/>
    <w:rsid w:val="0051344C"/>
    <w:rsid w:val="005136B3"/>
    <w:rsid w:val="00513B9B"/>
    <w:rsid w:val="00513C22"/>
    <w:rsid w:val="005140D6"/>
    <w:rsid w:val="00514415"/>
    <w:rsid w:val="0051454E"/>
    <w:rsid w:val="00514CC9"/>
    <w:rsid w:val="0051531F"/>
    <w:rsid w:val="00515389"/>
    <w:rsid w:val="00515DCA"/>
    <w:rsid w:val="00515E5E"/>
    <w:rsid w:val="00517983"/>
    <w:rsid w:val="00517B1A"/>
    <w:rsid w:val="0052032E"/>
    <w:rsid w:val="00520714"/>
    <w:rsid w:val="00520983"/>
    <w:rsid w:val="00521D53"/>
    <w:rsid w:val="005223BE"/>
    <w:rsid w:val="00522712"/>
    <w:rsid w:val="00522D9C"/>
    <w:rsid w:val="00522E98"/>
    <w:rsid w:val="00523694"/>
    <w:rsid w:val="00523921"/>
    <w:rsid w:val="00523E23"/>
    <w:rsid w:val="00524187"/>
    <w:rsid w:val="005242FC"/>
    <w:rsid w:val="005245F9"/>
    <w:rsid w:val="005250A0"/>
    <w:rsid w:val="0052686C"/>
    <w:rsid w:val="005270AA"/>
    <w:rsid w:val="005271CB"/>
    <w:rsid w:val="005277DF"/>
    <w:rsid w:val="00527E22"/>
    <w:rsid w:val="005302F5"/>
    <w:rsid w:val="0053087B"/>
    <w:rsid w:val="00530CF5"/>
    <w:rsid w:val="005312A3"/>
    <w:rsid w:val="0053146F"/>
    <w:rsid w:val="00531817"/>
    <w:rsid w:val="00531FAC"/>
    <w:rsid w:val="0053266E"/>
    <w:rsid w:val="0053346F"/>
    <w:rsid w:val="005336E3"/>
    <w:rsid w:val="00535945"/>
    <w:rsid w:val="00535DC0"/>
    <w:rsid w:val="00536073"/>
    <w:rsid w:val="0053612F"/>
    <w:rsid w:val="00537057"/>
    <w:rsid w:val="005371D2"/>
    <w:rsid w:val="0053754D"/>
    <w:rsid w:val="0053775A"/>
    <w:rsid w:val="00537789"/>
    <w:rsid w:val="00540987"/>
    <w:rsid w:val="00541039"/>
    <w:rsid w:val="005411F8"/>
    <w:rsid w:val="0054201B"/>
    <w:rsid w:val="005433DE"/>
    <w:rsid w:val="00543794"/>
    <w:rsid w:val="00543F60"/>
    <w:rsid w:val="00544691"/>
    <w:rsid w:val="005447AE"/>
    <w:rsid w:val="00544EBB"/>
    <w:rsid w:val="0054514C"/>
    <w:rsid w:val="0054535C"/>
    <w:rsid w:val="0054599E"/>
    <w:rsid w:val="00545BB5"/>
    <w:rsid w:val="00545DD1"/>
    <w:rsid w:val="00546D21"/>
    <w:rsid w:val="005472AC"/>
    <w:rsid w:val="00547D21"/>
    <w:rsid w:val="00547E95"/>
    <w:rsid w:val="00550025"/>
    <w:rsid w:val="00550152"/>
    <w:rsid w:val="00550EA2"/>
    <w:rsid w:val="00551257"/>
    <w:rsid w:val="005512A7"/>
    <w:rsid w:val="0055146E"/>
    <w:rsid w:val="00551CB3"/>
    <w:rsid w:val="005521EC"/>
    <w:rsid w:val="00552589"/>
    <w:rsid w:val="005526E2"/>
    <w:rsid w:val="00552BF0"/>
    <w:rsid w:val="00552C4B"/>
    <w:rsid w:val="00552D9D"/>
    <w:rsid w:val="00553082"/>
    <w:rsid w:val="0055365D"/>
    <w:rsid w:val="00553A35"/>
    <w:rsid w:val="0055406A"/>
    <w:rsid w:val="00554938"/>
    <w:rsid w:val="00554B71"/>
    <w:rsid w:val="005551DD"/>
    <w:rsid w:val="005558BF"/>
    <w:rsid w:val="00556186"/>
    <w:rsid w:val="005565D7"/>
    <w:rsid w:val="00556D6B"/>
    <w:rsid w:val="00556F14"/>
    <w:rsid w:val="005572AF"/>
    <w:rsid w:val="0055748C"/>
    <w:rsid w:val="00557589"/>
    <w:rsid w:val="00557E36"/>
    <w:rsid w:val="00557E4D"/>
    <w:rsid w:val="0056071C"/>
    <w:rsid w:val="00560E3A"/>
    <w:rsid w:val="00561005"/>
    <w:rsid w:val="00561374"/>
    <w:rsid w:val="005616DD"/>
    <w:rsid w:val="00561E21"/>
    <w:rsid w:val="00562493"/>
    <w:rsid w:val="005625A8"/>
    <w:rsid w:val="00562619"/>
    <w:rsid w:val="00562B20"/>
    <w:rsid w:val="005633EB"/>
    <w:rsid w:val="00563D5F"/>
    <w:rsid w:val="00564124"/>
    <w:rsid w:val="0056436F"/>
    <w:rsid w:val="00564740"/>
    <w:rsid w:val="005647C1"/>
    <w:rsid w:val="00564867"/>
    <w:rsid w:val="00564B60"/>
    <w:rsid w:val="00564D7F"/>
    <w:rsid w:val="00565074"/>
    <w:rsid w:val="005652FD"/>
    <w:rsid w:val="00565637"/>
    <w:rsid w:val="00565664"/>
    <w:rsid w:val="00565D4B"/>
    <w:rsid w:val="00566894"/>
    <w:rsid w:val="0056721B"/>
    <w:rsid w:val="00567FDC"/>
    <w:rsid w:val="00570125"/>
    <w:rsid w:val="00570F7D"/>
    <w:rsid w:val="005715A4"/>
    <w:rsid w:val="00571799"/>
    <w:rsid w:val="005719B7"/>
    <w:rsid w:val="00571A89"/>
    <w:rsid w:val="005723EB"/>
    <w:rsid w:val="0057254C"/>
    <w:rsid w:val="005727D1"/>
    <w:rsid w:val="0057287E"/>
    <w:rsid w:val="0057294D"/>
    <w:rsid w:val="0057299F"/>
    <w:rsid w:val="00572FCA"/>
    <w:rsid w:val="005733B8"/>
    <w:rsid w:val="005746EB"/>
    <w:rsid w:val="00575977"/>
    <w:rsid w:val="00576A85"/>
    <w:rsid w:val="00576CDF"/>
    <w:rsid w:val="00576F8A"/>
    <w:rsid w:val="0057782C"/>
    <w:rsid w:val="005779D8"/>
    <w:rsid w:val="00577EA3"/>
    <w:rsid w:val="005803A0"/>
    <w:rsid w:val="0058054C"/>
    <w:rsid w:val="00580D96"/>
    <w:rsid w:val="005810BA"/>
    <w:rsid w:val="00581C72"/>
    <w:rsid w:val="00583259"/>
    <w:rsid w:val="005835F0"/>
    <w:rsid w:val="00583BB9"/>
    <w:rsid w:val="00583C85"/>
    <w:rsid w:val="00583D3B"/>
    <w:rsid w:val="005840BD"/>
    <w:rsid w:val="005847AC"/>
    <w:rsid w:val="00584E73"/>
    <w:rsid w:val="00584E85"/>
    <w:rsid w:val="00585237"/>
    <w:rsid w:val="005858FE"/>
    <w:rsid w:val="00585C57"/>
    <w:rsid w:val="00585E87"/>
    <w:rsid w:val="00585ECA"/>
    <w:rsid w:val="00586F25"/>
    <w:rsid w:val="00586F8E"/>
    <w:rsid w:val="00587FD9"/>
    <w:rsid w:val="00590212"/>
    <w:rsid w:val="00590944"/>
    <w:rsid w:val="00591A5A"/>
    <w:rsid w:val="00591E5A"/>
    <w:rsid w:val="005922B6"/>
    <w:rsid w:val="00592926"/>
    <w:rsid w:val="00592A2D"/>
    <w:rsid w:val="00592EDB"/>
    <w:rsid w:val="005939C3"/>
    <w:rsid w:val="00594AA8"/>
    <w:rsid w:val="00594F23"/>
    <w:rsid w:val="00594F68"/>
    <w:rsid w:val="00595268"/>
    <w:rsid w:val="00595464"/>
    <w:rsid w:val="00595591"/>
    <w:rsid w:val="00595D27"/>
    <w:rsid w:val="005963C7"/>
    <w:rsid w:val="00596600"/>
    <w:rsid w:val="00596FF6"/>
    <w:rsid w:val="0059714E"/>
    <w:rsid w:val="00597786"/>
    <w:rsid w:val="005A0046"/>
    <w:rsid w:val="005A07C1"/>
    <w:rsid w:val="005A0BCA"/>
    <w:rsid w:val="005A0E95"/>
    <w:rsid w:val="005A0FCC"/>
    <w:rsid w:val="005A188B"/>
    <w:rsid w:val="005A23DF"/>
    <w:rsid w:val="005A26BC"/>
    <w:rsid w:val="005A27CD"/>
    <w:rsid w:val="005A2AFF"/>
    <w:rsid w:val="005A3531"/>
    <w:rsid w:val="005A3742"/>
    <w:rsid w:val="005A3CDE"/>
    <w:rsid w:val="005A3FF0"/>
    <w:rsid w:val="005A4F06"/>
    <w:rsid w:val="005A4F0D"/>
    <w:rsid w:val="005A54D3"/>
    <w:rsid w:val="005A5866"/>
    <w:rsid w:val="005A59A4"/>
    <w:rsid w:val="005A66A3"/>
    <w:rsid w:val="005A710E"/>
    <w:rsid w:val="005A7954"/>
    <w:rsid w:val="005A7A5A"/>
    <w:rsid w:val="005A7D79"/>
    <w:rsid w:val="005B04B7"/>
    <w:rsid w:val="005B06C9"/>
    <w:rsid w:val="005B0E10"/>
    <w:rsid w:val="005B0E2F"/>
    <w:rsid w:val="005B1A53"/>
    <w:rsid w:val="005B1A5A"/>
    <w:rsid w:val="005B1BF1"/>
    <w:rsid w:val="005B1E3B"/>
    <w:rsid w:val="005B33C2"/>
    <w:rsid w:val="005B3836"/>
    <w:rsid w:val="005B38C9"/>
    <w:rsid w:val="005B41F8"/>
    <w:rsid w:val="005B56E5"/>
    <w:rsid w:val="005B59F3"/>
    <w:rsid w:val="005B6714"/>
    <w:rsid w:val="005B715C"/>
    <w:rsid w:val="005B7283"/>
    <w:rsid w:val="005B75E1"/>
    <w:rsid w:val="005C0E0C"/>
    <w:rsid w:val="005C145B"/>
    <w:rsid w:val="005C23E4"/>
    <w:rsid w:val="005C275D"/>
    <w:rsid w:val="005C28A7"/>
    <w:rsid w:val="005C2DD5"/>
    <w:rsid w:val="005C34D2"/>
    <w:rsid w:val="005C3C6C"/>
    <w:rsid w:val="005C40D4"/>
    <w:rsid w:val="005C44F5"/>
    <w:rsid w:val="005C4F4B"/>
    <w:rsid w:val="005C5EB8"/>
    <w:rsid w:val="005C6B4D"/>
    <w:rsid w:val="005C7C8D"/>
    <w:rsid w:val="005D0070"/>
    <w:rsid w:val="005D01EF"/>
    <w:rsid w:val="005D04B6"/>
    <w:rsid w:val="005D12D8"/>
    <w:rsid w:val="005D1A8F"/>
    <w:rsid w:val="005D2879"/>
    <w:rsid w:val="005D2C9A"/>
    <w:rsid w:val="005D3708"/>
    <w:rsid w:val="005D375F"/>
    <w:rsid w:val="005D3B76"/>
    <w:rsid w:val="005D3D5C"/>
    <w:rsid w:val="005D47A5"/>
    <w:rsid w:val="005D5131"/>
    <w:rsid w:val="005D5A01"/>
    <w:rsid w:val="005D5A14"/>
    <w:rsid w:val="005D5E5A"/>
    <w:rsid w:val="005D60CE"/>
    <w:rsid w:val="005D62B0"/>
    <w:rsid w:val="005D66B0"/>
    <w:rsid w:val="005D67AA"/>
    <w:rsid w:val="005D73D5"/>
    <w:rsid w:val="005E0936"/>
    <w:rsid w:val="005E1B0A"/>
    <w:rsid w:val="005E1CFC"/>
    <w:rsid w:val="005E29A3"/>
    <w:rsid w:val="005E30F6"/>
    <w:rsid w:val="005E31C1"/>
    <w:rsid w:val="005E3221"/>
    <w:rsid w:val="005E3498"/>
    <w:rsid w:val="005E3BFC"/>
    <w:rsid w:val="005E3D17"/>
    <w:rsid w:val="005E4D96"/>
    <w:rsid w:val="005E5CA0"/>
    <w:rsid w:val="005E74FD"/>
    <w:rsid w:val="005E7526"/>
    <w:rsid w:val="005E7A53"/>
    <w:rsid w:val="005F03FD"/>
    <w:rsid w:val="005F045D"/>
    <w:rsid w:val="005F138E"/>
    <w:rsid w:val="005F1843"/>
    <w:rsid w:val="005F1867"/>
    <w:rsid w:val="005F1B62"/>
    <w:rsid w:val="005F1BFD"/>
    <w:rsid w:val="005F240F"/>
    <w:rsid w:val="005F3C8A"/>
    <w:rsid w:val="005F43D9"/>
    <w:rsid w:val="005F44BE"/>
    <w:rsid w:val="005F4DB8"/>
    <w:rsid w:val="005F578D"/>
    <w:rsid w:val="005F5A23"/>
    <w:rsid w:val="005F629F"/>
    <w:rsid w:val="005F66BA"/>
    <w:rsid w:val="005F6A97"/>
    <w:rsid w:val="005F7256"/>
    <w:rsid w:val="005F72E6"/>
    <w:rsid w:val="005F73DF"/>
    <w:rsid w:val="005F76A8"/>
    <w:rsid w:val="005F7950"/>
    <w:rsid w:val="005F7BC3"/>
    <w:rsid w:val="005F7F74"/>
    <w:rsid w:val="00600BFA"/>
    <w:rsid w:val="00600E52"/>
    <w:rsid w:val="0060216B"/>
    <w:rsid w:val="00602498"/>
    <w:rsid w:val="006024B5"/>
    <w:rsid w:val="00602724"/>
    <w:rsid w:val="0060338B"/>
    <w:rsid w:val="00603832"/>
    <w:rsid w:val="006040FB"/>
    <w:rsid w:val="00604822"/>
    <w:rsid w:val="00604A45"/>
    <w:rsid w:val="00604F53"/>
    <w:rsid w:val="00605FD7"/>
    <w:rsid w:val="00606283"/>
    <w:rsid w:val="00606349"/>
    <w:rsid w:val="00607B01"/>
    <w:rsid w:val="00607EB2"/>
    <w:rsid w:val="0061078B"/>
    <w:rsid w:val="006114BC"/>
    <w:rsid w:val="00611648"/>
    <w:rsid w:val="00611C1A"/>
    <w:rsid w:val="006124D6"/>
    <w:rsid w:val="00612700"/>
    <w:rsid w:val="006129E5"/>
    <w:rsid w:val="0061371E"/>
    <w:rsid w:val="00613A41"/>
    <w:rsid w:val="006144D6"/>
    <w:rsid w:val="00614882"/>
    <w:rsid w:val="00615577"/>
    <w:rsid w:val="00615EAD"/>
    <w:rsid w:val="00616971"/>
    <w:rsid w:val="00617A0A"/>
    <w:rsid w:val="00617A12"/>
    <w:rsid w:val="00617C55"/>
    <w:rsid w:val="006200B1"/>
    <w:rsid w:val="00620D4C"/>
    <w:rsid w:val="006217D7"/>
    <w:rsid w:val="00621CB4"/>
    <w:rsid w:val="006221E5"/>
    <w:rsid w:val="006222E0"/>
    <w:rsid w:val="00622D1D"/>
    <w:rsid w:val="0062338C"/>
    <w:rsid w:val="0062356A"/>
    <w:rsid w:val="00623BBB"/>
    <w:rsid w:val="006253D9"/>
    <w:rsid w:val="006256FE"/>
    <w:rsid w:val="0062599A"/>
    <w:rsid w:val="00625B9E"/>
    <w:rsid w:val="00625FE1"/>
    <w:rsid w:val="00626005"/>
    <w:rsid w:val="00626226"/>
    <w:rsid w:val="00626962"/>
    <w:rsid w:val="00626CF7"/>
    <w:rsid w:val="006275C2"/>
    <w:rsid w:val="00627C86"/>
    <w:rsid w:val="00627F02"/>
    <w:rsid w:val="0063000F"/>
    <w:rsid w:val="0063065D"/>
    <w:rsid w:val="00630F91"/>
    <w:rsid w:val="00631508"/>
    <w:rsid w:val="00631F29"/>
    <w:rsid w:val="00631FF2"/>
    <w:rsid w:val="006320E2"/>
    <w:rsid w:val="006321A2"/>
    <w:rsid w:val="0063294F"/>
    <w:rsid w:val="006330D8"/>
    <w:rsid w:val="00633303"/>
    <w:rsid w:val="00633E39"/>
    <w:rsid w:val="00634059"/>
    <w:rsid w:val="006345EE"/>
    <w:rsid w:val="006352BC"/>
    <w:rsid w:val="00635776"/>
    <w:rsid w:val="00635A26"/>
    <w:rsid w:val="00635A3D"/>
    <w:rsid w:val="00636B72"/>
    <w:rsid w:val="00636E56"/>
    <w:rsid w:val="00637083"/>
    <w:rsid w:val="00637239"/>
    <w:rsid w:val="0063750C"/>
    <w:rsid w:val="00637FA7"/>
    <w:rsid w:val="00640035"/>
    <w:rsid w:val="00640436"/>
    <w:rsid w:val="006404A3"/>
    <w:rsid w:val="00640D7E"/>
    <w:rsid w:val="00642437"/>
    <w:rsid w:val="00642516"/>
    <w:rsid w:val="006429A9"/>
    <w:rsid w:val="00644037"/>
    <w:rsid w:val="00644149"/>
    <w:rsid w:val="006442A1"/>
    <w:rsid w:val="00644633"/>
    <w:rsid w:val="00644DA6"/>
    <w:rsid w:val="0064521E"/>
    <w:rsid w:val="00645273"/>
    <w:rsid w:val="00645952"/>
    <w:rsid w:val="00645A9E"/>
    <w:rsid w:val="00645BBD"/>
    <w:rsid w:val="00645CEE"/>
    <w:rsid w:val="00646C69"/>
    <w:rsid w:val="006472EE"/>
    <w:rsid w:val="00647438"/>
    <w:rsid w:val="00647952"/>
    <w:rsid w:val="00650CEF"/>
    <w:rsid w:val="00650E9D"/>
    <w:rsid w:val="00650EA0"/>
    <w:rsid w:val="00650FE4"/>
    <w:rsid w:val="006514D1"/>
    <w:rsid w:val="006518ED"/>
    <w:rsid w:val="00651991"/>
    <w:rsid w:val="00651D07"/>
    <w:rsid w:val="00651DFE"/>
    <w:rsid w:val="006523D2"/>
    <w:rsid w:val="006528A5"/>
    <w:rsid w:val="00652B78"/>
    <w:rsid w:val="00652EC5"/>
    <w:rsid w:val="006542A5"/>
    <w:rsid w:val="00654B74"/>
    <w:rsid w:val="00655036"/>
    <w:rsid w:val="0065569C"/>
    <w:rsid w:val="006559D9"/>
    <w:rsid w:val="00656243"/>
    <w:rsid w:val="006575A8"/>
    <w:rsid w:val="00657AB8"/>
    <w:rsid w:val="00657FF6"/>
    <w:rsid w:val="006609FA"/>
    <w:rsid w:val="00660E0A"/>
    <w:rsid w:val="006610E5"/>
    <w:rsid w:val="00661A01"/>
    <w:rsid w:val="00661D01"/>
    <w:rsid w:val="00661E79"/>
    <w:rsid w:val="0066253E"/>
    <w:rsid w:val="00663A3F"/>
    <w:rsid w:val="006646BC"/>
    <w:rsid w:val="006648B9"/>
    <w:rsid w:val="00665835"/>
    <w:rsid w:val="00665C38"/>
    <w:rsid w:val="00665E54"/>
    <w:rsid w:val="00665FB8"/>
    <w:rsid w:val="00666155"/>
    <w:rsid w:val="00666889"/>
    <w:rsid w:val="0066690D"/>
    <w:rsid w:val="00666A71"/>
    <w:rsid w:val="00666AB1"/>
    <w:rsid w:val="00666B3E"/>
    <w:rsid w:val="00667A73"/>
    <w:rsid w:val="00667D59"/>
    <w:rsid w:val="006707FF"/>
    <w:rsid w:val="006712D6"/>
    <w:rsid w:val="00671809"/>
    <w:rsid w:val="00672195"/>
    <w:rsid w:val="00672551"/>
    <w:rsid w:val="00673C2E"/>
    <w:rsid w:val="00673F83"/>
    <w:rsid w:val="00674355"/>
    <w:rsid w:val="00674441"/>
    <w:rsid w:val="006753F2"/>
    <w:rsid w:val="0067581C"/>
    <w:rsid w:val="006758BC"/>
    <w:rsid w:val="00675A2E"/>
    <w:rsid w:val="00675E10"/>
    <w:rsid w:val="0067606C"/>
    <w:rsid w:val="00676DCB"/>
    <w:rsid w:val="00676E50"/>
    <w:rsid w:val="00677569"/>
    <w:rsid w:val="006809BA"/>
    <w:rsid w:val="00680A8C"/>
    <w:rsid w:val="00680AD0"/>
    <w:rsid w:val="006818CB"/>
    <w:rsid w:val="006821B5"/>
    <w:rsid w:val="006822D6"/>
    <w:rsid w:val="006828FB"/>
    <w:rsid w:val="00684155"/>
    <w:rsid w:val="00684CDA"/>
    <w:rsid w:val="00686211"/>
    <w:rsid w:val="00686613"/>
    <w:rsid w:val="00686851"/>
    <w:rsid w:val="00687052"/>
    <w:rsid w:val="00687ACC"/>
    <w:rsid w:val="00687E0D"/>
    <w:rsid w:val="00690003"/>
    <w:rsid w:val="006901C9"/>
    <w:rsid w:val="006906D8"/>
    <w:rsid w:val="00691C0D"/>
    <w:rsid w:val="00692AF4"/>
    <w:rsid w:val="00692BF6"/>
    <w:rsid w:val="00693BB3"/>
    <w:rsid w:val="0069483C"/>
    <w:rsid w:val="006952E7"/>
    <w:rsid w:val="00695512"/>
    <w:rsid w:val="00696582"/>
    <w:rsid w:val="006966A4"/>
    <w:rsid w:val="006972EE"/>
    <w:rsid w:val="0069731A"/>
    <w:rsid w:val="00697A33"/>
    <w:rsid w:val="00697D64"/>
    <w:rsid w:val="00697DEB"/>
    <w:rsid w:val="006A0C95"/>
    <w:rsid w:val="006A0DA0"/>
    <w:rsid w:val="006A0DC0"/>
    <w:rsid w:val="006A1596"/>
    <w:rsid w:val="006A21E9"/>
    <w:rsid w:val="006A2758"/>
    <w:rsid w:val="006A2D23"/>
    <w:rsid w:val="006A38F6"/>
    <w:rsid w:val="006A3D6E"/>
    <w:rsid w:val="006A3EB4"/>
    <w:rsid w:val="006A40B7"/>
    <w:rsid w:val="006A462F"/>
    <w:rsid w:val="006A47F4"/>
    <w:rsid w:val="006A5396"/>
    <w:rsid w:val="006A59AC"/>
    <w:rsid w:val="006A5BE5"/>
    <w:rsid w:val="006A61CE"/>
    <w:rsid w:val="006A707B"/>
    <w:rsid w:val="006A70EE"/>
    <w:rsid w:val="006A720C"/>
    <w:rsid w:val="006A736E"/>
    <w:rsid w:val="006B0828"/>
    <w:rsid w:val="006B09D2"/>
    <w:rsid w:val="006B0DBD"/>
    <w:rsid w:val="006B10B5"/>
    <w:rsid w:val="006B1E8F"/>
    <w:rsid w:val="006B2985"/>
    <w:rsid w:val="006B2A90"/>
    <w:rsid w:val="006B3E0C"/>
    <w:rsid w:val="006B3ED4"/>
    <w:rsid w:val="006B429E"/>
    <w:rsid w:val="006B4B9E"/>
    <w:rsid w:val="006B5B6C"/>
    <w:rsid w:val="006B5CBB"/>
    <w:rsid w:val="006B6121"/>
    <w:rsid w:val="006B622E"/>
    <w:rsid w:val="006B62DB"/>
    <w:rsid w:val="006B7374"/>
    <w:rsid w:val="006B7482"/>
    <w:rsid w:val="006B7989"/>
    <w:rsid w:val="006B7F06"/>
    <w:rsid w:val="006B7FED"/>
    <w:rsid w:val="006C01AC"/>
    <w:rsid w:val="006C0698"/>
    <w:rsid w:val="006C0CB1"/>
    <w:rsid w:val="006C0EC2"/>
    <w:rsid w:val="006C1418"/>
    <w:rsid w:val="006C1A02"/>
    <w:rsid w:val="006C1E13"/>
    <w:rsid w:val="006C1FC8"/>
    <w:rsid w:val="006C243B"/>
    <w:rsid w:val="006C254D"/>
    <w:rsid w:val="006C3079"/>
    <w:rsid w:val="006C363B"/>
    <w:rsid w:val="006C3725"/>
    <w:rsid w:val="006C492C"/>
    <w:rsid w:val="006C4DBD"/>
    <w:rsid w:val="006C507B"/>
    <w:rsid w:val="006C518C"/>
    <w:rsid w:val="006C5C59"/>
    <w:rsid w:val="006C5E2B"/>
    <w:rsid w:val="006C6E25"/>
    <w:rsid w:val="006C794B"/>
    <w:rsid w:val="006D13CA"/>
    <w:rsid w:val="006D158D"/>
    <w:rsid w:val="006D17C6"/>
    <w:rsid w:val="006D296E"/>
    <w:rsid w:val="006D2F28"/>
    <w:rsid w:val="006D455F"/>
    <w:rsid w:val="006D50D8"/>
    <w:rsid w:val="006D530D"/>
    <w:rsid w:val="006D5636"/>
    <w:rsid w:val="006D5B39"/>
    <w:rsid w:val="006D615A"/>
    <w:rsid w:val="006D63B0"/>
    <w:rsid w:val="006D7A4E"/>
    <w:rsid w:val="006E0388"/>
    <w:rsid w:val="006E054A"/>
    <w:rsid w:val="006E0D39"/>
    <w:rsid w:val="006E0EDC"/>
    <w:rsid w:val="006E12FA"/>
    <w:rsid w:val="006E13F7"/>
    <w:rsid w:val="006E1D5D"/>
    <w:rsid w:val="006E1EB5"/>
    <w:rsid w:val="006E1F04"/>
    <w:rsid w:val="006E26BE"/>
    <w:rsid w:val="006E29C5"/>
    <w:rsid w:val="006E2B0A"/>
    <w:rsid w:val="006E2E59"/>
    <w:rsid w:val="006E3143"/>
    <w:rsid w:val="006E3265"/>
    <w:rsid w:val="006E4392"/>
    <w:rsid w:val="006E47B1"/>
    <w:rsid w:val="006E49D6"/>
    <w:rsid w:val="006E6652"/>
    <w:rsid w:val="006E7266"/>
    <w:rsid w:val="006E7722"/>
    <w:rsid w:val="006E7848"/>
    <w:rsid w:val="006E7AE6"/>
    <w:rsid w:val="006E7BD8"/>
    <w:rsid w:val="006E7CD2"/>
    <w:rsid w:val="006E7F36"/>
    <w:rsid w:val="006F0114"/>
    <w:rsid w:val="006F0F96"/>
    <w:rsid w:val="006F1E2E"/>
    <w:rsid w:val="006F2864"/>
    <w:rsid w:val="006F3AD3"/>
    <w:rsid w:val="006F428D"/>
    <w:rsid w:val="006F486A"/>
    <w:rsid w:val="006F4BC8"/>
    <w:rsid w:val="006F5CED"/>
    <w:rsid w:val="006F5D39"/>
    <w:rsid w:val="006F6480"/>
    <w:rsid w:val="006F663B"/>
    <w:rsid w:val="006F6D37"/>
    <w:rsid w:val="006F75FC"/>
    <w:rsid w:val="006F7759"/>
    <w:rsid w:val="006F77D1"/>
    <w:rsid w:val="006F7889"/>
    <w:rsid w:val="006F7CF3"/>
    <w:rsid w:val="00700D8C"/>
    <w:rsid w:val="007010A9"/>
    <w:rsid w:val="007024DC"/>
    <w:rsid w:val="0070360E"/>
    <w:rsid w:val="007036B1"/>
    <w:rsid w:val="00703F5D"/>
    <w:rsid w:val="007040BD"/>
    <w:rsid w:val="00704A43"/>
    <w:rsid w:val="00704CBB"/>
    <w:rsid w:val="00704E13"/>
    <w:rsid w:val="00704F93"/>
    <w:rsid w:val="00705415"/>
    <w:rsid w:val="007056ED"/>
    <w:rsid w:val="00705A51"/>
    <w:rsid w:val="0071015B"/>
    <w:rsid w:val="00710303"/>
    <w:rsid w:val="00710514"/>
    <w:rsid w:val="0071070E"/>
    <w:rsid w:val="0071077D"/>
    <w:rsid w:val="00710DBC"/>
    <w:rsid w:val="007110D8"/>
    <w:rsid w:val="00711797"/>
    <w:rsid w:val="007117E3"/>
    <w:rsid w:val="00711DC8"/>
    <w:rsid w:val="00712D05"/>
    <w:rsid w:val="00712F96"/>
    <w:rsid w:val="007138C5"/>
    <w:rsid w:val="007141AB"/>
    <w:rsid w:val="007143EB"/>
    <w:rsid w:val="007150FC"/>
    <w:rsid w:val="00715A5A"/>
    <w:rsid w:val="00715E79"/>
    <w:rsid w:val="007163FA"/>
    <w:rsid w:val="0071657D"/>
    <w:rsid w:val="00716A9C"/>
    <w:rsid w:val="0071712E"/>
    <w:rsid w:val="00717288"/>
    <w:rsid w:val="00717565"/>
    <w:rsid w:val="007175CD"/>
    <w:rsid w:val="007179F0"/>
    <w:rsid w:val="00720812"/>
    <w:rsid w:val="00721699"/>
    <w:rsid w:val="00721768"/>
    <w:rsid w:val="00721A53"/>
    <w:rsid w:val="00721BC8"/>
    <w:rsid w:val="00721C1B"/>
    <w:rsid w:val="00723A49"/>
    <w:rsid w:val="00723FA2"/>
    <w:rsid w:val="00725148"/>
    <w:rsid w:val="00725303"/>
    <w:rsid w:val="00725F08"/>
    <w:rsid w:val="00726B39"/>
    <w:rsid w:val="00726EE3"/>
    <w:rsid w:val="00731B06"/>
    <w:rsid w:val="00731F4B"/>
    <w:rsid w:val="00731F86"/>
    <w:rsid w:val="007321C0"/>
    <w:rsid w:val="00732252"/>
    <w:rsid w:val="00732334"/>
    <w:rsid w:val="0073239C"/>
    <w:rsid w:val="00732671"/>
    <w:rsid w:val="007328F3"/>
    <w:rsid w:val="00732F25"/>
    <w:rsid w:val="00732F4A"/>
    <w:rsid w:val="0073326A"/>
    <w:rsid w:val="0073334A"/>
    <w:rsid w:val="007336EA"/>
    <w:rsid w:val="00733ADA"/>
    <w:rsid w:val="00733EF2"/>
    <w:rsid w:val="00734A51"/>
    <w:rsid w:val="00734B3E"/>
    <w:rsid w:val="00734F74"/>
    <w:rsid w:val="0073519D"/>
    <w:rsid w:val="00735939"/>
    <w:rsid w:val="00735E43"/>
    <w:rsid w:val="00735FC7"/>
    <w:rsid w:val="00737221"/>
    <w:rsid w:val="00737227"/>
    <w:rsid w:val="0073757E"/>
    <w:rsid w:val="00737ED1"/>
    <w:rsid w:val="007401CE"/>
    <w:rsid w:val="007402DD"/>
    <w:rsid w:val="00740317"/>
    <w:rsid w:val="007404B8"/>
    <w:rsid w:val="007406F5"/>
    <w:rsid w:val="00740EC6"/>
    <w:rsid w:val="007419B0"/>
    <w:rsid w:val="00741FE1"/>
    <w:rsid w:val="0074250B"/>
    <w:rsid w:val="0074266E"/>
    <w:rsid w:val="00742C5C"/>
    <w:rsid w:val="00742E34"/>
    <w:rsid w:val="00742F8D"/>
    <w:rsid w:val="00743095"/>
    <w:rsid w:val="007443CD"/>
    <w:rsid w:val="00744448"/>
    <w:rsid w:val="00744515"/>
    <w:rsid w:val="00744D8F"/>
    <w:rsid w:val="007450AC"/>
    <w:rsid w:val="007455F4"/>
    <w:rsid w:val="007464E1"/>
    <w:rsid w:val="00746A69"/>
    <w:rsid w:val="00747277"/>
    <w:rsid w:val="00747C5A"/>
    <w:rsid w:val="00747D6E"/>
    <w:rsid w:val="007503E2"/>
    <w:rsid w:val="00750C65"/>
    <w:rsid w:val="0075115A"/>
    <w:rsid w:val="007527DE"/>
    <w:rsid w:val="00752B52"/>
    <w:rsid w:val="00752EE7"/>
    <w:rsid w:val="0075334A"/>
    <w:rsid w:val="0075483E"/>
    <w:rsid w:val="00754A55"/>
    <w:rsid w:val="007553C3"/>
    <w:rsid w:val="00756590"/>
    <w:rsid w:val="007565BC"/>
    <w:rsid w:val="00757626"/>
    <w:rsid w:val="00757CA2"/>
    <w:rsid w:val="00760051"/>
    <w:rsid w:val="007602DC"/>
    <w:rsid w:val="00760972"/>
    <w:rsid w:val="00760B23"/>
    <w:rsid w:val="0076172F"/>
    <w:rsid w:val="00761843"/>
    <w:rsid w:val="007625C9"/>
    <w:rsid w:val="00762717"/>
    <w:rsid w:val="00763BD6"/>
    <w:rsid w:val="00763CC0"/>
    <w:rsid w:val="0076432B"/>
    <w:rsid w:val="00764DEA"/>
    <w:rsid w:val="00764FC2"/>
    <w:rsid w:val="00765389"/>
    <w:rsid w:val="007654E6"/>
    <w:rsid w:val="00765585"/>
    <w:rsid w:val="00765998"/>
    <w:rsid w:val="00765DA4"/>
    <w:rsid w:val="007668DE"/>
    <w:rsid w:val="00767867"/>
    <w:rsid w:val="00767FFD"/>
    <w:rsid w:val="007706BC"/>
    <w:rsid w:val="0077119E"/>
    <w:rsid w:val="007711E6"/>
    <w:rsid w:val="00771332"/>
    <w:rsid w:val="00772B45"/>
    <w:rsid w:val="0077392B"/>
    <w:rsid w:val="0077497E"/>
    <w:rsid w:val="00775120"/>
    <w:rsid w:val="00775266"/>
    <w:rsid w:val="00775436"/>
    <w:rsid w:val="00775C2B"/>
    <w:rsid w:val="00776958"/>
    <w:rsid w:val="007773C5"/>
    <w:rsid w:val="00777710"/>
    <w:rsid w:val="00777F5B"/>
    <w:rsid w:val="00781893"/>
    <w:rsid w:val="00782282"/>
    <w:rsid w:val="0078238D"/>
    <w:rsid w:val="00782AB7"/>
    <w:rsid w:val="00783315"/>
    <w:rsid w:val="00783668"/>
    <w:rsid w:val="0078391A"/>
    <w:rsid w:val="00783A5E"/>
    <w:rsid w:val="00783F00"/>
    <w:rsid w:val="00784120"/>
    <w:rsid w:val="00784342"/>
    <w:rsid w:val="007844EE"/>
    <w:rsid w:val="007845FE"/>
    <w:rsid w:val="00784C4B"/>
    <w:rsid w:val="0078545A"/>
    <w:rsid w:val="00785CCC"/>
    <w:rsid w:val="00785D42"/>
    <w:rsid w:val="00786120"/>
    <w:rsid w:val="00786220"/>
    <w:rsid w:val="007863F7"/>
    <w:rsid w:val="007872D5"/>
    <w:rsid w:val="00787305"/>
    <w:rsid w:val="007900BF"/>
    <w:rsid w:val="00790128"/>
    <w:rsid w:val="0079023C"/>
    <w:rsid w:val="0079069A"/>
    <w:rsid w:val="00790940"/>
    <w:rsid w:val="0079138D"/>
    <w:rsid w:val="0079143C"/>
    <w:rsid w:val="00791A2D"/>
    <w:rsid w:val="00793207"/>
    <w:rsid w:val="00793569"/>
    <w:rsid w:val="0079399B"/>
    <w:rsid w:val="00793E48"/>
    <w:rsid w:val="007943E4"/>
    <w:rsid w:val="007958D9"/>
    <w:rsid w:val="00796EB4"/>
    <w:rsid w:val="00797053"/>
    <w:rsid w:val="00797A86"/>
    <w:rsid w:val="00797B93"/>
    <w:rsid w:val="00797FD9"/>
    <w:rsid w:val="007A06E7"/>
    <w:rsid w:val="007A0BBB"/>
    <w:rsid w:val="007A219C"/>
    <w:rsid w:val="007A259A"/>
    <w:rsid w:val="007A2AF7"/>
    <w:rsid w:val="007A2B31"/>
    <w:rsid w:val="007A3155"/>
    <w:rsid w:val="007A34E6"/>
    <w:rsid w:val="007A3EBA"/>
    <w:rsid w:val="007A40D6"/>
    <w:rsid w:val="007A44D0"/>
    <w:rsid w:val="007A4A7B"/>
    <w:rsid w:val="007A5747"/>
    <w:rsid w:val="007A57EB"/>
    <w:rsid w:val="007A5B29"/>
    <w:rsid w:val="007A5B44"/>
    <w:rsid w:val="007A67D3"/>
    <w:rsid w:val="007A68E7"/>
    <w:rsid w:val="007A7406"/>
    <w:rsid w:val="007A7489"/>
    <w:rsid w:val="007A7E89"/>
    <w:rsid w:val="007B0472"/>
    <w:rsid w:val="007B0838"/>
    <w:rsid w:val="007B095A"/>
    <w:rsid w:val="007B095C"/>
    <w:rsid w:val="007B0B76"/>
    <w:rsid w:val="007B0D1E"/>
    <w:rsid w:val="007B0F16"/>
    <w:rsid w:val="007B15FF"/>
    <w:rsid w:val="007B35B9"/>
    <w:rsid w:val="007B3FEB"/>
    <w:rsid w:val="007B44CD"/>
    <w:rsid w:val="007B4651"/>
    <w:rsid w:val="007B4C8E"/>
    <w:rsid w:val="007B4CDE"/>
    <w:rsid w:val="007B53A7"/>
    <w:rsid w:val="007B5AB0"/>
    <w:rsid w:val="007B6DF9"/>
    <w:rsid w:val="007B74B7"/>
    <w:rsid w:val="007B798A"/>
    <w:rsid w:val="007B7E1D"/>
    <w:rsid w:val="007C05B4"/>
    <w:rsid w:val="007C0E4B"/>
    <w:rsid w:val="007C129B"/>
    <w:rsid w:val="007C16AB"/>
    <w:rsid w:val="007C19D0"/>
    <w:rsid w:val="007C1D0A"/>
    <w:rsid w:val="007C22D9"/>
    <w:rsid w:val="007C2918"/>
    <w:rsid w:val="007C2B10"/>
    <w:rsid w:val="007C3567"/>
    <w:rsid w:val="007C3C1C"/>
    <w:rsid w:val="007C40DC"/>
    <w:rsid w:val="007C43A7"/>
    <w:rsid w:val="007C44CD"/>
    <w:rsid w:val="007C4996"/>
    <w:rsid w:val="007C4F8B"/>
    <w:rsid w:val="007C58FD"/>
    <w:rsid w:val="007C66F8"/>
    <w:rsid w:val="007C6A31"/>
    <w:rsid w:val="007C6D7C"/>
    <w:rsid w:val="007C728A"/>
    <w:rsid w:val="007C752A"/>
    <w:rsid w:val="007C77A2"/>
    <w:rsid w:val="007C7D36"/>
    <w:rsid w:val="007C7EF5"/>
    <w:rsid w:val="007D0442"/>
    <w:rsid w:val="007D11AA"/>
    <w:rsid w:val="007D172C"/>
    <w:rsid w:val="007D1774"/>
    <w:rsid w:val="007D1893"/>
    <w:rsid w:val="007D34FD"/>
    <w:rsid w:val="007D3C40"/>
    <w:rsid w:val="007D3CB6"/>
    <w:rsid w:val="007D3ED6"/>
    <w:rsid w:val="007D4056"/>
    <w:rsid w:val="007D4124"/>
    <w:rsid w:val="007D4BEA"/>
    <w:rsid w:val="007D54D5"/>
    <w:rsid w:val="007D5900"/>
    <w:rsid w:val="007D5931"/>
    <w:rsid w:val="007D6055"/>
    <w:rsid w:val="007D63F0"/>
    <w:rsid w:val="007D77BB"/>
    <w:rsid w:val="007D780B"/>
    <w:rsid w:val="007D79E1"/>
    <w:rsid w:val="007E024E"/>
    <w:rsid w:val="007E0492"/>
    <w:rsid w:val="007E04BE"/>
    <w:rsid w:val="007E2600"/>
    <w:rsid w:val="007E33F7"/>
    <w:rsid w:val="007E3D0F"/>
    <w:rsid w:val="007E42F9"/>
    <w:rsid w:val="007E4745"/>
    <w:rsid w:val="007E48EB"/>
    <w:rsid w:val="007E4DC5"/>
    <w:rsid w:val="007E4E7E"/>
    <w:rsid w:val="007E4EB2"/>
    <w:rsid w:val="007E518C"/>
    <w:rsid w:val="007E5339"/>
    <w:rsid w:val="007E5BB2"/>
    <w:rsid w:val="007E5F23"/>
    <w:rsid w:val="007E60E8"/>
    <w:rsid w:val="007E6976"/>
    <w:rsid w:val="007E6CDB"/>
    <w:rsid w:val="007E79AE"/>
    <w:rsid w:val="007E7FE6"/>
    <w:rsid w:val="007F02B7"/>
    <w:rsid w:val="007F0D71"/>
    <w:rsid w:val="007F18DC"/>
    <w:rsid w:val="007F1E95"/>
    <w:rsid w:val="007F218A"/>
    <w:rsid w:val="007F271B"/>
    <w:rsid w:val="007F304A"/>
    <w:rsid w:val="007F31BD"/>
    <w:rsid w:val="007F3A75"/>
    <w:rsid w:val="007F4399"/>
    <w:rsid w:val="007F57FD"/>
    <w:rsid w:val="007F6385"/>
    <w:rsid w:val="007F6738"/>
    <w:rsid w:val="007F6A75"/>
    <w:rsid w:val="007F70ED"/>
    <w:rsid w:val="007F7DE0"/>
    <w:rsid w:val="0080097F"/>
    <w:rsid w:val="00800F49"/>
    <w:rsid w:val="008015DD"/>
    <w:rsid w:val="00801621"/>
    <w:rsid w:val="00801A6E"/>
    <w:rsid w:val="00801ADF"/>
    <w:rsid w:val="00801DC2"/>
    <w:rsid w:val="00801EA9"/>
    <w:rsid w:val="00801F40"/>
    <w:rsid w:val="00802096"/>
    <w:rsid w:val="008022FA"/>
    <w:rsid w:val="008023BD"/>
    <w:rsid w:val="0080258E"/>
    <w:rsid w:val="0080274C"/>
    <w:rsid w:val="00802938"/>
    <w:rsid w:val="00802AAA"/>
    <w:rsid w:val="00802D55"/>
    <w:rsid w:val="00803066"/>
    <w:rsid w:val="008046CC"/>
    <w:rsid w:val="00804D29"/>
    <w:rsid w:val="00804D2E"/>
    <w:rsid w:val="0080603D"/>
    <w:rsid w:val="0080688E"/>
    <w:rsid w:val="00806A37"/>
    <w:rsid w:val="00806BB0"/>
    <w:rsid w:val="0080702B"/>
    <w:rsid w:val="008072C9"/>
    <w:rsid w:val="00807874"/>
    <w:rsid w:val="00807E54"/>
    <w:rsid w:val="00807E69"/>
    <w:rsid w:val="0081036A"/>
    <w:rsid w:val="00810CCC"/>
    <w:rsid w:val="00810E90"/>
    <w:rsid w:val="00810F5E"/>
    <w:rsid w:val="008126B8"/>
    <w:rsid w:val="0081309B"/>
    <w:rsid w:val="00813116"/>
    <w:rsid w:val="00813404"/>
    <w:rsid w:val="008138DC"/>
    <w:rsid w:val="00814151"/>
    <w:rsid w:val="0081418D"/>
    <w:rsid w:val="00814B22"/>
    <w:rsid w:val="00814EED"/>
    <w:rsid w:val="0081526E"/>
    <w:rsid w:val="008156BF"/>
    <w:rsid w:val="00815810"/>
    <w:rsid w:val="00815B81"/>
    <w:rsid w:val="008167B0"/>
    <w:rsid w:val="00816AF0"/>
    <w:rsid w:val="00817981"/>
    <w:rsid w:val="008200CF"/>
    <w:rsid w:val="00820203"/>
    <w:rsid w:val="00820530"/>
    <w:rsid w:val="00820D27"/>
    <w:rsid w:val="00820D95"/>
    <w:rsid w:val="00821401"/>
    <w:rsid w:val="00821829"/>
    <w:rsid w:val="00821C61"/>
    <w:rsid w:val="00821CF4"/>
    <w:rsid w:val="00822437"/>
    <w:rsid w:val="00823209"/>
    <w:rsid w:val="00823407"/>
    <w:rsid w:val="008236AD"/>
    <w:rsid w:val="0082371E"/>
    <w:rsid w:val="0082396B"/>
    <w:rsid w:val="0082420D"/>
    <w:rsid w:val="008249E4"/>
    <w:rsid w:val="00824EF0"/>
    <w:rsid w:val="0082603A"/>
    <w:rsid w:val="008263A2"/>
    <w:rsid w:val="008263AE"/>
    <w:rsid w:val="00826AD6"/>
    <w:rsid w:val="008271E3"/>
    <w:rsid w:val="008276E1"/>
    <w:rsid w:val="00827CD2"/>
    <w:rsid w:val="008302B6"/>
    <w:rsid w:val="008305AE"/>
    <w:rsid w:val="00830A39"/>
    <w:rsid w:val="00830D5B"/>
    <w:rsid w:val="00830DEB"/>
    <w:rsid w:val="00830EF0"/>
    <w:rsid w:val="00831979"/>
    <w:rsid w:val="00832251"/>
    <w:rsid w:val="00832577"/>
    <w:rsid w:val="008329FB"/>
    <w:rsid w:val="00832C51"/>
    <w:rsid w:val="00833274"/>
    <w:rsid w:val="00833709"/>
    <w:rsid w:val="008337E5"/>
    <w:rsid w:val="008339CD"/>
    <w:rsid w:val="00833B84"/>
    <w:rsid w:val="0083474B"/>
    <w:rsid w:val="00834D2F"/>
    <w:rsid w:val="00835B2C"/>
    <w:rsid w:val="00835EF6"/>
    <w:rsid w:val="00835F3F"/>
    <w:rsid w:val="00836870"/>
    <w:rsid w:val="008369AA"/>
    <w:rsid w:val="00836F61"/>
    <w:rsid w:val="00837919"/>
    <w:rsid w:val="00840C62"/>
    <w:rsid w:val="00841307"/>
    <w:rsid w:val="00842ECC"/>
    <w:rsid w:val="00842EE8"/>
    <w:rsid w:val="00843345"/>
    <w:rsid w:val="00843D36"/>
    <w:rsid w:val="00843FA8"/>
    <w:rsid w:val="00844AC7"/>
    <w:rsid w:val="00844EE4"/>
    <w:rsid w:val="0084537D"/>
    <w:rsid w:val="00845B03"/>
    <w:rsid w:val="00845F9F"/>
    <w:rsid w:val="0084673A"/>
    <w:rsid w:val="00846809"/>
    <w:rsid w:val="00846839"/>
    <w:rsid w:val="00846E06"/>
    <w:rsid w:val="00847987"/>
    <w:rsid w:val="00847F99"/>
    <w:rsid w:val="00850F2D"/>
    <w:rsid w:val="008514F4"/>
    <w:rsid w:val="00851DC4"/>
    <w:rsid w:val="00851F73"/>
    <w:rsid w:val="00852130"/>
    <w:rsid w:val="0085252C"/>
    <w:rsid w:val="00853BD7"/>
    <w:rsid w:val="00853F56"/>
    <w:rsid w:val="0085475E"/>
    <w:rsid w:val="008551C7"/>
    <w:rsid w:val="008557E9"/>
    <w:rsid w:val="00855837"/>
    <w:rsid w:val="00855AA9"/>
    <w:rsid w:val="00855B30"/>
    <w:rsid w:val="00857203"/>
    <w:rsid w:val="00860040"/>
    <w:rsid w:val="00861207"/>
    <w:rsid w:val="00861485"/>
    <w:rsid w:val="008615E4"/>
    <w:rsid w:val="00861B4B"/>
    <w:rsid w:val="00861C83"/>
    <w:rsid w:val="00861DCB"/>
    <w:rsid w:val="00862446"/>
    <w:rsid w:val="00862CC1"/>
    <w:rsid w:val="00862CDB"/>
    <w:rsid w:val="00863791"/>
    <w:rsid w:val="00864135"/>
    <w:rsid w:val="008641F1"/>
    <w:rsid w:val="008650CE"/>
    <w:rsid w:val="00865915"/>
    <w:rsid w:val="00867968"/>
    <w:rsid w:val="00867C4E"/>
    <w:rsid w:val="008702A5"/>
    <w:rsid w:val="0087079F"/>
    <w:rsid w:val="00870976"/>
    <w:rsid w:val="0087098C"/>
    <w:rsid w:val="00870C96"/>
    <w:rsid w:val="00870FA5"/>
    <w:rsid w:val="00871146"/>
    <w:rsid w:val="00872D42"/>
    <w:rsid w:val="00873041"/>
    <w:rsid w:val="00873105"/>
    <w:rsid w:val="0087314D"/>
    <w:rsid w:val="0087375C"/>
    <w:rsid w:val="00873797"/>
    <w:rsid w:val="00873C7B"/>
    <w:rsid w:val="00873F25"/>
    <w:rsid w:val="00874560"/>
    <w:rsid w:val="008745D0"/>
    <w:rsid w:val="00874793"/>
    <w:rsid w:val="00874DDF"/>
    <w:rsid w:val="00875397"/>
    <w:rsid w:val="00876153"/>
    <w:rsid w:val="0087652F"/>
    <w:rsid w:val="00876599"/>
    <w:rsid w:val="008771BD"/>
    <w:rsid w:val="0087756A"/>
    <w:rsid w:val="00880E12"/>
    <w:rsid w:val="00881F0D"/>
    <w:rsid w:val="008824F2"/>
    <w:rsid w:val="008827FC"/>
    <w:rsid w:val="008838D9"/>
    <w:rsid w:val="00883BFD"/>
    <w:rsid w:val="00883E10"/>
    <w:rsid w:val="0088484E"/>
    <w:rsid w:val="008848EF"/>
    <w:rsid w:val="0088498F"/>
    <w:rsid w:val="00884BF5"/>
    <w:rsid w:val="00884FB9"/>
    <w:rsid w:val="008858DC"/>
    <w:rsid w:val="00885E86"/>
    <w:rsid w:val="008864AD"/>
    <w:rsid w:val="00886843"/>
    <w:rsid w:val="00886D3A"/>
    <w:rsid w:val="0089028D"/>
    <w:rsid w:val="008902F8"/>
    <w:rsid w:val="008917C2"/>
    <w:rsid w:val="00891BC1"/>
    <w:rsid w:val="008927C5"/>
    <w:rsid w:val="0089294F"/>
    <w:rsid w:val="00892CC0"/>
    <w:rsid w:val="00892D3B"/>
    <w:rsid w:val="00892E56"/>
    <w:rsid w:val="008933E2"/>
    <w:rsid w:val="0089341D"/>
    <w:rsid w:val="0089370F"/>
    <w:rsid w:val="00893EBD"/>
    <w:rsid w:val="008942BE"/>
    <w:rsid w:val="0089432F"/>
    <w:rsid w:val="008944F9"/>
    <w:rsid w:val="00895696"/>
    <w:rsid w:val="00895D5B"/>
    <w:rsid w:val="00895D6D"/>
    <w:rsid w:val="00895FDF"/>
    <w:rsid w:val="0089691C"/>
    <w:rsid w:val="00896B96"/>
    <w:rsid w:val="0089779A"/>
    <w:rsid w:val="008A14BE"/>
    <w:rsid w:val="008A169F"/>
    <w:rsid w:val="008A187A"/>
    <w:rsid w:val="008A1C13"/>
    <w:rsid w:val="008A200E"/>
    <w:rsid w:val="008A212B"/>
    <w:rsid w:val="008A2238"/>
    <w:rsid w:val="008A2CAD"/>
    <w:rsid w:val="008A32CF"/>
    <w:rsid w:val="008A3D5D"/>
    <w:rsid w:val="008A43FF"/>
    <w:rsid w:val="008A57B2"/>
    <w:rsid w:val="008A5A1B"/>
    <w:rsid w:val="008A5B56"/>
    <w:rsid w:val="008A5B8D"/>
    <w:rsid w:val="008A6030"/>
    <w:rsid w:val="008A64F1"/>
    <w:rsid w:val="008A6DD0"/>
    <w:rsid w:val="008A75C2"/>
    <w:rsid w:val="008B00FC"/>
    <w:rsid w:val="008B0259"/>
    <w:rsid w:val="008B028A"/>
    <w:rsid w:val="008B0DE7"/>
    <w:rsid w:val="008B0E6C"/>
    <w:rsid w:val="008B222F"/>
    <w:rsid w:val="008B2AEF"/>
    <w:rsid w:val="008B3169"/>
    <w:rsid w:val="008B33BB"/>
    <w:rsid w:val="008B3B36"/>
    <w:rsid w:val="008B3DA0"/>
    <w:rsid w:val="008B44D7"/>
    <w:rsid w:val="008B4CE4"/>
    <w:rsid w:val="008B5563"/>
    <w:rsid w:val="008B57CA"/>
    <w:rsid w:val="008B5B05"/>
    <w:rsid w:val="008B6597"/>
    <w:rsid w:val="008B6B6D"/>
    <w:rsid w:val="008B6C8D"/>
    <w:rsid w:val="008B79AD"/>
    <w:rsid w:val="008B7AD8"/>
    <w:rsid w:val="008B7D9F"/>
    <w:rsid w:val="008C07A4"/>
    <w:rsid w:val="008C0AFF"/>
    <w:rsid w:val="008C0BF5"/>
    <w:rsid w:val="008C1009"/>
    <w:rsid w:val="008C11B2"/>
    <w:rsid w:val="008C1222"/>
    <w:rsid w:val="008C15C2"/>
    <w:rsid w:val="008C1BB9"/>
    <w:rsid w:val="008C299E"/>
    <w:rsid w:val="008C3CC7"/>
    <w:rsid w:val="008C3E99"/>
    <w:rsid w:val="008C4BBA"/>
    <w:rsid w:val="008C4C29"/>
    <w:rsid w:val="008C55D0"/>
    <w:rsid w:val="008C5976"/>
    <w:rsid w:val="008C63A0"/>
    <w:rsid w:val="008C6DF3"/>
    <w:rsid w:val="008D13E7"/>
    <w:rsid w:val="008D13FE"/>
    <w:rsid w:val="008D15CF"/>
    <w:rsid w:val="008D1A7D"/>
    <w:rsid w:val="008D2037"/>
    <w:rsid w:val="008D251D"/>
    <w:rsid w:val="008D261D"/>
    <w:rsid w:val="008D2A0C"/>
    <w:rsid w:val="008D319D"/>
    <w:rsid w:val="008D451B"/>
    <w:rsid w:val="008D4E3A"/>
    <w:rsid w:val="008D55C7"/>
    <w:rsid w:val="008D5949"/>
    <w:rsid w:val="008D5E43"/>
    <w:rsid w:val="008D5FE2"/>
    <w:rsid w:val="008D6D4C"/>
    <w:rsid w:val="008D73CF"/>
    <w:rsid w:val="008D78CC"/>
    <w:rsid w:val="008D7CB3"/>
    <w:rsid w:val="008E0105"/>
    <w:rsid w:val="008E04FB"/>
    <w:rsid w:val="008E0564"/>
    <w:rsid w:val="008E13B6"/>
    <w:rsid w:val="008E1540"/>
    <w:rsid w:val="008E19DE"/>
    <w:rsid w:val="008E21A3"/>
    <w:rsid w:val="008E297B"/>
    <w:rsid w:val="008E2EC9"/>
    <w:rsid w:val="008E3192"/>
    <w:rsid w:val="008E3921"/>
    <w:rsid w:val="008E39E7"/>
    <w:rsid w:val="008E3FFB"/>
    <w:rsid w:val="008E4243"/>
    <w:rsid w:val="008E490C"/>
    <w:rsid w:val="008E4F8A"/>
    <w:rsid w:val="008E6B44"/>
    <w:rsid w:val="008E7603"/>
    <w:rsid w:val="008E7744"/>
    <w:rsid w:val="008E7B5A"/>
    <w:rsid w:val="008F0C5C"/>
    <w:rsid w:val="008F0F92"/>
    <w:rsid w:val="008F12D6"/>
    <w:rsid w:val="008F149D"/>
    <w:rsid w:val="008F1B4A"/>
    <w:rsid w:val="008F23B1"/>
    <w:rsid w:val="008F2AF4"/>
    <w:rsid w:val="008F2C13"/>
    <w:rsid w:val="008F3304"/>
    <w:rsid w:val="008F348F"/>
    <w:rsid w:val="008F34A2"/>
    <w:rsid w:val="008F4343"/>
    <w:rsid w:val="008F4B7E"/>
    <w:rsid w:val="008F5225"/>
    <w:rsid w:val="008F52D3"/>
    <w:rsid w:val="008F5BF1"/>
    <w:rsid w:val="008F663B"/>
    <w:rsid w:val="008F694B"/>
    <w:rsid w:val="008F6E15"/>
    <w:rsid w:val="008F73A8"/>
    <w:rsid w:val="00900EBB"/>
    <w:rsid w:val="00900FD4"/>
    <w:rsid w:val="0090132C"/>
    <w:rsid w:val="009013FD"/>
    <w:rsid w:val="0090172E"/>
    <w:rsid w:val="00901C93"/>
    <w:rsid w:val="009023BE"/>
    <w:rsid w:val="009027EB"/>
    <w:rsid w:val="00902FF1"/>
    <w:rsid w:val="009036F0"/>
    <w:rsid w:val="00903A70"/>
    <w:rsid w:val="00903BEF"/>
    <w:rsid w:val="00904B45"/>
    <w:rsid w:val="009051FF"/>
    <w:rsid w:val="00905718"/>
    <w:rsid w:val="00905886"/>
    <w:rsid w:val="00905BF2"/>
    <w:rsid w:val="009068F2"/>
    <w:rsid w:val="00907040"/>
    <w:rsid w:val="00911598"/>
    <w:rsid w:val="00911FD3"/>
    <w:rsid w:val="009132C8"/>
    <w:rsid w:val="009135DB"/>
    <w:rsid w:val="009138B9"/>
    <w:rsid w:val="00913996"/>
    <w:rsid w:val="00914305"/>
    <w:rsid w:val="009143D9"/>
    <w:rsid w:val="00914720"/>
    <w:rsid w:val="009148D5"/>
    <w:rsid w:val="009149F3"/>
    <w:rsid w:val="00914BDC"/>
    <w:rsid w:val="0091571D"/>
    <w:rsid w:val="00915841"/>
    <w:rsid w:val="00915B3E"/>
    <w:rsid w:val="00915BBA"/>
    <w:rsid w:val="00916017"/>
    <w:rsid w:val="00916234"/>
    <w:rsid w:val="00917244"/>
    <w:rsid w:val="00917487"/>
    <w:rsid w:val="009175CA"/>
    <w:rsid w:val="00917730"/>
    <w:rsid w:val="00917840"/>
    <w:rsid w:val="0092004A"/>
    <w:rsid w:val="009201CA"/>
    <w:rsid w:val="009205BB"/>
    <w:rsid w:val="00920647"/>
    <w:rsid w:val="00920654"/>
    <w:rsid w:val="00920676"/>
    <w:rsid w:val="00920DB6"/>
    <w:rsid w:val="0092103F"/>
    <w:rsid w:val="0092135F"/>
    <w:rsid w:val="009217D3"/>
    <w:rsid w:val="00921CC7"/>
    <w:rsid w:val="00922263"/>
    <w:rsid w:val="00922A50"/>
    <w:rsid w:val="0092393F"/>
    <w:rsid w:val="00923FD9"/>
    <w:rsid w:val="009241AB"/>
    <w:rsid w:val="0092445E"/>
    <w:rsid w:val="0092457A"/>
    <w:rsid w:val="0092459C"/>
    <w:rsid w:val="00924B20"/>
    <w:rsid w:val="00924D2D"/>
    <w:rsid w:val="0092519B"/>
    <w:rsid w:val="0092538E"/>
    <w:rsid w:val="0092582D"/>
    <w:rsid w:val="00925902"/>
    <w:rsid w:val="009259FF"/>
    <w:rsid w:val="00925F03"/>
    <w:rsid w:val="009264B1"/>
    <w:rsid w:val="0092668A"/>
    <w:rsid w:val="00926998"/>
    <w:rsid w:val="00926CBC"/>
    <w:rsid w:val="00927118"/>
    <w:rsid w:val="0092749D"/>
    <w:rsid w:val="00927B65"/>
    <w:rsid w:val="0093097E"/>
    <w:rsid w:val="0093108B"/>
    <w:rsid w:val="0093115D"/>
    <w:rsid w:val="00931267"/>
    <w:rsid w:val="00931825"/>
    <w:rsid w:val="00932A5C"/>
    <w:rsid w:val="00933BFE"/>
    <w:rsid w:val="00933DC9"/>
    <w:rsid w:val="00934192"/>
    <w:rsid w:val="00934486"/>
    <w:rsid w:val="00934B40"/>
    <w:rsid w:val="00935FCD"/>
    <w:rsid w:val="00936CF5"/>
    <w:rsid w:val="009372F0"/>
    <w:rsid w:val="00937373"/>
    <w:rsid w:val="009378BF"/>
    <w:rsid w:val="00940138"/>
    <w:rsid w:val="009407E1"/>
    <w:rsid w:val="00940CFC"/>
    <w:rsid w:val="009413BD"/>
    <w:rsid w:val="009417BB"/>
    <w:rsid w:val="00941B4A"/>
    <w:rsid w:val="00941E7E"/>
    <w:rsid w:val="00942454"/>
    <w:rsid w:val="009438F3"/>
    <w:rsid w:val="00943D37"/>
    <w:rsid w:val="00943ED1"/>
    <w:rsid w:val="00944F20"/>
    <w:rsid w:val="00945251"/>
    <w:rsid w:val="009452B3"/>
    <w:rsid w:val="00945681"/>
    <w:rsid w:val="00946488"/>
    <w:rsid w:val="0094668A"/>
    <w:rsid w:val="00946A55"/>
    <w:rsid w:val="009471C9"/>
    <w:rsid w:val="009472CD"/>
    <w:rsid w:val="00947798"/>
    <w:rsid w:val="009478F5"/>
    <w:rsid w:val="00947934"/>
    <w:rsid w:val="0095021D"/>
    <w:rsid w:val="00950452"/>
    <w:rsid w:val="0095103A"/>
    <w:rsid w:val="00951514"/>
    <w:rsid w:val="009542DC"/>
    <w:rsid w:val="00954F02"/>
    <w:rsid w:val="00954FDF"/>
    <w:rsid w:val="00955088"/>
    <w:rsid w:val="0095664D"/>
    <w:rsid w:val="00957387"/>
    <w:rsid w:val="009573AF"/>
    <w:rsid w:val="009579EC"/>
    <w:rsid w:val="00957EC8"/>
    <w:rsid w:val="009614D8"/>
    <w:rsid w:val="00962849"/>
    <w:rsid w:val="00962873"/>
    <w:rsid w:val="00963496"/>
    <w:rsid w:val="00963A19"/>
    <w:rsid w:val="00963C5C"/>
    <w:rsid w:val="00963EA9"/>
    <w:rsid w:val="009651B3"/>
    <w:rsid w:val="009656F2"/>
    <w:rsid w:val="00965717"/>
    <w:rsid w:val="00965A2C"/>
    <w:rsid w:val="00965E46"/>
    <w:rsid w:val="0096662A"/>
    <w:rsid w:val="00966BB7"/>
    <w:rsid w:val="00966D45"/>
    <w:rsid w:val="00967D69"/>
    <w:rsid w:val="0097023B"/>
    <w:rsid w:val="009709BD"/>
    <w:rsid w:val="00971202"/>
    <w:rsid w:val="009716A8"/>
    <w:rsid w:val="009716D7"/>
    <w:rsid w:val="00971FE4"/>
    <w:rsid w:val="00972845"/>
    <w:rsid w:val="009735FE"/>
    <w:rsid w:val="009745F9"/>
    <w:rsid w:val="009767C7"/>
    <w:rsid w:val="0097771C"/>
    <w:rsid w:val="009777FB"/>
    <w:rsid w:val="00977A3A"/>
    <w:rsid w:val="00977A94"/>
    <w:rsid w:val="00980141"/>
    <w:rsid w:val="00980BCD"/>
    <w:rsid w:val="00980F93"/>
    <w:rsid w:val="00981020"/>
    <w:rsid w:val="00981905"/>
    <w:rsid w:val="00981C26"/>
    <w:rsid w:val="00981C2F"/>
    <w:rsid w:val="00981EF8"/>
    <w:rsid w:val="00982A18"/>
    <w:rsid w:val="009830A9"/>
    <w:rsid w:val="00983364"/>
    <w:rsid w:val="00983A73"/>
    <w:rsid w:val="00983B4B"/>
    <w:rsid w:val="00984018"/>
    <w:rsid w:val="0098419A"/>
    <w:rsid w:val="0098474A"/>
    <w:rsid w:val="00984D4A"/>
    <w:rsid w:val="009858C4"/>
    <w:rsid w:val="00985A1F"/>
    <w:rsid w:val="00985E2A"/>
    <w:rsid w:val="009869E6"/>
    <w:rsid w:val="00986E52"/>
    <w:rsid w:val="00987287"/>
    <w:rsid w:val="00987CBA"/>
    <w:rsid w:val="00987CC9"/>
    <w:rsid w:val="00987F2C"/>
    <w:rsid w:val="009908DE"/>
    <w:rsid w:val="00990ECC"/>
    <w:rsid w:val="00991702"/>
    <w:rsid w:val="00991E91"/>
    <w:rsid w:val="00992825"/>
    <w:rsid w:val="00992B13"/>
    <w:rsid w:val="00992E35"/>
    <w:rsid w:val="00992FFE"/>
    <w:rsid w:val="00993661"/>
    <w:rsid w:val="009938BC"/>
    <w:rsid w:val="00994059"/>
    <w:rsid w:val="00994601"/>
    <w:rsid w:val="00994D9C"/>
    <w:rsid w:val="009951AF"/>
    <w:rsid w:val="0099553A"/>
    <w:rsid w:val="009957EF"/>
    <w:rsid w:val="0099581B"/>
    <w:rsid w:val="00995BB4"/>
    <w:rsid w:val="009965CD"/>
    <w:rsid w:val="00996846"/>
    <w:rsid w:val="00996EF9"/>
    <w:rsid w:val="00997696"/>
    <w:rsid w:val="009977F0"/>
    <w:rsid w:val="00997DA5"/>
    <w:rsid w:val="009A0B80"/>
    <w:rsid w:val="009A0C4E"/>
    <w:rsid w:val="009A149A"/>
    <w:rsid w:val="009A33F4"/>
    <w:rsid w:val="009A4222"/>
    <w:rsid w:val="009A4443"/>
    <w:rsid w:val="009A4A99"/>
    <w:rsid w:val="009A4D2D"/>
    <w:rsid w:val="009A4E64"/>
    <w:rsid w:val="009A5041"/>
    <w:rsid w:val="009A5785"/>
    <w:rsid w:val="009A5797"/>
    <w:rsid w:val="009A5984"/>
    <w:rsid w:val="009A5E40"/>
    <w:rsid w:val="009A686E"/>
    <w:rsid w:val="009A76F7"/>
    <w:rsid w:val="009A7D24"/>
    <w:rsid w:val="009B04A8"/>
    <w:rsid w:val="009B09A8"/>
    <w:rsid w:val="009B1A0E"/>
    <w:rsid w:val="009B21B0"/>
    <w:rsid w:val="009B29AA"/>
    <w:rsid w:val="009B2B62"/>
    <w:rsid w:val="009B2F6E"/>
    <w:rsid w:val="009B3502"/>
    <w:rsid w:val="009B3621"/>
    <w:rsid w:val="009B495F"/>
    <w:rsid w:val="009B4CE7"/>
    <w:rsid w:val="009B53F5"/>
    <w:rsid w:val="009B5964"/>
    <w:rsid w:val="009B5B8F"/>
    <w:rsid w:val="009B6F49"/>
    <w:rsid w:val="009B708D"/>
    <w:rsid w:val="009B790C"/>
    <w:rsid w:val="009C0448"/>
    <w:rsid w:val="009C0BEC"/>
    <w:rsid w:val="009C2191"/>
    <w:rsid w:val="009C27E6"/>
    <w:rsid w:val="009C5202"/>
    <w:rsid w:val="009C67C4"/>
    <w:rsid w:val="009C715C"/>
    <w:rsid w:val="009C747B"/>
    <w:rsid w:val="009C748A"/>
    <w:rsid w:val="009C7796"/>
    <w:rsid w:val="009C78BC"/>
    <w:rsid w:val="009C7950"/>
    <w:rsid w:val="009D0278"/>
    <w:rsid w:val="009D0D3A"/>
    <w:rsid w:val="009D1256"/>
    <w:rsid w:val="009D2387"/>
    <w:rsid w:val="009D2491"/>
    <w:rsid w:val="009D256B"/>
    <w:rsid w:val="009D293E"/>
    <w:rsid w:val="009D3787"/>
    <w:rsid w:val="009D3E11"/>
    <w:rsid w:val="009D4739"/>
    <w:rsid w:val="009D48ED"/>
    <w:rsid w:val="009D5E86"/>
    <w:rsid w:val="009D6985"/>
    <w:rsid w:val="009D6A66"/>
    <w:rsid w:val="009D6D30"/>
    <w:rsid w:val="009D752A"/>
    <w:rsid w:val="009D7CBB"/>
    <w:rsid w:val="009E023C"/>
    <w:rsid w:val="009E0608"/>
    <w:rsid w:val="009E08BC"/>
    <w:rsid w:val="009E09DE"/>
    <w:rsid w:val="009E10AD"/>
    <w:rsid w:val="009E1E90"/>
    <w:rsid w:val="009E223B"/>
    <w:rsid w:val="009E2C53"/>
    <w:rsid w:val="009E3273"/>
    <w:rsid w:val="009E388A"/>
    <w:rsid w:val="009E397B"/>
    <w:rsid w:val="009E3FEC"/>
    <w:rsid w:val="009E412C"/>
    <w:rsid w:val="009E458D"/>
    <w:rsid w:val="009E4786"/>
    <w:rsid w:val="009E4C39"/>
    <w:rsid w:val="009E4DD6"/>
    <w:rsid w:val="009E5259"/>
    <w:rsid w:val="009E536F"/>
    <w:rsid w:val="009E5B39"/>
    <w:rsid w:val="009E5DB6"/>
    <w:rsid w:val="009E750E"/>
    <w:rsid w:val="009E78E0"/>
    <w:rsid w:val="009F0303"/>
    <w:rsid w:val="009F0FD2"/>
    <w:rsid w:val="009F12BA"/>
    <w:rsid w:val="009F1AD8"/>
    <w:rsid w:val="009F1C12"/>
    <w:rsid w:val="009F2191"/>
    <w:rsid w:val="009F31AB"/>
    <w:rsid w:val="009F356C"/>
    <w:rsid w:val="009F4535"/>
    <w:rsid w:val="009F4628"/>
    <w:rsid w:val="009F4B20"/>
    <w:rsid w:val="009F5350"/>
    <w:rsid w:val="009F5658"/>
    <w:rsid w:val="009F5DFC"/>
    <w:rsid w:val="009F5E59"/>
    <w:rsid w:val="009F6A47"/>
    <w:rsid w:val="009F794D"/>
    <w:rsid w:val="009F7A36"/>
    <w:rsid w:val="009F7A63"/>
    <w:rsid w:val="009F7B4A"/>
    <w:rsid w:val="009F7CA1"/>
    <w:rsid w:val="00A0034A"/>
    <w:rsid w:val="00A007A5"/>
    <w:rsid w:val="00A007C4"/>
    <w:rsid w:val="00A009FA"/>
    <w:rsid w:val="00A00F02"/>
    <w:rsid w:val="00A01C3E"/>
    <w:rsid w:val="00A01C8C"/>
    <w:rsid w:val="00A02BDB"/>
    <w:rsid w:val="00A02D89"/>
    <w:rsid w:val="00A03071"/>
    <w:rsid w:val="00A04D75"/>
    <w:rsid w:val="00A04F36"/>
    <w:rsid w:val="00A0643F"/>
    <w:rsid w:val="00A06928"/>
    <w:rsid w:val="00A0785F"/>
    <w:rsid w:val="00A1070D"/>
    <w:rsid w:val="00A10B27"/>
    <w:rsid w:val="00A113F3"/>
    <w:rsid w:val="00A127B7"/>
    <w:rsid w:val="00A1354E"/>
    <w:rsid w:val="00A13CA7"/>
    <w:rsid w:val="00A13E4D"/>
    <w:rsid w:val="00A14951"/>
    <w:rsid w:val="00A14A53"/>
    <w:rsid w:val="00A153A9"/>
    <w:rsid w:val="00A16082"/>
    <w:rsid w:val="00A1610F"/>
    <w:rsid w:val="00A16DBE"/>
    <w:rsid w:val="00A17424"/>
    <w:rsid w:val="00A175FF"/>
    <w:rsid w:val="00A178DE"/>
    <w:rsid w:val="00A206CA"/>
    <w:rsid w:val="00A20A07"/>
    <w:rsid w:val="00A213D0"/>
    <w:rsid w:val="00A2157F"/>
    <w:rsid w:val="00A21805"/>
    <w:rsid w:val="00A22090"/>
    <w:rsid w:val="00A220A6"/>
    <w:rsid w:val="00A2288E"/>
    <w:rsid w:val="00A22C87"/>
    <w:rsid w:val="00A236CE"/>
    <w:rsid w:val="00A241E3"/>
    <w:rsid w:val="00A249A7"/>
    <w:rsid w:val="00A25013"/>
    <w:rsid w:val="00A25156"/>
    <w:rsid w:val="00A251E8"/>
    <w:rsid w:val="00A26080"/>
    <w:rsid w:val="00A267A5"/>
    <w:rsid w:val="00A27A06"/>
    <w:rsid w:val="00A30528"/>
    <w:rsid w:val="00A30A02"/>
    <w:rsid w:val="00A30CFD"/>
    <w:rsid w:val="00A3106F"/>
    <w:rsid w:val="00A327A9"/>
    <w:rsid w:val="00A327AE"/>
    <w:rsid w:val="00A331AA"/>
    <w:rsid w:val="00A33505"/>
    <w:rsid w:val="00A34098"/>
    <w:rsid w:val="00A344F3"/>
    <w:rsid w:val="00A34547"/>
    <w:rsid w:val="00A34794"/>
    <w:rsid w:val="00A34999"/>
    <w:rsid w:val="00A34D1B"/>
    <w:rsid w:val="00A3573C"/>
    <w:rsid w:val="00A359AC"/>
    <w:rsid w:val="00A359E2"/>
    <w:rsid w:val="00A35D20"/>
    <w:rsid w:val="00A36631"/>
    <w:rsid w:val="00A36DE6"/>
    <w:rsid w:val="00A373CD"/>
    <w:rsid w:val="00A3741D"/>
    <w:rsid w:val="00A37794"/>
    <w:rsid w:val="00A37E94"/>
    <w:rsid w:val="00A40593"/>
    <w:rsid w:val="00A40AFE"/>
    <w:rsid w:val="00A40ED5"/>
    <w:rsid w:val="00A41707"/>
    <w:rsid w:val="00A41AE6"/>
    <w:rsid w:val="00A41C97"/>
    <w:rsid w:val="00A41DDB"/>
    <w:rsid w:val="00A41E50"/>
    <w:rsid w:val="00A4221F"/>
    <w:rsid w:val="00A42994"/>
    <w:rsid w:val="00A42B4F"/>
    <w:rsid w:val="00A42BBB"/>
    <w:rsid w:val="00A42FC9"/>
    <w:rsid w:val="00A4371A"/>
    <w:rsid w:val="00A442A2"/>
    <w:rsid w:val="00A44D32"/>
    <w:rsid w:val="00A44DA7"/>
    <w:rsid w:val="00A44EF8"/>
    <w:rsid w:val="00A4502A"/>
    <w:rsid w:val="00A45D1C"/>
    <w:rsid w:val="00A45EC8"/>
    <w:rsid w:val="00A46115"/>
    <w:rsid w:val="00A465C5"/>
    <w:rsid w:val="00A47066"/>
    <w:rsid w:val="00A4707F"/>
    <w:rsid w:val="00A47660"/>
    <w:rsid w:val="00A47CE3"/>
    <w:rsid w:val="00A510A0"/>
    <w:rsid w:val="00A5124C"/>
    <w:rsid w:val="00A51C2A"/>
    <w:rsid w:val="00A51D43"/>
    <w:rsid w:val="00A52904"/>
    <w:rsid w:val="00A53608"/>
    <w:rsid w:val="00A53E29"/>
    <w:rsid w:val="00A53FB0"/>
    <w:rsid w:val="00A54AF2"/>
    <w:rsid w:val="00A54EF2"/>
    <w:rsid w:val="00A55391"/>
    <w:rsid w:val="00A55F21"/>
    <w:rsid w:val="00A56305"/>
    <w:rsid w:val="00A5671F"/>
    <w:rsid w:val="00A569D5"/>
    <w:rsid w:val="00A56A2A"/>
    <w:rsid w:val="00A57F2D"/>
    <w:rsid w:val="00A60CC0"/>
    <w:rsid w:val="00A60DA0"/>
    <w:rsid w:val="00A60F52"/>
    <w:rsid w:val="00A615AB"/>
    <w:rsid w:val="00A617F5"/>
    <w:rsid w:val="00A61871"/>
    <w:rsid w:val="00A61E60"/>
    <w:rsid w:val="00A639D7"/>
    <w:rsid w:val="00A6458C"/>
    <w:rsid w:val="00A654FE"/>
    <w:rsid w:val="00A66A5A"/>
    <w:rsid w:val="00A67191"/>
    <w:rsid w:val="00A701C5"/>
    <w:rsid w:val="00A703BB"/>
    <w:rsid w:val="00A71719"/>
    <w:rsid w:val="00A71A96"/>
    <w:rsid w:val="00A71AF4"/>
    <w:rsid w:val="00A71CD2"/>
    <w:rsid w:val="00A72EA2"/>
    <w:rsid w:val="00A730FE"/>
    <w:rsid w:val="00A7373F"/>
    <w:rsid w:val="00A73D77"/>
    <w:rsid w:val="00A73DCA"/>
    <w:rsid w:val="00A740F1"/>
    <w:rsid w:val="00A7414D"/>
    <w:rsid w:val="00A7416C"/>
    <w:rsid w:val="00A75136"/>
    <w:rsid w:val="00A75323"/>
    <w:rsid w:val="00A756F2"/>
    <w:rsid w:val="00A75ADF"/>
    <w:rsid w:val="00A75BC2"/>
    <w:rsid w:val="00A75F04"/>
    <w:rsid w:val="00A76DDB"/>
    <w:rsid w:val="00A77181"/>
    <w:rsid w:val="00A77319"/>
    <w:rsid w:val="00A800BF"/>
    <w:rsid w:val="00A807FC"/>
    <w:rsid w:val="00A80AD7"/>
    <w:rsid w:val="00A80D60"/>
    <w:rsid w:val="00A80F99"/>
    <w:rsid w:val="00A8126D"/>
    <w:rsid w:val="00A82120"/>
    <w:rsid w:val="00A82211"/>
    <w:rsid w:val="00A8248D"/>
    <w:rsid w:val="00A83800"/>
    <w:rsid w:val="00A83F44"/>
    <w:rsid w:val="00A840EA"/>
    <w:rsid w:val="00A84134"/>
    <w:rsid w:val="00A8451C"/>
    <w:rsid w:val="00A84D91"/>
    <w:rsid w:val="00A85084"/>
    <w:rsid w:val="00A852A6"/>
    <w:rsid w:val="00A857A9"/>
    <w:rsid w:val="00A85E8B"/>
    <w:rsid w:val="00A860AF"/>
    <w:rsid w:val="00A860E9"/>
    <w:rsid w:val="00A861C2"/>
    <w:rsid w:val="00A870A0"/>
    <w:rsid w:val="00A87A0D"/>
    <w:rsid w:val="00A87ACE"/>
    <w:rsid w:val="00A87B98"/>
    <w:rsid w:val="00A90577"/>
    <w:rsid w:val="00A90C05"/>
    <w:rsid w:val="00A91A97"/>
    <w:rsid w:val="00A91AE3"/>
    <w:rsid w:val="00A92511"/>
    <w:rsid w:val="00A926A1"/>
    <w:rsid w:val="00A92F4A"/>
    <w:rsid w:val="00A93167"/>
    <w:rsid w:val="00A93386"/>
    <w:rsid w:val="00A93A6B"/>
    <w:rsid w:val="00A94BBB"/>
    <w:rsid w:val="00A94F03"/>
    <w:rsid w:val="00A954F1"/>
    <w:rsid w:val="00A95735"/>
    <w:rsid w:val="00A95CF4"/>
    <w:rsid w:val="00A95E72"/>
    <w:rsid w:val="00A95F5F"/>
    <w:rsid w:val="00A968D0"/>
    <w:rsid w:val="00A973B6"/>
    <w:rsid w:val="00A9740D"/>
    <w:rsid w:val="00A97733"/>
    <w:rsid w:val="00A97A6F"/>
    <w:rsid w:val="00AA0285"/>
    <w:rsid w:val="00AA0435"/>
    <w:rsid w:val="00AA073E"/>
    <w:rsid w:val="00AA0BEB"/>
    <w:rsid w:val="00AA0C44"/>
    <w:rsid w:val="00AA0C5C"/>
    <w:rsid w:val="00AA1414"/>
    <w:rsid w:val="00AA19EE"/>
    <w:rsid w:val="00AA1F52"/>
    <w:rsid w:val="00AA27FE"/>
    <w:rsid w:val="00AA3226"/>
    <w:rsid w:val="00AA32DA"/>
    <w:rsid w:val="00AA373A"/>
    <w:rsid w:val="00AA385A"/>
    <w:rsid w:val="00AA3F44"/>
    <w:rsid w:val="00AA404C"/>
    <w:rsid w:val="00AA40A6"/>
    <w:rsid w:val="00AA4857"/>
    <w:rsid w:val="00AA5773"/>
    <w:rsid w:val="00AA58F3"/>
    <w:rsid w:val="00AA5FF1"/>
    <w:rsid w:val="00AA6786"/>
    <w:rsid w:val="00AA6F6D"/>
    <w:rsid w:val="00AA790C"/>
    <w:rsid w:val="00AA7CC8"/>
    <w:rsid w:val="00AA7F28"/>
    <w:rsid w:val="00AB0328"/>
    <w:rsid w:val="00AB0527"/>
    <w:rsid w:val="00AB0EC5"/>
    <w:rsid w:val="00AB1478"/>
    <w:rsid w:val="00AB1485"/>
    <w:rsid w:val="00AB19C1"/>
    <w:rsid w:val="00AB1C18"/>
    <w:rsid w:val="00AB1F4E"/>
    <w:rsid w:val="00AB24EF"/>
    <w:rsid w:val="00AB29A0"/>
    <w:rsid w:val="00AB33B3"/>
    <w:rsid w:val="00AB3EDB"/>
    <w:rsid w:val="00AB4571"/>
    <w:rsid w:val="00AB5FA0"/>
    <w:rsid w:val="00AB6D78"/>
    <w:rsid w:val="00AB70E8"/>
    <w:rsid w:val="00AB7163"/>
    <w:rsid w:val="00AB73AD"/>
    <w:rsid w:val="00AB783C"/>
    <w:rsid w:val="00AC016B"/>
    <w:rsid w:val="00AC018D"/>
    <w:rsid w:val="00AC068E"/>
    <w:rsid w:val="00AC0DE5"/>
    <w:rsid w:val="00AC1457"/>
    <w:rsid w:val="00AC1673"/>
    <w:rsid w:val="00AC16BC"/>
    <w:rsid w:val="00AC1869"/>
    <w:rsid w:val="00AC23E5"/>
    <w:rsid w:val="00AC2514"/>
    <w:rsid w:val="00AC2624"/>
    <w:rsid w:val="00AC27BC"/>
    <w:rsid w:val="00AC29FC"/>
    <w:rsid w:val="00AC2BDC"/>
    <w:rsid w:val="00AC2DB9"/>
    <w:rsid w:val="00AC2E08"/>
    <w:rsid w:val="00AC3472"/>
    <w:rsid w:val="00AC3817"/>
    <w:rsid w:val="00AC387A"/>
    <w:rsid w:val="00AC4272"/>
    <w:rsid w:val="00AC4596"/>
    <w:rsid w:val="00AC578B"/>
    <w:rsid w:val="00AC5ED0"/>
    <w:rsid w:val="00AC6BA4"/>
    <w:rsid w:val="00AC6BB9"/>
    <w:rsid w:val="00AC7FB1"/>
    <w:rsid w:val="00AD1A3E"/>
    <w:rsid w:val="00AD1CBC"/>
    <w:rsid w:val="00AD3243"/>
    <w:rsid w:val="00AD3500"/>
    <w:rsid w:val="00AD390F"/>
    <w:rsid w:val="00AD407B"/>
    <w:rsid w:val="00AD4339"/>
    <w:rsid w:val="00AD45E3"/>
    <w:rsid w:val="00AD5D43"/>
    <w:rsid w:val="00AD6060"/>
    <w:rsid w:val="00AD612B"/>
    <w:rsid w:val="00AD6A85"/>
    <w:rsid w:val="00AD6CEA"/>
    <w:rsid w:val="00AD6DD9"/>
    <w:rsid w:val="00AD6FEB"/>
    <w:rsid w:val="00AD7195"/>
    <w:rsid w:val="00AD7AFB"/>
    <w:rsid w:val="00AE13FC"/>
    <w:rsid w:val="00AE1542"/>
    <w:rsid w:val="00AE1563"/>
    <w:rsid w:val="00AE17B1"/>
    <w:rsid w:val="00AE19E1"/>
    <w:rsid w:val="00AE1A2A"/>
    <w:rsid w:val="00AE1D28"/>
    <w:rsid w:val="00AE1D44"/>
    <w:rsid w:val="00AE2BA1"/>
    <w:rsid w:val="00AE30AA"/>
    <w:rsid w:val="00AE3AF4"/>
    <w:rsid w:val="00AE3B19"/>
    <w:rsid w:val="00AE3CA8"/>
    <w:rsid w:val="00AE3CBF"/>
    <w:rsid w:val="00AE41E0"/>
    <w:rsid w:val="00AE4CD2"/>
    <w:rsid w:val="00AE6099"/>
    <w:rsid w:val="00AE6B51"/>
    <w:rsid w:val="00AE6CBD"/>
    <w:rsid w:val="00AE6D42"/>
    <w:rsid w:val="00AE71EC"/>
    <w:rsid w:val="00AE7776"/>
    <w:rsid w:val="00AE7D72"/>
    <w:rsid w:val="00AF0544"/>
    <w:rsid w:val="00AF0B91"/>
    <w:rsid w:val="00AF22F5"/>
    <w:rsid w:val="00AF2D3D"/>
    <w:rsid w:val="00AF3058"/>
    <w:rsid w:val="00AF3D1D"/>
    <w:rsid w:val="00AF4FD3"/>
    <w:rsid w:val="00AF51E2"/>
    <w:rsid w:val="00AF532E"/>
    <w:rsid w:val="00AF5810"/>
    <w:rsid w:val="00AF5A0F"/>
    <w:rsid w:val="00AF60B5"/>
    <w:rsid w:val="00AF700D"/>
    <w:rsid w:val="00AF7AEA"/>
    <w:rsid w:val="00AF7B0B"/>
    <w:rsid w:val="00B006EB"/>
    <w:rsid w:val="00B016A0"/>
    <w:rsid w:val="00B0177C"/>
    <w:rsid w:val="00B0317B"/>
    <w:rsid w:val="00B03BA1"/>
    <w:rsid w:val="00B04547"/>
    <w:rsid w:val="00B04661"/>
    <w:rsid w:val="00B0487F"/>
    <w:rsid w:val="00B0562B"/>
    <w:rsid w:val="00B0597B"/>
    <w:rsid w:val="00B060C9"/>
    <w:rsid w:val="00B06821"/>
    <w:rsid w:val="00B06C37"/>
    <w:rsid w:val="00B072B0"/>
    <w:rsid w:val="00B0798C"/>
    <w:rsid w:val="00B100AB"/>
    <w:rsid w:val="00B10808"/>
    <w:rsid w:val="00B10A77"/>
    <w:rsid w:val="00B10DEC"/>
    <w:rsid w:val="00B10EB8"/>
    <w:rsid w:val="00B11436"/>
    <w:rsid w:val="00B117A9"/>
    <w:rsid w:val="00B1275E"/>
    <w:rsid w:val="00B1325C"/>
    <w:rsid w:val="00B1340A"/>
    <w:rsid w:val="00B137B1"/>
    <w:rsid w:val="00B13BAE"/>
    <w:rsid w:val="00B13E56"/>
    <w:rsid w:val="00B13F39"/>
    <w:rsid w:val="00B15687"/>
    <w:rsid w:val="00B15A4F"/>
    <w:rsid w:val="00B163E4"/>
    <w:rsid w:val="00B17020"/>
    <w:rsid w:val="00B173BF"/>
    <w:rsid w:val="00B1740C"/>
    <w:rsid w:val="00B22016"/>
    <w:rsid w:val="00B227DE"/>
    <w:rsid w:val="00B22D40"/>
    <w:rsid w:val="00B23F64"/>
    <w:rsid w:val="00B23FB3"/>
    <w:rsid w:val="00B24099"/>
    <w:rsid w:val="00B250B7"/>
    <w:rsid w:val="00B25715"/>
    <w:rsid w:val="00B25959"/>
    <w:rsid w:val="00B263E3"/>
    <w:rsid w:val="00B2664E"/>
    <w:rsid w:val="00B2712C"/>
    <w:rsid w:val="00B273E7"/>
    <w:rsid w:val="00B27BC4"/>
    <w:rsid w:val="00B30AD3"/>
    <w:rsid w:val="00B317BC"/>
    <w:rsid w:val="00B32656"/>
    <w:rsid w:val="00B32B3B"/>
    <w:rsid w:val="00B3333B"/>
    <w:rsid w:val="00B334BA"/>
    <w:rsid w:val="00B3357C"/>
    <w:rsid w:val="00B33FE8"/>
    <w:rsid w:val="00B34027"/>
    <w:rsid w:val="00B34BD7"/>
    <w:rsid w:val="00B34E03"/>
    <w:rsid w:val="00B360F9"/>
    <w:rsid w:val="00B36671"/>
    <w:rsid w:val="00B36802"/>
    <w:rsid w:val="00B369A6"/>
    <w:rsid w:val="00B36DB8"/>
    <w:rsid w:val="00B3738D"/>
    <w:rsid w:val="00B373BE"/>
    <w:rsid w:val="00B373E4"/>
    <w:rsid w:val="00B37BBF"/>
    <w:rsid w:val="00B406F1"/>
    <w:rsid w:val="00B41EE1"/>
    <w:rsid w:val="00B423A8"/>
    <w:rsid w:val="00B42AFF"/>
    <w:rsid w:val="00B43023"/>
    <w:rsid w:val="00B430D6"/>
    <w:rsid w:val="00B44997"/>
    <w:rsid w:val="00B45140"/>
    <w:rsid w:val="00B45AF1"/>
    <w:rsid w:val="00B460D8"/>
    <w:rsid w:val="00B46218"/>
    <w:rsid w:val="00B46709"/>
    <w:rsid w:val="00B46728"/>
    <w:rsid w:val="00B46B99"/>
    <w:rsid w:val="00B46D1D"/>
    <w:rsid w:val="00B46E86"/>
    <w:rsid w:val="00B4708D"/>
    <w:rsid w:val="00B474DF"/>
    <w:rsid w:val="00B47567"/>
    <w:rsid w:val="00B47B27"/>
    <w:rsid w:val="00B505BB"/>
    <w:rsid w:val="00B5061C"/>
    <w:rsid w:val="00B50A56"/>
    <w:rsid w:val="00B50B77"/>
    <w:rsid w:val="00B50E3D"/>
    <w:rsid w:val="00B50E7A"/>
    <w:rsid w:val="00B513D4"/>
    <w:rsid w:val="00B513E8"/>
    <w:rsid w:val="00B5173F"/>
    <w:rsid w:val="00B51E88"/>
    <w:rsid w:val="00B51F0F"/>
    <w:rsid w:val="00B539FE"/>
    <w:rsid w:val="00B5469E"/>
    <w:rsid w:val="00B548EA"/>
    <w:rsid w:val="00B56063"/>
    <w:rsid w:val="00B56DA7"/>
    <w:rsid w:val="00B56DDA"/>
    <w:rsid w:val="00B6052D"/>
    <w:rsid w:val="00B605AA"/>
    <w:rsid w:val="00B60735"/>
    <w:rsid w:val="00B617DE"/>
    <w:rsid w:val="00B6181B"/>
    <w:rsid w:val="00B61AD5"/>
    <w:rsid w:val="00B622FE"/>
    <w:rsid w:val="00B62D65"/>
    <w:rsid w:val="00B634A6"/>
    <w:rsid w:val="00B63755"/>
    <w:rsid w:val="00B6393F"/>
    <w:rsid w:val="00B64EF1"/>
    <w:rsid w:val="00B64FE3"/>
    <w:rsid w:val="00B65D6E"/>
    <w:rsid w:val="00B661E4"/>
    <w:rsid w:val="00B668AD"/>
    <w:rsid w:val="00B66AC5"/>
    <w:rsid w:val="00B66ACE"/>
    <w:rsid w:val="00B67095"/>
    <w:rsid w:val="00B672A5"/>
    <w:rsid w:val="00B674D8"/>
    <w:rsid w:val="00B703FE"/>
    <w:rsid w:val="00B711A1"/>
    <w:rsid w:val="00B71A06"/>
    <w:rsid w:val="00B721BC"/>
    <w:rsid w:val="00B73748"/>
    <w:rsid w:val="00B739F8"/>
    <w:rsid w:val="00B73B44"/>
    <w:rsid w:val="00B73CD3"/>
    <w:rsid w:val="00B7404E"/>
    <w:rsid w:val="00B740E4"/>
    <w:rsid w:val="00B7484D"/>
    <w:rsid w:val="00B748CB"/>
    <w:rsid w:val="00B75511"/>
    <w:rsid w:val="00B75547"/>
    <w:rsid w:val="00B7557A"/>
    <w:rsid w:val="00B75845"/>
    <w:rsid w:val="00B75D1D"/>
    <w:rsid w:val="00B777CB"/>
    <w:rsid w:val="00B80099"/>
    <w:rsid w:val="00B803E3"/>
    <w:rsid w:val="00B80910"/>
    <w:rsid w:val="00B818FE"/>
    <w:rsid w:val="00B8261D"/>
    <w:rsid w:val="00B82B7B"/>
    <w:rsid w:val="00B82C8D"/>
    <w:rsid w:val="00B839DF"/>
    <w:rsid w:val="00B839E5"/>
    <w:rsid w:val="00B83B24"/>
    <w:rsid w:val="00B84872"/>
    <w:rsid w:val="00B850E3"/>
    <w:rsid w:val="00B854EB"/>
    <w:rsid w:val="00B85FA3"/>
    <w:rsid w:val="00B86393"/>
    <w:rsid w:val="00B87247"/>
    <w:rsid w:val="00B90E45"/>
    <w:rsid w:val="00B912D1"/>
    <w:rsid w:val="00B92237"/>
    <w:rsid w:val="00B92701"/>
    <w:rsid w:val="00B9285C"/>
    <w:rsid w:val="00B9379C"/>
    <w:rsid w:val="00B937BA"/>
    <w:rsid w:val="00B93A52"/>
    <w:rsid w:val="00B93CF8"/>
    <w:rsid w:val="00B944B1"/>
    <w:rsid w:val="00B9476B"/>
    <w:rsid w:val="00B94AD2"/>
    <w:rsid w:val="00B94F49"/>
    <w:rsid w:val="00B9525D"/>
    <w:rsid w:val="00B95572"/>
    <w:rsid w:val="00B955B4"/>
    <w:rsid w:val="00B962F9"/>
    <w:rsid w:val="00B96BEC"/>
    <w:rsid w:val="00B9704F"/>
    <w:rsid w:val="00B97A7F"/>
    <w:rsid w:val="00B97BB5"/>
    <w:rsid w:val="00B97EA6"/>
    <w:rsid w:val="00BA225F"/>
    <w:rsid w:val="00BA27BB"/>
    <w:rsid w:val="00BA2853"/>
    <w:rsid w:val="00BA2A18"/>
    <w:rsid w:val="00BA2A64"/>
    <w:rsid w:val="00BA2BFE"/>
    <w:rsid w:val="00BA2D31"/>
    <w:rsid w:val="00BA426A"/>
    <w:rsid w:val="00BA5097"/>
    <w:rsid w:val="00BA5A13"/>
    <w:rsid w:val="00BA6751"/>
    <w:rsid w:val="00BA6F75"/>
    <w:rsid w:val="00BA70A4"/>
    <w:rsid w:val="00BA7513"/>
    <w:rsid w:val="00BA7857"/>
    <w:rsid w:val="00BB04E2"/>
    <w:rsid w:val="00BB06C3"/>
    <w:rsid w:val="00BB0D57"/>
    <w:rsid w:val="00BB0D6E"/>
    <w:rsid w:val="00BB0DD5"/>
    <w:rsid w:val="00BB16FF"/>
    <w:rsid w:val="00BB1760"/>
    <w:rsid w:val="00BB1946"/>
    <w:rsid w:val="00BB1D60"/>
    <w:rsid w:val="00BB1E68"/>
    <w:rsid w:val="00BB2803"/>
    <w:rsid w:val="00BB2973"/>
    <w:rsid w:val="00BB2CF7"/>
    <w:rsid w:val="00BB369C"/>
    <w:rsid w:val="00BB370F"/>
    <w:rsid w:val="00BB434B"/>
    <w:rsid w:val="00BB48CD"/>
    <w:rsid w:val="00BB4C8D"/>
    <w:rsid w:val="00BB51EA"/>
    <w:rsid w:val="00BB5293"/>
    <w:rsid w:val="00BB545E"/>
    <w:rsid w:val="00BB61F9"/>
    <w:rsid w:val="00BB64C2"/>
    <w:rsid w:val="00BB6627"/>
    <w:rsid w:val="00BB67E1"/>
    <w:rsid w:val="00BB6BE6"/>
    <w:rsid w:val="00BB6F14"/>
    <w:rsid w:val="00BB71BF"/>
    <w:rsid w:val="00BB7B8B"/>
    <w:rsid w:val="00BB7C1D"/>
    <w:rsid w:val="00BC04C0"/>
    <w:rsid w:val="00BC0A75"/>
    <w:rsid w:val="00BC121E"/>
    <w:rsid w:val="00BC200F"/>
    <w:rsid w:val="00BC21D2"/>
    <w:rsid w:val="00BC2814"/>
    <w:rsid w:val="00BC298D"/>
    <w:rsid w:val="00BC3062"/>
    <w:rsid w:val="00BC4087"/>
    <w:rsid w:val="00BC411A"/>
    <w:rsid w:val="00BC4812"/>
    <w:rsid w:val="00BC5731"/>
    <w:rsid w:val="00BC58D1"/>
    <w:rsid w:val="00BC5969"/>
    <w:rsid w:val="00BC6014"/>
    <w:rsid w:val="00BC6536"/>
    <w:rsid w:val="00BC65B6"/>
    <w:rsid w:val="00BC77F8"/>
    <w:rsid w:val="00BC79F4"/>
    <w:rsid w:val="00BD0E78"/>
    <w:rsid w:val="00BD34AC"/>
    <w:rsid w:val="00BD3E43"/>
    <w:rsid w:val="00BD4AAC"/>
    <w:rsid w:val="00BD7B47"/>
    <w:rsid w:val="00BD7DF2"/>
    <w:rsid w:val="00BE044C"/>
    <w:rsid w:val="00BE05EE"/>
    <w:rsid w:val="00BE0F96"/>
    <w:rsid w:val="00BE13E1"/>
    <w:rsid w:val="00BE1480"/>
    <w:rsid w:val="00BE158F"/>
    <w:rsid w:val="00BE1801"/>
    <w:rsid w:val="00BE25DE"/>
    <w:rsid w:val="00BE2726"/>
    <w:rsid w:val="00BE31E8"/>
    <w:rsid w:val="00BE375F"/>
    <w:rsid w:val="00BE3A4A"/>
    <w:rsid w:val="00BE3DF1"/>
    <w:rsid w:val="00BE412C"/>
    <w:rsid w:val="00BE4142"/>
    <w:rsid w:val="00BE471F"/>
    <w:rsid w:val="00BE4EBF"/>
    <w:rsid w:val="00BE59FB"/>
    <w:rsid w:val="00BE5A47"/>
    <w:rsid w:val="00BE5EEC"/>
    <w:rsid w:val="00BE6E4D"/>
    <w:rsid w:val="00BE73DF"/>
    <w:rsid w:val="00BE777B"/>
    <w:rsid w:val="00BF05C5"/>
    <w:rsid w:val="00BF06CC"/>
    <w:rsid w:val="00BF0A53"/>
    <w:rsid w:val="00BF0FC7"/>
    <w:rsid w:val="00BF1BF8"/>
    <w:rsid w:val="00BF2458"/>
    <w:rsid w:val="00BF2512"/>
    <w:rsid w:val="00BF2566"/>
    <w:rsid w:val="00BF2CA4"/>
    <w:rsid w:val="00BF35E5"/>
    <w:rsid w:val="00BF379C"/>
    <w:rsid w:val="00BF380D"/>
    <w:rsid w:val="00BF3FA5"/>
    <w:rsid w:val="00BF4544"/>
    <w:rsid w:val="00BF458D"/>
    <w:rsid w:val="00BF45AF"/>
    <w:rsid w:val="00BF46C9"/>
    <w:rsid w:val="00BF5555"/>
    <w:rsid w:val="00BF5746"/>
    <w:rsid w:val="00BF595E"/>
    <w:rsid w:val="00BF5A17"/>
    <w:rsid w:val="00BF5DA1"/>
    <w:rsid w:val="00BF623C"/>
    <w:rsid w:val="00BF63D1"/>
    <w:rsid w:val="00BF66F1"/>
    <w:rsid w:val="00BF6F93"/>
    <w:rsid w:val="00BF72AE"/>
    <w:rsid w:val="00BF730C"/>
    <w:rsid w:val="00BF7D03"/>
    <w:rsid w:val="00BF7DA1"/>
    <w:rsid w:val="00C0032A"/>
    <w:rsid w:val="00C00D41"/>
    <w:rsid w:val="00C0133C"/>
    <w:rsid w:val="00C018AF"/>
    <w:rsid w:val="00C02FF0"/>
    <w:rsid w:val="00C03C62"/>
    <w:rsid w:val="00C03FB3"/>
    <w:rsid w:val="00C048C2"/>
    <w:rsid w:val="00C04D1E"/>
    <w:rsid w:val="00C04F5A"/>
    <w:rsid w:val="00C0514C"/>
    <w:rsid w:val="00C05993"/>
    <w:rsid w:val="00C0617F"/>
    <w:rsid w:val="00C066C9"/>
    <w:rsid w:val="00C06B93"/>
    <w:rsid w:val="00C078A0"/>
    <w:rsid w:val="00C112FE"/>
    <w:rsid w:val="00C11847"/>
    <w:rsid w:val="00C122E9"/>
    <w:rsid w:val="00C1231E"/>
    <w:rsid w:val="00C138D9"/>
    <w:rsid w:val="00C13BE7"/>
    <w:rsid w:val="00C14887"/>
    <w:rsid w:val="00C15088"/>
    <w:rsid w:val="00C156BF"/>
    <w:rsid w:val="00C15867"/>
    <w:rsid w:val="00C15C81"/>
    <w:rsid w:val="00C15D4B"/>
    <w:rsid w:val="00C16331"/>
    <w:rsid w:val="00C16D10"/>
    <w:rsid w:val="00C1745B"/>
    <w:rsid w:val="00C174B9"/>
    <w:rsid w:val="00C20082"/>
    <w:rsid w:val="00C21936"/>
    <w:rsid w:val="00C21B39"/>
    <w:rsid w:val="00C21CAF"/>
    <w:rsid w:val="00C21D34"/>
    <w:rsid w:val="00C22195"/>
    <w:rsid w:val="00C22B3C"/>
    <w:rsid w:val="00C22CD9"/>
    <w:rsid w:val="00C23A3F"/>
    <w:rsid w:val="00C240DB"/>
    <w:rsid w:val="00C24741"/>
    <w:rsid w:val="00C24E12"/>
    <w:rsid w:val="00C24EB3"/>
    <w:rsid w:val="00C24FA3"/>
    <w:rsid w:val="00C258EB"/>
    <w:rsid w:val="00C25B3D"/>
    <w:rsid w:val="00C2647D"/>
    <w:rsid w:val="00C264F3"/>
    <w:rsid w:val="00C2770F"/>
    <w:rsid w:val="00C27E25"/>
    <w:rsid w:val="00C3031E"/>
    <w:rsid w:val="00C30842"/>
    <w:rsid w:val="00C3111A"/>
    <w:rsid w:val="00C3127E"/>
    <w:rsid w:val="00C31869"/>
    <w:rsid w:val="00C31B84"/>
    <w:rsid w:val="00C32210"/>
    <w:rsid w:val="00C329E3"/>
    <w:rsid w:val="00C33047"/>
    <w:rsid w:val="00C3433A"/>
    <w:rsid w:val="00C3475B"/>
    <w:rsid w:val="00C34A94"/>
    <w:rsid w:val="00C34C01"/>
    <w:rsid w:val="00C3503D"/>
    <w:rsid w:val="00C35058"/>
    <w:rsid w:val="00C35B54"/>
    <w:rsid w:val="00C35FE2"/>
    <w:rsid w:val="00C36942"/>
    <w:rsid w:val="00C36CA5"/>
    <w:rsid w:val="00C36DA4"/>
    <w:rsid w:val="00C3787F"/>
    <w:rsid w:val="00C4020C"/>
    <w:rsid w:val="00C41054"/>
    <w:rsid w:val="00C410D0"/>
    <w:rsid w:val="00C41AFE"/>
    <w:rsid w:val="00C41B0C"/>
    <w:rsid w:val="00C41D57"/>
    <w:rsid w:val="00C4215E"/>
    <w:rsid w:val="00C4228E"/>
    <w:rsid w:val="00C42B92"/>
    <w:rsid w:val="00C42C0B"/>
    <w:rsid w:val="00C42DF8"/>
    <w:rsid w:val="00C43287"/>
    <w:rsid w:val="00C4389D"/>
    <w:rsid w:val="00C43D96"/>
    <w:rsid w:val="00C444A1"/>
    <w:rsid w:val="00C44804"/>
    <w:rsid w:val="00C44870"/>
    <w:rsid w:val="00C44DD5"/>
    <w:rsid w:val="00C45089"/>
    <w:rsid w:val="00C45141"/>
    <w:rsid w:val="00C46548"/>
    <w:rsid w:val="00C47168"/>
    <w:rsid w:val="00C4760F"/>
    <w:rsid w:val="00C47E43"/>
    <w:rsid w:val="00C501EA"/>
    <w:rsid w:val="00C5050E"/>
    <w:rsid w:val="00C5053F"/>
    <w:rsid w:val="00C50710"/>
    <w:rsid w:val="00C51039"/>
    <w:rsid w:val="00C51688"/>
    <w:rsid w:val="00C5227D"/>
    <w:rsid w:val="00C524C3"/>
    <w:rsid w:val="00C52B1B"/>
    <w:rsid w:val="00C53C86"/>
    <w:rsid w:val="00C53F61"/>
    <w:rsid w:val="00C542D9"/>
    <w:rsid w:val="00C544DA"/>
    <w:rsid w:val="00C5465D"/>
    <w:rsid w:val="00C54CAF"/>
    <w:rsid w:val="00C55541"/>
    <w:rsid w:val="00C557BF"/>
    <w:rsid w:val="00C5588E"/>
    <w:rsid w:val="00C55A0D"/>
    <w:rsid w:val="00C55AA3"/>
    <w:rsid w:val="00C56118"/>
    <w:rsid w:val="00C5660A"/>
    <w:rsid w:val="00C56EA3"/>
    <w:rsid w:val="00C57021"/>
    <w:rsid w:val="00C570AE"/>
    <w:rsid w:val="00C57743"/>
    <w:rsid w:val="00C60BFE"/>
    <w:rsid w:val="00C60CE2"/>
    <w:rsid w:val="00C60E4A"/>
    <w:rsid w:val="00C61120"/>
    <w:rsid w:val="00C61C87"/>
    <w:rsid w:val="00C620E8"/>
    <w:rsid w:val="00C6354A"/>
    <w:rsid w:val="00C63831"/>
    <w:rsid w:val="00C64D06"/>
    <w:rsid w:val="00C6556C"/>
    <w:rsid w:val="00C65677"/>
    <w:rsid w:val="00C659B6"/>
    <w:rsid w:val="00C66297"/>
    <w:rsid w:val="00C6634E"/>
    <w:rsid w:val="00C66C76"/>
    <w:rsid w:val="00C6754C"/>
    <w:rsid w:val="00C67811"/>
    <w:rsid w:val="00C67908"/>
    <w:rsid w:val="00C67A06"/>
    <w:rsid w:val="00C67CFC"/>
    <w:rsid w:val="00C67E25"/>
    <w:rsid w:val="00C705D2"/>
    <w:rsid w:val="00C70E4A"/>
    <w:rsid w:val="00C714F6"/>
    <w:rsid w:val="00C716CC"/>
    <w:rsid w:val="00C7219A"/>
    <w:rsid w:val="00C724CE"/>
    <w:rsid w:val="00C72A46"/>
    <w:rsid w:val="00C74123"/>
    <w:rsid w:val="00C7466E"/>
    <w:rsid w:val="00C753C3"/>
    <w:rsid w:val="00C758EC"/>
    <w:rsid w:val="00C75B1C"/>
    <w:rsid w:val="00C75C70"/>
    <w:rsid w:val="00C761F0"/>
    <w:rsid w:val="00C76BC7"/>
    <w:rsid w:val="00C77926"/>
    <w:rsid w:val="00C8048D"/>
    <w:rsid w:val="00C8054F"/>
    <w:rsid w:val="00C81BEB"/>
    <w:rsid w:val="00C81D9A"/>
    <w:rsid w:val="00C81EF6"/>
    <w:rsid w:val="00C81F77"/>
    <w:rsid w:val="00C822F6"/>
    <w:rsid w:val="00C82479"/>
    <w:rsid w:val="00C8261B"/>
    <w:rsid w:val="00C83140"/>
    <w:rsid w:val="00C835D8"/>
    <w:rsid w:val="00C836F3"/>
    <w:rsid w:val="00C83873"/>
    <w:rsid w:val="00C83E8B"/>
    <w:rsid w:val="00C84BC0"/>
    <w:rsid w:val="00C84E04"/>
    <w:rsid w:val="00C85093"/>
    <w:rsid w:val="00C85362"/>
    <w:rsid w:val="00C855D2"/>
    <w:rsid w:val="00C86345"/>
    <w:rsid w:val="00C86428"/>
    <w:rsid w:val="00C8728E"/>
    <w:rsid w:val="00C872B6"/>
    <w:rsid w:val="00C87D63"/>
    <w:rsid w:val="00C901C5"/>
    <w:rsid w:val="00C9074D"/>
    <w:rsid w:val="00C90C25"/>
    <w:rsid w:val="00C9147E"/>
    <w:rsid w:val="00C914AE"/>
    <w:rsid w:val="00C9202A"/>
    <w:rsid w:val="00C92663"/>
    <w:rsid w:val="00C9275F"/>
    <w:rsid w:val="00C9287F"/>
    <w:rsid w:val="00C92AC0"/>
    <w:rsid w:val="00C93141"/>
    <w:rsid w:val="00C937D2"/>
    <w:rsid w:val="00C94549"/>
    <w:rsid w:val="00C94611"/>
    <w:rsid w:val="00C94896"/>
    <w:rsid w:val="00C95F27"/>
    <w:rsid w:val="00C96271"/>
    <w:rsid w:val="00C963B9"/>
    <w:rsid w:val="00C96AD4"/>
    <w:rsid w:val="00C96C47"/>
    <w:rsid w:val="00C973A8"/>
    <w:rsid w:val="00C97463"/>
    <w:rsid w:val="00C978DD"/>
    <w:rsid w:val="00CA0014"/>
    <w:rsid w:val="00CA07B7"/>
    <w:rsid w:val="00CA15B7"/>
    <w:rsid w:val="00CA20F9"/>
    <w:rsid w:val="00CA2647"/>
    <w:rsid w:val="00CA2773"/>
    <w:rsid w:val="00CA2AFC"/>
    <w:rsid w:val="00CA2F28"/>
    <w:rsid w:val="00CA370A"/>
    <w:rsid w:val="00CA3BF2"/>
    <w:rsid w:val="00CA3FB8"/>
    <w:rsid w:val="00CA40B8"/>
    <w:rsid w:val="00CA4137"/>
    <w:rsid w:val="00CA46CF"/>
    <w:rsid w:val="00CA48E9"/>
    <w:rsid w:val="00CA4E57"/>
    <w:rsid w:val="00CA52BA"/>
    <w:rsid w:val="00CA5C8F"/>
    <w:rsid w:val="00CA5DFA"/>
    <w:rsid w:val="00CA62DC"/>
    <w:rsid w:val="00CA6F1D"/>
    <w:rsid w:val="00CA780B"/>
    <w:rsid w:val="00CB05BD"/>
    <w:rsid w:val="00CB074C"/>
    <w:rsid w:val="00CB0805"/>
    <w:rsid w:val="00CB0BC6"/>
    <w:rsid w:val="00CB10E3"/>
    <w:rsid w:val="00CB1524"/>
    <w:rsid w:val="00CB199A"/>
    <w:rsid w:val="00CB247F"/>
    <w:rsid w:val="00CB275C"/>
    <w:rsid w:val="00CB3236"/>
    <w:rsid w:val="00CB324B"/>
    <w:rsid w:val="00CB32B8"/>
    <w:rsid w:val="00CB35F2"/>
    <w:rsid w:val="00CB3A2D"/>
    <w:rsid w:val="00CB3EE3"/>
    <w:rsid w:val="00CB4189"/>
    <w:rsid w:val="00CB41D9"/>
    <w:rsid w:val="00CB5084"/>
    <w:rsid w:val="00CB575B"/>
    <w:rsid w:val="00CB58E6"/>
    <w:rsid w:val="00CB641D"/>
    <w:rsid w:val="00CB6A10"/>
    <w:rsid w:val="00CB71D5"/>
    <w:rsid w:val="00CB73C9"/>
    <w:rsid w:val="00CB77AD"/>
    <w:rsid w:val="00CC00D7"/>
    <w:rsid w:val="00CC03D6"/>
    <w:rsid w:val="00CC0644"/>
    <w:rsid w:val="00CC07B7"/>
    <w:rsid w:val="00CC0D4A"/>
    <w:rsid w:val="00CC2E28"/>
    <w:rsid w:val="00CC3142"/>
    <w:rsid w:val="00CC32E8"/>
    <w:rsid w:val="00CC3531"/>
    <w:rsid w:val="00CC3809"/>
    <w:rsid w:val="00CC3D4B"/>
    <w:rsid w:val="00CC3DBC"/>
    <w:rsid w:val="00CC4355"/>
    <w:rsid w:val="00CC4C6D"/>
    <w:rsid w:val="00CC4D36"/>
    <w:rsid w:val="00CC4E16"/>
    <w:rsid w:val="00CC4E47"/>
    <w:rsid w:val="00CC5F22"/>
    <w:rsid w:val="00CC6548"/>
    <w:rsid w:val="00CC6637"/>
    <w:rsid w:val="00CC6A5A"/>
    <w:rsid w:val="00CC768C"/>
    <w:rsid w:val="00CC79C8"/>
    <w:rsid w:val="00CD0415"/>
    <w:rsid w:val="00CD0A9D"/>
    <w:rsid w:val="00CD1573"/>
    <w:rsid w:val="00CD27AB"/>
    <w:rsid w:val="00CD2B7A"/>
    <w:rsid w:val="00CD2FE1"/>
    <w:rsid w:val="00CD2FE3"/>
    <w:rsid w:val="00CD335C"/>
    <w:rsid w:val="00CD41DA"/>
    <w:rsid w:val="00CD432C"/>
    <w:rsid w:val="00CD47D5"/>
    <w:rsid w:val="00CD4979"/>
    <w:rsid w:val="00CD4F03"/>
    <w:rsid w:val="00CD5577"/>
    <w:rsid w:val="00CD574B"/>
    <w:rsid w:val="00CD60CD"/>
    <w:rsid w:val="00CD645A"/>
    <w:rsid w:val="00CD66CB"/>
    <w:rsid w:val="00CD6AD2"/>
    <w:rsid w:val="00CD6C44"/>
    <w:rsid w:val="00CD7494"/>
    <w:rsid w:val="00CD759D"/>
    <w:rsid w:val="00CD7C98"/>
    <w:rsid w:val="00CE0443"/>
    <w:rsid w:val="00CE04AD"/>
    <w:rsid w:val="00CE0525"/>
    <w:rsid w:val="00CE0600"/>
    <w:rsid w:val="00CE149A"/>
    <w:rsid w:val="00CE1B7A"/>
    <w:rsid w:val="00CE24D9"/>
    <w:rsid w:val="00CE28ED"/>
    <w:rsid w:val="00CE3D71"/>
    <w:rsid w:val="00CE4293"/>
    <w:rsid w:val="00CE496B"/>
    <w:rsid w:val="00CE49D1"/>
    <w:rsid w:val="00CE5C97"/>
    <w:rsid w:val="00CE62D6"/>
    <w:rsid w:val="00CE6DCB"/>
    <w:rsid w:val="00CE71F9"/>
    <w:rsid w:val="00CF0234"/>
    <w:rsid w:val="00CF03BF"/>
    <w:rsid w:val="00CF06E4"/>
    <w:rsid w:val="00CF09CB"/>
    <w:rsid w:val="00CF0B47"/>
    <w:rsid w:val="00CF1597"/>
    <w:rsid w:val="00CF22A2"/>
    <w:rsid w:val="00CF2871"/>
    <w:rsid w:val="00CF2AFA"/>
    <w:rsid w:val="00CF35F6"/>
    <w:rsid w:val="00CF3B62"/>
    <w:rsid w:val="00CF3C7C"/>
    <w:rsid w:val="00CF4D7F"/>
    <w:rsid w:val="00CF4F7A"/>
    <w:rsid w:val="00CF5BB7"/>
    <w:rsid w:val="00CF7325"/>
    <w:rsid w:val="00CF7912"/>
    <w:rsid w:val="00CF7B30"/>
    <w:rsid w:val="00D001E0"/>
    <w:rsid w:val="00D0057A"/>
    <w:rsid w:val="00D00642"/>
    <w:rsid w:val="00D0091C"/>
    <w:rsid w:val="00D01505"/>
    <w:rsid w:val="00D01B24"/>
    <w:rsid w:val="00D01D7E"/>
    <w:rsid w:val="00D02766"/>
    <w:rsid w:val="00D02B08"/>
    <w:rsid w:val="00D02EE3"/>
    <w:rsid w:val="00D037AC"/>
    <w:rsid w:val="00D05BE9"/>
    <w:rsid w:val="00D061B0"/>
    <w:rsid w:val="00D0630D"/>
    <w:rsid w:val="00D07040"/>
    <w:rsid w:val="00D071F3"/>
    <w:rsid w:val="00D075AE"/>
    <w:rsid w:val="00D0765C"/>
    <w:rsid w:val="00D07C14"/>
    <w:rsid w:val="00D103DE"/>
    <w:rsid w:val="00D1044C"/>
    <w:rsid w:val="00D1108E"/>
    <w:rsid w:val="00D11DDA"/>
    <w:rsid w:val="00D12675"/>
    <w:rsid w:val="00D12969"/>
    <w:rsid w:val="00D12E65"/>
    <w:rsid w:val="00D12F1D"/>
    <w:rsid w:val="00D139AC"/>
    <w:rsid w:val="00D139B2"/>
    <w:rsid w:val="00D13BD0"/>
    <w:rsid w:val="00D1463A"/>
    <w:rsid w:val="00D14802"/>
    <w:rsid w:val="00D14F6A"/>
    <w:rsid w:val="00D1525D"/>
    <w:rsid w:val="00D1531B"/>
    <w:rsid w:val="00D15D92"/>
    <w:rsid w:val="00D160CC"/>
    <w:rsid w:val="00D16251"/>
    <w:rsid w:val="00D162CA"/>
    <w:rsid w:val="00D16317"/>
    <w:rsid w:val="00D16CBE"/>
    <w:rsid w:val="00D17131"/>
    <w:rsid w:val="00D2084F"/>
    <w:rsid w:val="00D20E16"/>
    <w:rsid w:val="00D22C46"/>
    <w:rsid w:val="00D241E4"/>
    <w:rsid w:val="00D302EF"/>
    <w:rsid w:val="00D31191"/>
    <w:rsid w:val="00D311F3"/>
    <w:rsid w:val="00D31408"/>
    <w:rsid w:val="00D31728"/>
    <w:rsid w:val="00D32949"/>
    <w:rsid w:val="00D33FC9"/>
    <w:rsid w:val="00D3415E"/>
    <w:rsid w:val="00D34C11"/>
    <w:rsid w:val="00D35880"/>
    <w:rsid w:val="00D35971"/>
    <w:rsid w:val="00D35C47"/>
    <w:rsid w:val="00D35CDB"/>
    <w:rsid w:val="00D378CE"/>
    <w:rsid w:val="00D4004B"/>
    <w:rsid w:val="00D4047D"/>
    <w:rsid w:val="00D40AF9"/>
    <w:rsid w:val="00D40B9A"/>
    <w:rsid w:val="00D40DA8"/>
    <w:rsid w:val="00D40E79"/>
    <w:rsid w:val="00D416F7"/>
    <w:rsid w:val="00D416FA"/>
    <w:rsid w:val="00D42A9A"/>
    <w:rsid w:val="00D42F7B"/>
    <w:rsid w:val="00D4376C"/>
    <w:rsid w:val="00D43DC5"/>
    <w:rsid w:val="00D44354"/>
    <w:rsid w:val="00D4435E"/>
    <w:rsid w:val="00D445FE"/>
    <w:rsid w:val="00D44647"/>
    <w:rsid w:val="00D4481B"/>
    <w:rsid w:val="00D44C37"/>
    <w:rsid w:val="00D458D1"/>
    <w:rsid w:val="00D46739"/>
    <w:rsid w:val="00D4696B"/>
    <w:rsid w:val="00D46BBC"/>
    <w:rsid w:val="00D46E52"/>
    <w:rsid w:val="00D472B7"/>
    <w:rsid w:val="00D4779F"/>
    <w:rsid w:val="00D4799D"/>
    <w:rsid w:val="00D47ECD"/>
    <w:rsid w:val="00D50719"/>
    <w:rsid w:val="00D50F2C"/>
    <w:rsid w:val="00D51E5B"/>
    <w:rsid w:val="00D5205D"/>
    <w:rsid w:val="00D521C8"/>
    <w:rsid w:val="00D5243A"/>
    <w:rsid w:val="00D52713"/>
    <w:rsid w:val="00D527C6"/>
    <w:rsid w:val="00D53025"/>
    <w:rsid w:val="00D5328F"/>
    <w:rsid w:val="00D53621"/>
    <w:rsid w:val="00D538A9"/>
    <w:rsid w:val="00D53AAA"/>
    <w:rsid w:val="00D53B0F"/>
    <w:rsid w:val="00D5486E"/>
    <w:rsid w:val="00D548E8"/>
    <w:rsid w:val="00D549B8"/>
    <w:rsid w:val="00D54D09"/>
    <w:rsid w:val="00D54E1C"/>
    <w:rsid w:val="00D550E9"/>
    <w:rsid w:val="00D555CB"/>
    <w:rsid w:val="00D55F06"/>
    <w:rsid w:val="00D56F91"/>
    <w:rsid w:val="00D57004"/>
    <w:rsid w:val="00D5745B"/>
    <w:rsid w:val="00D57516"/>
    <w:rsid w:val="00D578D7"/>
    <w:rsid w:val="00D60057"/>
    <w:rsid w:val="00D602E5"/>
    <w:rsid w:val="00D60D89"/>
    <w:rsid w:val="00D61E31"/>
    <w:rsid w:val="00D62695"/>
    <w:rsid w:val="00D62CE9"/>
    <w:rsid w:val="00D63028"/>
    <w:rsid w:val="00D63F47"/>
    <w:rsid w:val="00D65D13"/>
    <w:rsid w:val="00D6663D"/>
    <w:rsid w:val="00D704ED"/>
    <w:rsid w:val="00D70853"/>
    <w:rsid w:val="00D70BC9"/>
    <w:rsid w:val="00D71482"/>
    <w:rsid w:val="00D717EC"/>
    <w:rsid w:val="00D71941"/>
    <w:rsid w:val="00D71B8C"/>
    <w:rsid w:val="00D71DB3"/>
    <w:rsid w:val="00D72659"/>
    <w:rsid w:val="00D729AB"/>
    <w:rsid w:val="00D72A50"/>
    <w:rsid w:val="00D72FA4"/>
    <w:rsid w:val="00D73576"/>
    <w:rsid w:val="00D73B26"/>
    <w:rsid w:val="00D74EFF"/>
    <w:rsid w:val="00D75282"/>
    <w:rsid w:val="00D753E1"/>
    <w:rsid w:val="00D7638F"/>
    <w:rsid w:val="00D7656A"/>
    <w:rsid w:val="00D766EB"/>
    <w:rsid w:val="00D76A30"/>
    <w:rsid w:val="00D76D78"/>
    <w:rsid w:val="00D7749B"/>
    <w:rsid w:val="00D77B0B"/>
    <w:rsid w:val="00D77D57"/>
    <w:rsid w:val="00D77F8D"/>
    <w:rsid w:val="00D80DC5"/>
    <w:rsid w:val="00D81A46"/>
    <w:rsid w:val="00D820C9"/>
    <w:rsid w:val="00D82644"/>
    <w:rsid w:val="00D82A57"/>
    <w:rsid w:val="00D8336A"/>
    <w:rsid w:val="00D833DE"/>
    <w:rsid w:val="00D83D38"/>
    <w:rsid w:val="00D83FB2"/>
    <w:rsid w:val="00D84DEE"/>
    <w:rsid w:val="00D8514B"/>
    <w:rsid w:val="00D851BD"/>
    <w:rsid w:val="00D8565C"/>
    <w:rsid w:val="00D858CA"/>
    <w:rsid w:val="00D86F06"/>
    <w:rsid w:val="00D870CC"/>
    <w:rsid w:val="00D87418"/>
    <w:rsid w:val="00D87500"/>
    <w:rsid w:val="00D875A0"/>
    <w:rsid w:val="00D87FE5"/>
    <w:rsid w:val="00D90BF4"/>
    <w:rsid w:val="00D90E9F"/>
    <w:rsid w:val="00D9134E"/>
    <w:rsid w:val="00D9212C"/>
    <w:rsid w:val="00D922F2"/>
    <w:rsid w:val="00D92398"/>
    <w:rsid w:val="00D92551"/>
    <w:rsid w:val="00D92C35"/>
    <w:rsid w:val="00D93364"/>
    <w:rsid w:val="00D93C0E"/>
    <w:rsid w:val="00D93F9C"/>
    <w:rsid w:val="00D945C5"/>
    <w:rsid w:val="00D948BB"/>
    <w:rsid w:val="00D95593"/>
    <w:rsid w:val="00D95631"/>
    <w:rsid w:val="00D95C66"/>
    <w:rsid w:val="00D96091"/>
    <w:rsid w:val="00D96106"/>
    <w:rsid w:val="00D9614F"/>
    <w:rsid w:val="00D964F1"/>
    <w:rsid w:val="00D97077"/>
    <w:rsid w:val="00D9719F"/>
    <w:rsid w:val="00D977AE"/>
    <w:rsid w:val="00D97A80"/>
    <w:rsid w:val="00D97C87"/>
    <w:rsid w:val="00D97D85"/>
    <w:rsid w:val="00D97DEB"/>
    <w:rsid w:val="00DA265A"/>
    <w:rsid w:val="00DA268A"/>
    <w:rsid w:val="00DA2FA4"/>
    <w:rsid w:val="00DA347D"/>
    <w:rsid w:val="00DA3AE6"/>
    <w:rsid w:val="00DA3D5D"/>
    <w:rsid w:val="00DA40CF"/>
    <w:rsid w:val="00DA4193"/>
    <w:rsid w:val="00DA4483"/>
    <w:rsid w:val="00DA5217"/>
    <w:rsid w:val="00DA554E"/>
    <w:rsid w:val="00DA65B3"/>
    <w:rsid w:val="00DA708A"/>
    <w:rsid w:val="00DB0441"/>
    <w:rsid w:val="00DB0635"/>
    <w:rsid w:val="00DB20B7"/>
    <w:rsid w:val="00DB26A6"/>
    <w:rsid w:val="00DB3F97"/>
    <w:rsid w:val="00DB47E0"/>
    <w:rsid w:val="00DB4845"/>
    <w:rsid w:val="00DB4855"/>
    <w:rsid w:val="00DB4934"/>
    <w:rsid w:val="00DB51F9"/>
    <w:rsid w:val="00DB5255"/>
    <w:rsid w:val="00DB60D3"/>
    <w:rsid w:val="00DB6230"/>
    <w:rsid w:val="00DB638A"/>
    <w:rsid w:val="00DB64D5"/>
    <w:rsid w:val="00DB6977"/>
    <w:rsid w:val="00DB701F"/>
    <w:rsid w:val="00DB76E3"/>
    <w:rsid w:val="00DB78A2"/>
    <w:rsid w:val="00DB7A4F"/>
    <w:rsid w:val="00DC0994"/>
    <w:rsid w:val="00DC0CA1"/>
    <w:rsid w:val="00DC189C"/>
    <w:rsid w:val="00DC1D1A"/>
    <w:rsid w:val="00DC1DDF"/>
    <w:rsid w:val="00DC1F05"/>
    <w:rsid w:val="00DC2011"/>
    <w:rsid w:val="00DC2A27"/>
    <w:rsid w:val="00DC2DF9"/>
    <w:rsid w:val="00DC3072"/>
    <w:rsid w:val="00DC3E65"/>
    <w:rsid w:val="00DC57CD"/>
    <w:rsid w:val="00DC5B33"/>
    <w:rsid w:val="00DC69CF"/>
    <w:rsid w:val="00DC6FC4"/>
    <w:rsid w:val="00DC79C1"/>
    <w:rsid w:val="00DC7FBB"/>
    <w:rsid w:val="00DD0CBA"/>
    <w:rsid w:val="00DD1A6E"/>
    <w:rsid w:val="00DD1A84"/>
    <w:rsid w:val="00DD1F63"/>
    <w:rsid w:val="00DD1FBB"/>
    <w:rsid w:val="00DD1FD2"/>
    <w:rsid w:val="00DD2176"/>
    <w:rsid w:val="00DD22AA"/>
    <w:rsid w:val="00DD29A9"/>
    <w:rsid w:val="00DD2AE4"/>
    <w:rsid w:val="00DD2BB5"/>
    <w:rsid w:val="00DD2F80"/>
    <w:rsid w:val="00DD338F"/>
    <w:rsid w:val="00DD33D3"/>
    <w:rsid w:val="00DD3A89"/>
    <w:rsid w:val="00DD3B12"/>
    <w:rsid w:val="00DD42D3"/>
    <w:rsid w:val="00DD4E64"/>
    <w:rsid w:val="00DD5B77"/>
    <w:rsid w:val="00DD61B2"/>
    <w:rsid w:val="00DD6360"/>
    <w:rsid w:val="00DD6CB0"/>
    <w:rsid w:val="00DD6F9C"/>
    <w:rsid w:val="00DD7578"/>
    <w:rsid w:val="00DD7763"/>
    <w:rsid w:val="00DD79E2"/>
    <w:rsid w:val="00DE05A1"/>
    <w:rsid w:val="00DE0825"/>
    <w:rsid w:val="00DE0929"/>
    <w:rsid w:val="00DE1520"/>
    <w:rsid w:val="00DE1740"/>
    <w:rsid w:val="00DE1F71"/>
    <w:rsid w:val="00DE2697"/>
    <w:rsid w:val="00DE2719"/>
    <w:rsid w:val="00DE29D4"/>
    <w:rsid w:val="00DE2FB4"/>
    <w:rsid w:val="00DE3699"/>
    <w:rsid w:val="00DE3B83"/>
    <w:rsid w:val="00DE4912"/>
    <w:rsid w:val="00DE4EB5"/>
    <w:rsid w:val="00DE5BE4"/>
    <w:rsid w:val="00DE71B4"/>
    <w:rsid w:val="00DE77C4"/>
    <w:rsid w:val="00DF0462"/>
    <w:rsid w:val="00DF07DF"/>
    <w:rsid w:val="00DF07F7"/>
    <w:rsid w:val="00DF09EB"/>
    <w:rsid w:val="00DF09FB"/>
    <w:rsid w:val="00DF0F95"/>
    <w:rsid w:val="00DF2A8E"/>
    <w:rsid w:val="00DF3202"/>
    <w:rsid w:val="00DF3F6D"/>
    <w:rsid w:val="00DF3F9A"/>
    <w:rsid w:val="00DF44A9"/>
    <w:rsid w:val="00DF4B03"/>
    <w:rsid w:val="00DF4B7A"/>
    <w:rsid w:val="00DF5199"/>
    <w:rsid w:val="00DF51CB"/>
    <w:rsid w:val="00DF57F1"/>
    <w:rsid w:val="00DF59C9"/>
    <w:rsid w:val="00DF5A4E"/>
    <w:rsid w:val="00DF5BCF"/>
    <w:rsid w:val="00DF6975"/>
    <w:rsid w:val="00DF6A28"/>
    <w:rsid w:val="00DF7679"/>
    <w:rsid w:val="00DF7847"/>
    <w:rsid w:val="00DF788D"/>
    <w:rsid w:val="00E01950"/>
    <w:rsid w:val="00E026AF"/>
    <w:rsid w:val="00E02F28"/>
    <w:rsid w:val="00E03268"/>
    <w:rsid w:val="00E047D7"/>
    <w:rsid w:val="00E04D6E"/>
    <w:rsid w:val="00E0568D"/>
    <w:rsid w:val="00E0584F"/>
    <w:rsid w:val="00E0598A"/>
    <w:rsid w:val="00E05BEE"/>
    <w:rsid w:val="00E05E66"/>
    <w:rsid w:val="00E06370"/>
    <w:rsid w:val="00E07387"/>
    <w:rsid w:val="00E073B5"/>
    <w:rsid w:val="00E07BF0"/>
    <w:rsid w:val="00E10486"/>
    <w:rsid w:val="00E10B44"/>
    <w:rsid w:val="00E10CAE"/>
    <w:rsid w:val="00E112CB"/>
    <w:rsid w:val="00E11C66"/>
    <w:rsid w:val="00E11C69"/>
    <w:rsid w:val="00E1265C"/>
    <w:rsid w:val="00E12C30"/>
    <w:rsid w:val="00E14296"/>
    <w:rsid w:val="00E151DE"/>
    <w:rsid w:val="00E15D8E"/>
    <w:rsid w:val="00E15F35"/>
    <w:rsid w:val="00E16805"/>
    <w:rsid w:val="00E16A91"/>
    <w:rsid w:val="00E16E34"/>
    <w:rsid w:val="00E171B8"/>
    <w:rsid w:val="00E17321"/>
    <w:rsid w:val="00E1739A"/>
    <w:rsid w:val="00E17627"/>
    <w:rsid w:val="00E17872"/>
    <w:rsid w:val="00E20561"/>
    <w:rsid w:val="00E20609"/>
    <w:rsid w:val="00E20653"/>
    <w:rsid w:val="00E206CC"/>
    <w:rsid w:val="00E206EA"/>
    <w:rsid w:val="00E207FA"/>
    <w:rsid w:val="00E21E0D"/>
    <w:rsid w:val="00E223B2"/>
    <w:rsid w:val="00E22934"/>
    <w:rsid w:val="00E22C55"/>
    <w:rsid w:val="00E23041"/>
    <w:rsid w:val="00E23BEC"/>
    <w:rsid w:val="00E2405A"/>
    <w:rsid w:val="00E240CA"/>
    <w:rsid w:val="00E24A07"/>
    <w:rsid w:val="00E24B30"/>
    <w:rsid w:val="00E24E62"/>
    <w:rsid w:val="00E253E8"/>
    <w:rsid w:val="00E25B71"/>
    <w:rsid w:val="00E26318"/>
    <w:rsid w:val="00E2684D"/>
    <w:rsid w:val="00E268E6"/>
    <w:rsid w:val="00E26CFF"/>
    <w:rsid w:val="00E270F6"/>
    <w:rsid w:val="00E274A9"/>
    <w:rsid w:val="00E27AEF"/>
    <w:rsid w:val="00E27DC6"/>
    <w:rsid w:val="00E300FC"/>
    <w:rsid w:val="00E307EF"/>
    <w:rsid w:val="00E3096B"/>
    <w:rsid w:val="00E30B68"/>
    <w:rsid w:val="00E315FE"/>
    <w:rsid w:val="00E31C18"/>
    <w:rsid w:val="00E32202"/>
    <w:rsid w:val="00E32559"/>
    <w:rsid w:val="00E327B5"/>
    <w:rsid w:val="00E32EBE"/>
    <w:rsid w:val="00E3346A"/>
    <w:rsid w:val="00E33611"/>
    <w:rsid w:val="00E33843"/>
    <w:rsid w:val="00E3388C"/>
    <w:rsid w:val="00E343B6"/>
    <w:rsid w:val="00E35613"/>
    <w:rsid w:val="00E35B2E"/>
    <w:rsid w:val="00E36B5B"/>
    <w:rsid w:val="00E36BB6"/>
    <w:rsid w:val="00E36D81"/>
    <w:rsid w:val="00E373E0"/>
    <w:rsid w:val="00E37489"/>
    <w:rsid w:val="00E37CF9"/>
    <w:rsid w:val="00E37F1C"/>
    <w:rsid w:val="00E40384"/>
    <w:rsid w:val="00E40C21"/>
    <w:rsid w:val="00E41427"/>
    <w:rsid w:val="00E4150B"/>
    <w:rsid w:val="00E423D8"/>
    <w:rsid w:val="00E42582"/>
    <w:rsid w:val="00E4312B"/>
    <w:rsid w:val="00E4367F"/>
    <w:rsid w:val="00E43BA8"/>
    <w:rsid w:val="00E445C1"/>
    <w:rsid w:val="00E4490B"/>
    <w:rsid w:val="00E44B61"/>
    <w:rsid w:val="00E44C05"/>
    <w:rsid w:val="00E4522A"/>
    <w:rsid w:val="00E4594C"/>
    <w:rsid w:val="00E47721"/>
    <w:rsid w:val="00E478F8"/>
    <w:rsid w:val="00E47B32"/>
    <w:rsid w:val="00E47E15"/>
    <w:rsid w:val="00E47FF7"/>
    <w:rsid w:val="00E512E4"/>
    <w:rsid w:val="00E51E7A"/>
    <w:rsid w:val="00E52C75"/>
    <w:rsid w:val="00E536DE"/>
    <w:rsid w:val="00E53C1F"/>
    <w:rsid w:val="00E53F00"/>
    <w:rsid w:val="00E5436D"/>
    <w:rsid w:val="00E54AF2"/>
    <w:rsid w:val="00E55476"/>
    <w:rsid w:val="00E5626D"/>
    <w:rsid w:val="00E564B9"/>
    <w:rsid w:val="00E569A7"/>
    <w:rsid w:val="00E57513"/>
    <w:rsid w:val="00E57D34"/>
    <w:rsid w:val="00E614DC"/>
    <w:rsid w:val="00E61E91"/>
    <w:rsid w:val="00E620E3"/>
    <w:rsid w:val="00E622A0"/>
    <w:rsid w:val="00E62417"/>
    <w:rsid w:val="00E626B8"/>
    <w:rsid w:val="00E6275F"/>
    <w:rsid w:val="00E62DDF"/>
    <w:rsid w:val="00E62F11"/>
    <w:rsid w:val="00E63F64"/>
    <w:rsid w:val="00E6484D"/>
    <w:rsid w:val="00E64A8A"/>
    <w:rsid w:val="00E64FF4"/>
    <w:rsid w:val="00E64FFE"/>
    <w:rsid w:val="00E6520E"/>
    <w:rsid w:val="00E65AD4"/>
    <w:rsid w:val="00E65AF8"/>
    <w:rsid w:val="00E66470"/>
    <w:rsid w:val="00E66B47"/>
    <w:rsid w:val="00E66CCF"/>
    <w:rsid w:val="00E66E53"/>
    <w:rsid w:val="00E67DF4"/>
    <w:rsid w:val="00E67F62"/>
    <w:rsid w:val="00E70144"/>
    <w:rsid w:val="00E702AC"/>
    <w:rsid w:val="00E70440"/>
    <w:rsid w:val="00E705B1"/>
    <w:rsid w:val="00E70871"/>
    <w:rsid w:val="00E70997"/>
    <w:rsid w:val="00E70BF5"/>
    <w:rsid w:val="00E70E7E"/>
    <w:rsid w:val="00E71574"/>
    <w:rsid w:val="00E71DC0"/>
    <w:rsid w:val="00E71EAE"/>
    <w:rsid w:val="00E73466"/>
    <w:rsid w:val="00E73648"/>
    <w:rsid w:val="00E73F71"/>
    <w:rsid w:val="00E74695"/>
    <w:rsid w:val="00E7571E"/>
    <w:rsid w:val="00E76DDE"/>
    <w:rsid w:val="00E77084"/>
    <w:rsid w:val="00E7765B"/>
    <w:rsid w:val="00E776BF"/>
    <w:rsid w:val="00E776F0"/>
    <w:rsid w:val="00E80061"/>
    <w:rsid w:val="00E800C5"/>
    <w:rsid w:val="00E8083A"/>
    <w:rsid w:val="00E8089F"/>
    <w:rsid w:val="00E8107A"/>
    <w:rsid w:val="00E813F3"/>
    <w:rsid w:val="00E819E2"/>
    <w:rsid w:val="00E81C63"/>
    <w:rsid w:val="00E81DC8"/>
    <w:rsid w:val="00E81DD4"/>
    <w:rsid w:val="00E82846"/>
    <w:rsid w:val="00E8309D"/>
    <w:rsid w:val="00E83364"/>
    <w:rsid w:val="00E835E9"/>
    <w:rsid w:val="00E8383D"/>
    <w:rsid w:val="00E83FE3"/>
    <w:rsid w:val="00E8439F"/>
    <w:rsid w:val="00E848A5"/>
    <w:rsid w:val="00E8512E"/>
    <w:rsid w:val="00E854ED"/>
    <w:rsid w:val="00E85E92"/>
    <w:rsid w:val="00E863F3"/>
    <w:rsid w:val="00E86FA7"/>
    <w:rsid w:val="00E87C75"/>
    <w:rsid w:val="00E9067A"/>
    <w:rsid w:val="00E90E07"/>
    <w:rsid w:val="00E914EA"/>
    <w:rsid w:val="00E91A82"/>
    <w:rsid w:val="00E91F11"/>
    <w:rsid w:val="00E92359"/>
    <w:rsid w:val="00E930E0"/>
    <w:rsid w:val="00E935E2"/>
    <w:rsid w:val="00E93C85"/>
    <w:rsid w:val="00E93FBF"/>
    <w:rsid w:val="00E94062"/>
    <w:rsid w:val="00E941EA"/>
    <w:rsid w:val="00E9427B"/>
    <w:rsid w:val="00E94DFE"/>
    <w:rsid w:val="00E95B2D"/>
    <w:rsid w:val="00E9637D"/>
    <w:rsid w:val="00E96E8E"/>
    <w:rsid w:val="00E972EA"/>
    <w:rsid w:val="00EA10C8"/>
    <w:rsid w:val="00EA18AF"/>
    <w:rsid w:val="00EA1D1C"/>
    <w:rsid w:val="00EA4441"/>
    <w:rsid w:val="00EA4766"/>
    <w:rsid w:val="00EA4BB2"/>
    <w:rsid w:val="00EA4DCD"/>
    <w:rsid w:val="00EA4E24"/>
    <w:rsid w:val="00EA4FC4"/>
    <w:rsid w:val="00EA53D7"/>
    <w:rsid w:val="00EA61D2"/>
    <w:rsid w:val="00EA687C"/>
    <w:rsid w:val="00EA695C"/>
    <w:rsid w:val="00EA6BBF"/>
    <w:rsid w:val="00EA76D1"/>
    <w:rsid w:val="00EB06C9"/>
    <w:rsid w:val="00EB0F72"/>
    <w:rsid w:val="00EB10BD"/>
    <w:rsid w:val="00EB2479"/>
    <w:rsid w:val="00EB2991"/>
    <w:rsid w:val="00EB2BF5"/>
    <w:rsid w:val="00EB3C1C"/>
    <w:rsid w:val="00EB3C7D"/>
    <w:rsid w:val="00EB4186"/>
    <w:rsid w:val="00EB4460"/>
    <w:rsid w:val="00EB4598"/>
    <w:rsid w:val="00EB4964"/>
    <w:rsid w:val="00EB5BF8"/>
    <w:rsid w:val="00EB7292"/>
    <w:rsid w:val="00EB73FD"/>
    <w:rsid w:val="00EC0366"/>
    <w:rsid w:val="00EC09CA"/>
    <w:rsid w:val="00EC13C9"/>
    <w:rsid w:val="00EC1FB4"/>
    <w:rsid w:val="00EC24C2"/>
    <w:rsid w:val="00EC2762"/>
    <w:rsid w:val="00EC2AA1"/>
    <w:rsid w:val="00EC3093"/>
    <w:rsid w:val="00EC38D7"/>
    <w:rsid w:val="00EC3CA5"/>
    <w:rsid w:val="00EC5088"/>
    <w:rsid w:val="00EC58AF"/>
    <w:rsid w:val="00EC6192"/>
    <w:rsid w:val="00EC61BC"/>
    <w:rsid w:val="00EC6A5B"/>
    <w:rsid w:val="00EC6C32"/>
    <w:rsid w:val="00EC6D2A"/>
    <w:rsid w:val="00EC6F00"/>
    <w:rsid w:val="00EC7681"/>
    <w:rsid w:val="00EC76FB"/>
    <w:rsid w:val="00EC795E"/>
    <w:rsid w:val="00EC7B96"/>
    <w:rsid w:val="00EC7F1E"/>
    <w:rsid w:val="00ED0587"/>
    <w:rsid w:val="00ED05A3"/>
    <w:rsid w:val="00ED0D78"/>
    <w:rsid w:val="00ED2438"/>
    <w:rsid w:val="00ED2F3C"/>
    <w:rsid w:val="00ED2F99"/>
    <w:rsid w:val="00ED2FF5"/>
    <w:rsid w:val="00ED32E6"/>
    <w:rsid w:val="00ED3E30"/>
    <w:rsid w:val="00ED4CBE"/>
    <w:rsid w:val="00ED4F33"/>
    <w:rsid w:val="00ED5C0C"/>
    <w:rsid w:val="00ED6453"/>
    <w:rsid w:val="00ED6837"/>
    <w:rsid w:val="00EE0C81"/>
    <w:rsid w:val="00EE0FDE"/>
    <w:rsid w:val="00EE16D9"/>
    <w:rsid w:val="00EE26D4"/>
    <w:rsid w:val="00EE2F3E"/>
    <w:rsid w:val="00EE34E3"/>
    <w:rsid w:val="00EE3D38"/>
    <w:rsid w:val="00EE43F0"/>
    <w:rsid w:val="00EE4F7A"/>
    <w:rsid w:val="00EE5B52"/>
    <w:rsid w:val="00EE5B9D"/>
    <w:rsid w:val="00EE6CF4"/>
    <w:rsid w:val="00EF0A5B"/>
    <w:rsid w:val="00EF1D04"/>
    <w:rsid w:val="00EF220B"/>
    <w:rsid w:val="00EF24DE"/>
    <w:rsid w:val="00EF2E20"/>
    <w:rsid w:val="00EF3036"/>
    <w:rsid w:val="00EF3C6C"/>
    <w:rsid w:val="00EF3EC0"/>
    <w:rsid w:val="00EF47D9"/>
    <w:rsid w:val="00EF4A5D"/>
    <w:rsid w:val="00EF4D02"/>
    <w:rsid w:val="00EF5428"/>
    <w:rsid w:val="00EF608D"/>
    <w:rsid w:val="00EF644F"/>
    <w:rsid w:val="00EF645A"/>
    <w:rsid w:val="00EF6B1E"/>
    <w:rsid w:val="00EF778D"/>
    <w:rsid w:val="00EF7ABB"/>
    <w:rsid w:val="00EF7B22"/>
    <w:rsid w:val="00EF7FF8"/>
    <w:rsid w:val="00F003FE"/>
    <w:rsid w:val="00F00B34"/>
    <w:rsid w:val="00F00DF2"/>
    <w:rsid w:val="00F010D3"/>
    <w:rsid w:val="00F01AB6"/>
    <w:rsid w:val="00F01B7C"/>
    <w:rsid w:val="00F01D7A"/>
    <w:rsid w:val="00F0214B"/>
    <w:rsid w:val="00F021F2"/>
    <w:rsid w:val="00F02C2D"/>
    <w:rsid w:val="00F03330"/>
    <w:rsid w:val="00F034A5"/>
    <w:rsid w:val="00F03E86"/>
    <w:rsid w:val="00F04718"/>
    <w:rsid w:val="00F04BD9"/>
    <w:rsid w:val="00F05327"/>
    <w:rsid w:val="00F07CEB"/>
    <w:rsid w:val="00F07DFB"/>
    <w:rsid w:val="00F10243"/>
    <w:rsid w:val="00F10338"/>
    <w:rsid w:val="00F10390"/>
    <w:rsid w:val="00F10B10"/>
    <w:rsid w:val="00F1105F"/>
    <w:rsid w:val="00F116E5"/>
    <w:rsid w:val="00F118EA"/>
    <w:rsid w:val="00F119CD"/>
    <w:rsid w:val="00F11A2F"/>
    <w:rsid w:val="00F11F0A"/>
    <w:rsid w:val="00F126A8"/>
    <w:rsid w:val="00F13397"/>
    <w:rsid w:val="00F13889"/>
    <w:rsid w:val="00F13A76"/>
    <w:rsid w:val="00F14949"/>
    <w:rsid w:val="00F1512C"/>
    <w:rsid w:val="00F15583"/>
    <w:rsid w:val="00F159B3"/>
    <w:rsid w:val="00F15EE2"/>
    <w:rsid w:val="00F15F48"/>
    <w:rsid w:val="00F16218"/>
    <w:rsid w:val="00F162CB"/>
    <w:rsid w:val="00F16400"/>
    <w:rsid w:val="00F16738"/>
    <w:rsid w:val="00F16C29"/>
    <w:rsid w:val="00F1731D"/>
    <w:rsid w:val="00F173AF"/>
    <w:rsid w:val="00F17610"/>
    <w:rsid w:val="00F17727"/>
    <w:rsid w:val="00F200C2"/>
    <w:rsid w:val="00F20432"/>
    <w:rsid w:val="00F2047D"/>
    <w:rsid w:val="00F2105F"/>
    <w:rsid w:val="00F227EF"/>
    <w:rsid w:val="00F22B5A"/>
    <w:rsid w:val="00F22B9A"/>
    <w:rsid w:val="00F22EE2"/>
    <w:rsid w:val="00F23158"/>
    <w:rsid w:val="00F239AC"/>
    <w:rsid w:val="00F23D25"/>
    <w:rsid w:val="00F2455E"/>
    <w:rsid w:val="00F25234"/>
    <w:rsid w:val="00F259B2"/>
    <w:rsid w:val="00F25C23"/>
    <w:rsid w:val="00F25F32"/>
    <w:rsid w:val="00F26502"/>
    <w:rsid w:val="00F267A1"/>
    <w:rsid w:val="00F26C71"/>
    <w:rsid w:val="00F26EDC"/>
    <w:rsid w:val="00F26F75"/>
    <w:rsid w:val="00F27650"/>
    <w:rsid w:val="00F27CB8"/>
    <w:rsid w:val="00F27EF1"/>
    <w:rsid w:val="00F30077"/>
    <w:rsid w:val="00F306B2"/>
    <w:rsid w:val="00F3077E"/>
    <w:rsid w:val="00F30AD8"/>
    <w:rsid w:val="00F315D7"/>
    <w:rsid w:val="00F3240E"/>
    <w:rsid w:val="00F32420"/>
    <w:rsid w:val="00F32A77"/>
    <w:rsid w:val="00F32FBD"/>
    <w:rsid w:val="00F3346F"/>
    <w:rsid w:val="00F33687"/>
    <w:rsid w:val="00F34032"/>
    <w:rsid w:val="00F3451E"/>
    <w:rsid w:val="00F34DA2"/>
    <w:rsid w:val="00F35B0C"/>
    <w:rsid w:val="00F35C43"/>
    <w:rsid w:val="00F35D0E"/>
    <w:rsid w:val="00F35ECC"/>
    <w:rsid w:val="00F360F5"/>
    <w:rsid w:val="00F363A1"/>
    <w:rsid w:val="00F36AA9"/>
    <w:rsid w:val="00F37F8B"/>
    <w:rsid w:val="00F40013"/>
    <w:rsid w:val="00F4011B"/>
    <w:rsid w:val="00F418A0"/>
    <w:rsid w:val="00F4221A"/>
    <w:rsid w:val="00F42298"/>
    <w:rsid w:val="00F423CD"/>
    <w:rsid w:val="00F423EB"/>
    <w:rsid w:val="00F42EC9"/>
    <w:rsid w:val="00F436A6"/>
    <w:rsid w:val="00F43A45"/>
    <w:rsid w:val="00F43EBE"/>
    <w:rsid w:val="00F44088"/>
    <w:rsid w:val="00F4444C"/>
    <w:rsid w:val="00F44B73"/>
    <w:rsid w:val="00F4509E"/>
    <w:rsid w:val="00F455A8"/>
    <w:rsid w:val="00F4596C"/>
    <w:rsid w:val="00F45C1C"/>
    <w:rsid w:val="00F45C7D"/>
    <w:rsid w:val="00F46FC9"/>
    <w:rsid w:val="00F4776C"/>
    <w:rsid w:val="00F47851"/>
    <w:rsid w:val="00F4792E"/>
    <w:rsid w:val="00F47CF2"/>
    <w:rsid w:val="00F50062"/>
    <w:rsid w:val="00F50311"/>
    <w:rsid w:val="00F5096C"/>
    <w:rsid w:val="00F50C15"/>
    <w:rsid w:val="00F51297"/>
    <w:rsid w:val="00F518D6"/>
    <w:rsid w:val="00F51A8F"/>
    <w:rsid w:val="00F51C4B"/>
    <w:rsid w:val="00F52039"/>
    <w:rsid w:val="00F526A2"/>
    <w:rsid w:val="00F52923"/>
    <w:rsid w:val="00F52997"/>
    <w:rsid w:val="00F53385"/>
    <w:rsid w:val="00F538AD"/>
    <w:rsid w:val="00F54393"/>
    <w:rsid w:val="00F54C7F"/>
    <w:rsid w:val="00F5532E"/>
    <w:rsid w:val="00F55368"/>
    <w:rsid w:val="00F5595C"/>
    <w:rsid w:val="00F5659D"/>
    <w:rsid w:val="00F566D6"/>
    <w:rsid w:val="00F5761C"/>
    <w:rsid w:val="00F601AE"/>
    <w:rsid w:val="00F6038F"/>
    <w:rsid w:val="00F603F8"/>
    <w:rsid w:val="00F604AE"/>
    <w:rsid w:val="00F6092E"/>
    <w:rsid w:val="00F60D24"/>
    <w:rsid w:val="00F60D9E"/>
    <w:rsid w:val="00F61ADC"/>
    <w:rsid w:val="00F61CEF"/>
    <w:rsid w:val="00F621DB"/>
    <w:rsid w:val="00F62351"/>
    <w:rsid w:val="00F623D0"/>
    <w:rsid w:val="00F6280F"/>
    <w:rsid w:val="00F62DE2"/>
    <w:rsid w:val="00F62DEF"/>
    <w:rsid w:val="00F63980"/>
    <w:rsid w:val="00F63BB4"/>
    <w:rsid w:val="00F63DD8"/>
    <w:rsid w:val="00F63DF8"/>
    <w:rsid w:val="00F6511F"/>
    <w:rsid w:val="00F6545B"/>
    <w:rsid w:val="00F6552B"/>
    <w:rsid w:val="00F6576E"/>
    <w:rsid w:val="00F66536"/>
    <w:rsid w:val="00F66833"/>
    <w:rsid w:val="00F679F8"/>
    <w:rsid w:val="00F67CCC"/>
    <w:rsid w:val="00F67E31"/>
    <w:rsid w:val="00F67F8C"/>
    <w:rsid w:val="00F7012D"/>
    <w:rsid w:val="00F705E5"/>
    <w:rsid w:val="00F71133"/>
    <w:rsid w:val="00F711B9"/>
    <w:rsid w:val="00F716CA"/>
    <w:rsid w:val="00F716CE"/>
    <w:rsid w:val="00F72ACD"/>
    <w:rsid w:val="00F72B78"/>
    <w:rsid w:val="00F72DB3"/>
    <w:rsid w:val="00F73829"/>
    <w:rsid w:val="00F73A98"/>
    <w:rsid w:val="00F7463C"/>
    <w:rsid w:val="00F74DB0"/>
    <w:rsid w:val="00F75DC7"/>
    <w:rsid w:val="00F763D5"/>
    <w:rsid w:val="00F768D1"/>
    <w:rsid w:val="00F76DE6"/>
    <w:rsid w:val="00F77309"/>
    <w:rsid w:val="00F80341"/>
    <w:rsid w:val="00F80AAE"/>
    <w:rsid w:val="00F81586"/>
    <w:rsid w:val="00F81E6B"/>
    <w:rsid w:val="00F82BBC"/>
    <w:rsid w:val="00F82CF3"/>
    <w:rsid w:val="00F844BA"/>
    <w:rsid w:val="00F84B2E"/>
    <w:rsid w:val="00F84B46"/>
    <w:rsid w:val="00F84F9E"/>
    <w:rsid w:val="00F85642"/>
    <w:rsid w:val="00F876B9"/>
    <w:rsid w:val="00F90587"/>
    <w:rsid w:val="00F905B8"/>
    <w:rsid w:val="00F910F1"/>
    <w:rsid w:val="00F91F6A"/>
    <w:rsid w:val="00F930D0"/>
    <w:rsid w:val="00F9348E"/>
    <w:rsid w:val="00F9447E"/>
    <w:rsid w:val="00F94BB7"/>
    <w:rsid w:val="00F94D8B"/>
    <w:rsid w:val="00F94D95"/>
    <w:rsid w:val="00F950BF"/>
    <w:rsid w:val="00F9563C"/>
    <w:rsid w:val="00F9610C"/>
    <w:rsid w:val="00F9656F"/>
    <w:rsid w:val="00F96620"/>
    <w:rsid w:val="00F96A4B"/>
    <w:rsid w:val="00F971A2"/>
    <w:rsid w:val="00F97335"/>
    <w:rsid w:val="00F974B7"/>
    <w:rsid w:val="00F9787B"/>
    <w:rsid w:val="00F979B4"/>
    <w:rsid w:val="00FA0085"/>
    <w:rsid w:val="00FA0DA0"/>
    <w:rsid w:val="00FA0E5E"/>
    <w:rsid w:val="00FA10D7"/>
    <w:rsid w:val="00FA19D6"/>
    <w:rsid w:val="00FA1EC6"/>
    <w:rsid w:val="00FA2001"/>
    <w:rsid w:val="00FA2643"/>
    <w:rsid w:val="00FA2B52"/>
    <w:rsid w:val="00FA3814"/>
    <w:rsid w:val="00FA4403"/>
    <w:rsid w:val="00FA46CC"/>
    <w:rsid w:val="00FA5197"/>
    <w:rsid w:val="00FA56B0"/>
    <w:rsid w:val="00FA56ED"/>
    <w:rsid w:val="00FA57D6"/>
    <w:rsid w:val="00FA6398"/>
    <w:rsid w:val="00FA6890"/>
    <w:rsid w:val="00FA727E"/>
    <w:rsid w:val="00FA74A7"/>
    <w:rsid w:val="00FB002B"/>
    <w:rsid w:val="00FB0082"/>
    <w:rsid w:val="00FB07A1"/>
    <w:rsid w:val="00FB0813"/>
    <w:rsid w:val="00FB0AC2"/>
    <w:rsid w:val="00FB0DA3"/>
    <w:rsid w:val="00FB158E"/>
    <w:rsid w:val="00FB1AF9"/>
    <w:rsid w:val="00FB1DC0"/>
    <w:rsid w:val="00FB2AD0"/>
    <w:rsid w:val="00FB2DDE"/>
    <w:rsid w:val="00FB37C5"/>
    <w:rsid w:val="00FB3887"/>
    <w:rsid w:val="00FB3AFC"/>
    <w:rsid w:val="00FB4C0E"/>
    <w:rsid w:val="00FB4E59"/>
    <w:rsid w:val="00FB500D"/>
    <w:rsid w:val="00FB54BF"/>
    <w:rsid w:val="00FB6ECB"/>
    <w:rsid w:val="00FB7256"/>
    <w:rsid w:val="00FB7619"/>
    <w:rsid w:val="00FB7B6D"/>
    <w:rsid w:val="00FC00A3"/>
    <w:rsid w:val="00FC0472"/>
    <w:rsid w:val="00FC060E"/>
    <w:rsid w:val="00FC069B"/>
    <w:rsid w:val="00FC185C"/>
    <w:rsid w:val="00FC3263"/>
    <w:rsid w:val="00FC3A8F"/>
    <w:rsid w:val="00FC43BB"/>
    <w:rsid w:val="00FC5301"/>
    <w:rsid w:val="00FC5334"/>
    <w:rsid w:val="00FC585E"/>
    <w:rsid w:val="00FC5933"/>
    <w:rsid w:val="00FC5A1A"/>
    <w:rsid w:val="00FC5A2F"/>
    <w:rsid w:val="00FC5A45"/>
    <w:rsid w:val="00FC68B7"/>
    <w:rsid w:val="00FC6C0A"/>
    <w:rsid w:val="00FC6C35"/>
    <w:rsid w:val="00FC6E37"/>
    <w:rsid w:val="00FC7D4A"/>
    <w:rsid w:val="00FD0247"/>
    <w:rsid w:val="00FD027D"/>
    <w:rsid w:val="00FD071A"/>
    <w:rsid w:val="00FD0B7C"/>
    <w:rsid w:val="00FD0F87"/>
    <w:rsid w:val="00FD11DD"/>
    <w:rsid w:val="00FD1673"/>
    <w:rsid w:val="00FD1D1C"/>
    <w:rsid w:val="00FD1E6B"/>
    <w:rsid w:val="00FD1EB7"/>
    <w:rsid w:val="00FD2329"/>
    <w:rsid w:val="00FD25C5"/>
    <w:rsid w:val="00FD32D4"/>
    <w:rsid w:val="00FD3713"/>
    <w:rsid w:val="00FD3A5D"/>
    <w:rsid w:val="00FD3EFB"/>
    <w:rsid w:val="00FD4305"/>
    <w:rsid w:val="00FD4687"/>
    <w:rsid w:val="00FD4E9A"/>
    <w:rsid w:val="00FD629E"/>
    <w:rsid w:val="00FD6FDA"/>
    <w:rsid w:val="00FD7665"/>
    <w:rsid w:val="00FD7CD9"/>
    <w:rsid w:val="00FE0208"/>
    <w:rsid w:val="00FE0679"/>
    <w:rsid w:val="00FE0DA4"/>
    <w:rsid w:val="00FE1125"/>
    <w:rsid w:val="00FE13EF"/>
    <w:rsid w:val="00FE14F8"/>
    <w:rsid w:val="00FE1527"/>
    <w:rsid w:val="00FE1929"/>
    <w:rsid w:val="00FE20C0"/>
    <w:rsid w:val="00FE2305"/>
    <w:rsid w:val="00FE295D"/>
    <w:rsid w:val="00FE2C80"/>
    <w:rsid w:val="00FE2CF0"/>
    <w:rsid w:val="00FE3173"/>
    <w:rsid w:val="00FE342C"/>
    <w:rsid w:val="00FE3E9F"/>
    <w:rsid w:val="00FE3FAF"/>
    <w:rsid w:val="00FE4333"/>
    <w:rsid w:val="00FE43B9"/>
    <w:rsid w:val="00FE4619"/>
    <w:rsid w:val="00FE47D3"/>
    <w:rsid w:val="00FE47FD"/>
    <w:rsid w:val="00FE4A00"/>
    <w:rsid w:val="00FE4C0E"/>
    <w:rsid w:val="00FE5366"/>
    <w:rsid w:val="00FE53BB"/>
    <w:rsid w:val="00FE5720"/>
    <w:rsid w:val="00FE5A89"/>
    <w:rsid w:val="00FE5C8E"/>
    <w:rsid w:val="00FE5CEA"/>
    <w:rsid w:val="00FE62FE"/>
    <w:rsid w:val="00FE6328"/>
    <w:rsid w:val="00FE7CB2"/>
    <w:rsid w:val="00FE7FE6"/>
    <w:rsid w:val="00FF018D"/>
    <w:rsid w:val="00FF02A4"/>
    <w:rsid w:val="00FF0F53"/>
    <w:rsid w:val="00FF113F"/>
    <w:rsid w:val="00FF1B94"/>
    <w:rsid w:val="00FF2953"/>
    <w:rsid w:val="00FF2B2F"/>
    <w:rsid w:val="00FF343D"/>
    <w:rsid w:val="00FF4752"/>
    <w:rsid w:val="00FF5C00"/>
    <w:rsid w:val="00FF5F35"/>
    <w:rsid w:val="00FF61FA"/>
    <w:rsid w:val="00FF75D2"/>
    <w:rsid w:val="00FF7E33"/>
    <w:rsid w:val="0170F866"/>
    <w:rsid w:val="0A948FC5"/>
    <w:rsid w:val="0AD460BE"/>
    <w:rsid w:val="0B3729BA"/>
    <w:rsid w:val="0E5A0FC4"/>
    <w:rsid w:val="0ED1F47D"/>
    <w:rsid w:val="12187EBF"/>
    <w:rsid w:val="135308BA"/>
    <w:rsid w:val="1685D33C"/>
    <w:rsid w:val="1C2E5BA3"/>
    <w:rsid w:val="1CCD00D2"/>
    <w:rsid w:val="1D0806E5"/>
    <w:rsid w:val="1D1A853C"/>
    <w:rsid w:val="23ED540F"/>
    <w:rsid w:val="242EF549"/>
    <w:rsid w:val="25A3F308"/>
    <w:rsid w:val="29C1CCD8"/>
    <w:rsid w:val="2C50D080"/>
    <w:rsid w:val="2DC7E8BE"/>
    <w:rsid w:val="2E8B9FFD"/>
    <w:rsid w:val="31130611"/>
    <w:rsid w:val="314B98B3"/>
    <w:rsid w:val="380A5E9A"/>
    <w:rsid w:val="39A92FE6"/>
    <w:rsid w:val="3A97D8F7"/>
    <w:rsid w:val="3D2D9BA4"/>
    <w:rsid w:val="3E6AB20B"/>
    <w:rsid w:val="3F15EB33"/>
    <w:rsid w:val="40D10A3F"/>
    <w:rsid w:val="40FD365E"/>
    <w:rsid w:val="42499D03"/>
    <w:rsid w:val="448A8514"/>
    <w:rsid w:val="46B91BA2"/>
    <w:rsid w:val="495B32CF"/>
    <w:rsid w:val="4C4E1B22"/>
    <w:rsid w:val="4E0EBAFB"/>
    <w:rsid w:val="50F91B05"/>
    <w:rsid w:val="54184E02"/>
    <w:rsid w:val="57E416D3"/>
    <w:rsid w:val="5BD89E84"/>
    <w:rsid w:val="61E3BDF2"/>
    <w:rsid w:val="63ECBF9C"/>
    <w:rsid w:val="657AA534"/>
    <w:rsid w:val="685288AB"/>
    <w:rsid w:val="6899A6A4"/>
    <w:rsid w:val="6F9CF6AF"/>
    <w:rsid w:val="7331D734"/>
    <w:rsid w:val="75CC944A"/>
    <w:rsid w:val="771F9B23"/>
    <w:rsid w:val="7842F5C2"/>
    <w:rsid w:val="79F58951"/>
    <w:rsid w:val="7B7DC629"/>
    <w:rsid w:val="7E8F5099"/>
    <w:rsid w:val="7F88D67F"/>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852B3A"/>
  <w15:chartTrackingRefBased/>
  <w15:docId w15:val="{65BD7592-EB69-45C4-AFA1-CF1BF5D9D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849"/>
    <w:pPr>
      <w:spacing w:after="0" w:line="240" w:lineRule="auto"/>
    </w:pPr>
    <w:rPr>
      <w:rFonts w:ascii="Times New Roman" w:eastAsia="Times New Roman" w:hAnsi="Times New Roman" w:cs="Times New Roman"/>
      <w:sz w:val="24"/>
      <w:szCs w:val="24"/>
      <w:lang w:eastAsia="pt-BR"/>
    </w:rPr>
  </w:style>
  <w:style w:type="paragraph" w:styleId="Ttulo1">
    <w:name w:val="heading 1"/>
    <w:basedOn w:val="Normal"/>
    <w:next w:val="Normal"/>
    <w:link w:val="Ttulo1Char"/>
    <w:qFormat/>
    <w:rsid w:val="00804D2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autoRedefine/>
    <w:uiPriority w:val="9"/>
    <w:unhideWhenUsed/>
    <w:qFormat/>
    <w:rsid w:val="002424B0"/>
    <w:pPr>
      <w:keepNext/>
      <w:keepLines/>
      <w:spacing w:before="40" w:line="360" w:lineRule="auto"/>
      <w:jc w:val="both"/>
      <w:outlineLvl w:val="1"/>
    </w:pPr>
    <w:rPr>
      <w:rFonts w:asciiTheme="majorHAnsi" w:eastAsiaTheme="majorEastAsia" w:hAnsiTheme="majorHAnsi" w:cstheme="majorBidi"/>
      <w:b/>
      <w:bCs/>
      <w:color w:val="2F5496" w:themeColor="accent1" w:themeShade="BF"/>
      <w:sz w:val="32"/>
      <w:szCs w:val="26"/>
    </w:rPr>
  </w:style>
  <w:style w:type="paragraph" w:styleId="Ttulo3">
    <w:name w:val="heading 3"/>
    <w:basedOn w:val="Normal"/>
    <w:next w:val="Normal"/>
    <w:link w:val="Ttulo3Char"/>
    <w:uiPriority w:val="9"/>
    <w:semiHidden/>
    <w:unhideWhenUsed/>
    <w:qFormat/>
    <w:rsid w:val="00AD4339"/>
    <w:pPr>
      <w:keepNext/>
      <w:keepLines/>
      <w:spacing w:before="40"/>
      <w:outlineLvl w:val="2"/>
    </w:pPr>
    <w:rPr>
      <w:rFonts w:asciiTheme="majorHAnsi" w:eastAsiaTheme="majorEastAsia" w:hAnsiTheme="majorHAnsi" w:cstheme="majorBidi"/>
      <w:color w:val="1F3763"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1739A"/>
    <w:pPr>
      <w:tabs>
        <w:tab w:val="center" w:pos="4252"/>
        <w:tab w:val="right" w:pos="8504"/>
      </w:tabs>
    </w:pPr>
    <w:rPr>
      <w:rFonts w:asciiTheme="minorHAnsi" w:eastAsiaTheme="minorHAnsi" w:hAnsiTheme="minorHAnsi" w:cstheme="minorBidi"/>
      <w:sz w:val="22"/>
      <w:szCs w:val="22"/>
      <w:lang w:eastAsia="en-US"/>
    </w:rPr>
  </w:style>
  <w:style w:type="character" w:customStyle="1" w:styleId="CabealhoChar">
    <w:name w:val="Cabeçalho Char"/>
    <w:basedOn w:val="Fontepargpadro"/>
    <w:link w:val="Cabealho"/>
    <w:uiPriority w:val="99"/>
    <w:rsid w:val="00E1739A"/>
  </w:style>
  <w:style w:type="paragraph" w:styleId="Rodap">
    <w:name w:val="footer"/>
    <w:basedOn w:val="Normal"/>
    <w:link w:val="RodapChar"/>
    <w:uiPriority w:val="99"/>
    <w:unhideWhenUsed/>
    <w:rsid w:val="00E1739A"/>
    <w:pPr>
      <w:tabs>
        <w:tab w:val="center" w:pos="4252"/>
        <w:tab w:val="right" w:pos="8504"/>
      </w:tabs>
    </w:pPr>
    <w:rPr>
      <w:rFonts w:asciiTheme="minorHAnsi" w:eastAsiaTheme="minorHAnsi" w:hAnsiTheme="minorHAnsi" w:cstheme="minorBidi"/>
      <w:sz w:val="22"/>
      <w:szCs w:val="22"/>
      <w:lang w:eastAsia="en-US"/>
    </w:rPr>
  </w:style>
  <w:style w:type="character" w:customStyle="1" w:styleId="RodapChar">
    <w:name w:val="Rodapé Char"/>
    <w:basedOn w:val="Fontepargpadro"/>
    <w:link w:val="Rodap"/>
    <w:uiPriority w:val="99"/>
    <w:rsid w:val="00E1739A"/>
  </w:style>
  <w:style w:type="paragraph" w:styleId="Ttulo">
    <w:name w:val="Title"/>
    <w:basedOn w:val="Normal"/>
    <w:link w:val="TtuloChar"/>
    <w:uiPriority w:val="10"/>
    <w:qFormat/>
    <w:rsid w:val="00E1739A"/>
    <w:pPr>
      <w:widowControl w:val="0"/>
      <w:autoSpaceDE w:val="0"/>
      <w:autoSpaceDN w:val="0"/>
      <w:spacing w:before="83"/>
      <w:ind w:left="277" w:right="310"/>
      <w:jc w:val="center"/>
    </w:pPr>
    <w:rPr>
      <w:rFonts w:ascii="Arial" w:eastAsia="Arial" w:hAnsi="Arial" w:cs="Arial"/>
      <w:b/>
      <w:bCs/>
      <w:sz w:val="23"/>
      <w:szCs w:val="23"/>
      <w:lang w:val="pt-PT" w:eastAsia="en-US"/>
    </w:rPr>
  </w:style>
  <w:style w:type="character" w:customStyle="1" w:styleId="TtuloChar">
    <w:name w:val="Título Char"/>
    <w:basedOn w:val="Fontepargpadro"/>
    <w:link w:val="Ttulo"/>
    <w:uiPriority w:val="10"/>
    <w:rsid w:val="00E1739A"/>
    <w:rPr>
      <w:rFonts w:ascii="Arial" w:eastAsia="Arial" w:hAnsi="Arial" w:cs="Arial"/>
      <w:b/>
      <w:bCs/>
      <w:sz w:val="23"/>
      <w:szCs w:val="23"/>
      <w:lang w:val="pt-PT"/>
    </w:rPr>
  </w:style>
  <w:style w:type="paragraph" w:customStyle="1" w:styleId="Default">
    <w:name w:val="Default"/>
    <w:rsid w:val="00E1739A"/>
    <w:pPr>
      <w:autoSpaceDE w:val="0"/>
      <w:autoSpaceDN w:val="0"/>
      <w:adjustRightInd w:val="0"/>
      <w:spacing w:after="0" w:line="240" w:lineRule="auto"/>
    </w:pPr>
    <w:rPr>
      <w:rFonts w:ascii="Arial" w:eastAsia="Times New Roman" w:hAnsi="Arial" w:cs="Arial"/>
      <w:color w:val="000000"/>
      <w:sz w:val="24"/>
      <w:szCs w:val="24"/>
      <w:lang w:eastAsia="pt-BR"/>
    </w:rPr>
  </w:style>
  <w:style w:type="table" w:styleId="Tabelacomgrade">
    <w:name w:val="Table Grid"/>
    <w:basedOn w:val="Tabelanormal"/>
    <w:uiPriority w:val="39"/>
    <w:rsid w:val="00E1739A"/>
    <w:pPr>
      <w:spacing w:after="0" w:line="240" w:lineRule="auto"/>
    </w:pPr>
    <w:tblPr/>
  </w:style>
  <w:style w:type="paragraph" w:styleId="PargrafodaLista">
    <w:name w:val="List Paragraph"/>
    <w:basedOn w:val="Normal"/>
    <w:uiPriority w:val="34"/>
    <w:qFormat/>
    <w:rsid w:val="00E1739A"/>
    <w:pPr>
      <w:ind w:left="720"/>
      <w:contextualSpacing/>
    </w:pPr>
  </w:style>
  <w:style w:type="character" w:styleId="Refdecomentrio">
    <w:name w:val="annotation reference"/>
    <w:basedOn w:val="Fontepargpadro"/>
    <w:uiPriority w:val="99"/>
    <w:semiHidden/>
    <w:unhideWhenUsed/>
    <w:rsid w:val="008D319D"/>
    <w:rPr>
      <w:sz w:val="16"/>
      <w:szCs w:val="16"/>
    </w:rPr>
  </w:style>
  <w:style w:type="paragraph" w:styleId="Textodecomentrio">
    <w:name w:val="annotation text"/>
    <w:basedOn w:val="Normal"/>
    <w:link w:val="TextodecomentrioChar"/>
    <w:uiPriority w:val="99"/>
    <w:unhideWhenUsed/>
    <w:rsid w:val="008D319D"/>
    <w:rPr>
      <w:sz w:val="20"/>
      <w:szCs w:val="20"/>
    </w:rPr>
  </w:style>
  <w:style w:type="character" w:customStyle="1" w:styleId="TextodecomentrioChar">
    <w:name w:val="Texto de comentário Char"/>
    <w:basedOn w:val="Fontepargpadro"/>
    <w:link w:val="Textodecomentrio"/>
    <w:uiPriority w:val="99"/>
    <w:rsid w:val="008D319D"/>
    <w:rPr>
      <w:rFonts w:ascii="Times New Roman" w:eastAsia="Times New Roman" w:hAnsi="Times New Roman" w:cs="Times New Roman"/>
      <w:sz w:val="20"/>
      <w:szCs w:val="20"/>
      <w:lang w:eastAsia="pt-BR"/>
    </w:rPr>
  </w:style>
  <w:style w:type="paragraph" w:styleId="Assuntodocomentrio">
    <w:name w:val="annotation subject"/>
    <w:basedOn w:val="Textodecomentrio"/>
    <w:next w:val="Textodecomentrio"/>
    <w:link w:val="AssuntodocomentrioChar"/>
    <w:uiPriority w:val="99"/>
    <w:semiHidden/>
    <w:unhideWhenUsed/>
    <w:rsid w:val="008D319D"/>
    <w:rPr>
      <w:b/>
      <w:bCs/>
    </w:rPr>
  </w:style>
  <w:style w:type="character" w:customStyle="1" w:styleId="AssuntodocomentrioChar">
    <w:name w:val="Assunto do comentário Char"/>
    <w:basedOn w:val="TextodecomentrioChar"/>
    <w:link w:val="Assuntodocomentrio"/>
    <w:uiPriority w:val="99"/>
    <w:semiHidden/>
    <w:rsid w:val="008D319D"/>
    <w:rPr>
      <w:rFonts w:ascii="Times New Roman" w:eastAsia="Times New Roman" w:hAnsi="Times New Roman" w:cs="Times New Roman"/>
      <w:b/>
      <w:bCs/>
      <w:sz w:val="20"/>
      <w:szCs w:val="20"/>
      <w:lang w:eastAsia="pt-BR"/>
    </w:rPr>
  </w:style>
  <w:style w:type="paragraph" w:styleId="Textodenotaderodap">
    <w:name w:val="footnote text"/>
    <w:basedOn w:val="Normal"/>
    <w:link w:val="TextodenotaderodapChar"/>
    <w:uiPriority w:val="99"/>
    <w:semiHidden/>
    <w:unhideWhenUsed/>
    <w:rsid w:val="004F1658"/>
    <w:rPr>
      <w:sz w:val="20"/>
      <w:szCs w:val="20"/>
    </w:rPr>
  </w:style>
  <w:style w:type="character" w:customStyle="1" w:styleId="TextodenotaderodapChar">
    <w:name w:val="Texto de nota de rodapé Char"/>
    <w:basedOn w:val="Fontepargpadro"/>
    <w:link w:val="Textodenotaderodap"/>
    <w:uiPriority w:val="99"/>
    <w:semiHidden/>
    <w:rsid w:val="004F1658"/>
    <w:rPr>
      <w:rFonts w:ascii="Times New Roman" w:eastAsia="Times New Roman" w:hAnsi="Times New Roman" w:cs="Times New Roman"/>
      <w:sz w:val="20"/>
      <w:szCs w:val="20"/>
      <w:lang w:eastAsia="pt-BR"/>
    </w:rPr>
  </w:style>
  <w:style w:type="character" w:styleId="Refdenotaderodap">
    <w:name w:val="footnote reference"/>
    <w:basedOn w:val="Fontepargpadro"/>
    <w:uiPriority w:val="99"/>
    <w:semiHidden/>
    <w:unhideWhenUsed/>
    <w:rsid w:val="004F1658"/>
    <w:rPr>
      <w:vertAlign w:val="superscript"/>
    </w:rPr>
  </w:style>
  <w:style w:type="character" w:styleId="Hyperlink">
    <w:name w:val="Hyperlink"/>
    <w:basedOn w:val="Fontepargpadro"/>
    <w:uiPriority w:val="99"/>
    <w:unhideWhenUsed/>
    <w:rsid w:val="00337F4F"/>
    <w:rPr>
      <w:color w:val="0563C1" w:themeColor="hyperlink"/>
      <w:u w:val="single"/>
    </w:rPr>
  </w:style>
  <w:style w:type="character" w:styleId="MenoPendente">
    <w:name w:val="Unresolved Mention"/>
    <w:basedOn w:val="Fontepargpadro"/>
    <w:uiPriority w:val="99"/>
    <w:semiHidden/>
    <w:unhideWhenUsed/>
    <w:rsid w:val="00337F4F"/>
    <w:rPr>
      <w:color w:val="605E5C"/>
      <w:shd w:val="clear" w:color="auto" w:fill="E1DFDD"/>
    </w:rPr>
  </w:style>
  <w:style w:type="character" w:styleId="HiperlinkVisitado">
    <w:name w:val="FollowedHyperlink"/>
    <w:basedOn w:val="Fontepargpadro"/>
    <w:uiPriority w:val="99"/>
    <w:semiHidden/>
    <w:unhideWhenUsed/>
    <w:rsid w:val="0053087B"/>
    <w:rPr>
      <w:color w:val="954F72" w:themeColor="followedHyperlink"/>
      <w:u w:val="single"/>
    </w:rPr>
  </w:style>
  <w:style w:type="paragraph" w:styleId="Textodebalo">
    <w:name w:val="Balloon Text"/>
    <w:basedOn w:val="Normal"/>
    <w:link w:val="TextodebaloChar"/>
    <w:uiPriority w:val="99"/>
    <w:semiHidden/>
    <w:unhideWhenUsed/>
    <w:rsid w:val="00F94BB7"/>
    <w:rPr>
      <w:rFonts w:ascii="Segoe UI" w:hAnsi="Segoe UI" w:cs="Segoe UI"/>
      <w:sz w:val="18"/>
      <w:szCs w:val="18"/>
    </w:rPr>
  </w:style>
  <w:style w:type="character" w:customStyle="1" w:styleId="TextodebaloChar">
    <w:name w:val="Texto de balão Char"/>
    <w:basedOn w:val="Fontepargpadro"/>
    <w:link w:val="Textodebalo"/>
    <w:uiPriority w:val="99"/>
    <w:semiHidden/>
    <w:rsid w:val="00F94BB7"/>
    <w:rPr>
      <w:rFonts w:ascii="Segoe UI" w:eastAsia="Times New Roman" w:hAnsi="Segoe UI" w:cs="Segoe UI"/>
      <w:sz w:val="18"/>
      <w:szCs w:val="18"/>
      <w:lang w:eastAsia="pt-BR"/>
    </w:rPr>
  </w:style>
  <w:style w:type="paragraph" w:styleId="Reviso">
    <w:name w:val="Revision"/>
    <w:hidden/>
    <w:uiPriority w:val="99"/>
    <w:semiHidden/>
    <w:rsid w:val="00D549B8"/>
    <w:pPr>
      <w:spacing w:after="0" w:line="240" w:lineRule="auto"/>
    </w:pPr>
    <w:rPr>
      <w:rFonts w:ascii="Times New Roman" w:eastAsia="Times New Roman" w:hAnsi="Times New Roman" w:cs="Times New Roman"/>
      <w:sz w:val="24"/>
      <w:szCs w:val="24"/>
      <w:lang w:eastAsia="pt-BR"/>
    </w:rPr>
  </w:style>
  <w:style w:type="paragraph" w:styleId="Corpodetexto">
    <w:name w:val="Body Text"/>
    <w:basedOn w:val="Normal"/>
    <w:link w:val="CorpodetextoChar"/>
    <w:rsid w:val="00FD11DD"/>
    <w:pPr>
      <w:autoSpaceDE w:val="0"/>
      <w:autoSpaceDN w:val="0"/>
      <w:adjustRightInd w:val="0"/>
      <w:jc w:val="both"/>
    </w:pPr>
    <w:rPr>
      <w:rFonts w:ascii="TimesNewRoman" w:hAnsi="TimesNewRoman"/>
      <w:sz w:val="19"/>
      <w:szCs w:val="19"/>
    </w:rPr>
  </w:style>
  <w:style w:type="character" w:customStyle="1" w:styleId="CorpodetextoChar">
    <w:name w:val="Corpo de texto Char"/>
    <w:basedOn w:val="Fontepargpadro"/>
    <w:link w:val="Corpodetexto"/>
    <w:rsid w:val="00FD11DD"/>
    <w:rPr>
      <w:rFonts w:ascii="TimesNewRoman" w:eastAsia="Times New Roman" w:hAnsi="TimesNewRoman" w:cs="Times New Roman"/>
      <w:sz w:val="19"/>
      <w:szCs w:val="19"/>
      <w:lang w:eastAsia="pt-BR"/>
    </w:rPr>
  </w:style>
  <w:style w:type="character" w:customStyle="1" w:styleId="Ttulo1Char">
    <w:name w:val="Título 1 Char"/>
    <w:basedOn w:val="Fontepargpadro"/>
    <w:link w:val="Ttulo1"/>
    <w:rsid w:val="00804D29"/>
    <w:rPr>
      <w:rFonts w:asciiTheme="majorHAnsi" w:eastAsiaTheme="majorEastAsia" w:hAnsiTheme="majorHAnsi" w:cstheme="majorBidi"/>
      <w:color w:val="2F5496" w:themeColor="accent1" w:themeShade="BF"/>
      <w:sz w:val="32"/>
      <w:szCs w:val="32"/>
      <w:lang w:eastAsia="pt-BR"/>
    </w:rPr>
  </w:style>
  <w:style w:type="character" w:customStyle="1" w:styleId="citation-25">
    <w:name w:val="citation-25"/>
    <w:basedOn w:val="Fontepargpadro"/>
    <w:rsid w:val="00804D29"/>
  </w:style>
  <w:style w:type="character" w:customStyle="1" w:styleId="Ttulo2Char">
    <w:name w:val="Título 2 Char"/>
    <w:basedOn w:val="Fontepargpadro"/>
    <w:link w:val="Ttulo2"/>
    <w:uiPriority w:val="9"/>
    <w:rsid w:val="002424B0"/>
    <w:rPr>
      <w:rFonts w:asciiTheme="majorHAnsi" w:eastAsiaTheme="majorEastAsia" w:hAnsiTheme="majorHAnsi" w:cstheme="majorBidi"/>
      <w:b/>
      <w:bCs/>
      <w:color w:val="2F5496" w:themeColor="accent1" w:themeShade="BF"/>
      <w:sz w:val="32"/>
      <w:szCs w:val="26"/>
      <w:lang w:eastAsia="pt-BR"/>
    </w:rPr>
  </w:style>
  <w:style w:type="table" w:styleId="TabeladeGrade4-nfase1">
    <w:name w:val="Grid Table 4 Accent 1"/>
    <w:basedOn w:val="Tabelanormal"/>
    <w:uiPriority w:val="49"/>
    <w:rsid w:val="00EF645A"/>
    <w:pPr>
      <w:spacing w:after="0" w:line="240" w:lineRule="auto"/>
    </w:pPr>
    <w:tblPr>
      <w:tblStyleRowBandSize w:val="1"/>
      <w:tblStyleColBandSize w:val="1"/>
    </w:tblPr>
    <w:tcPr>
      <w:shd w:val="clear" w:color="auto" w:fill="D9E2F3" w:themeFill="accent1" w:themeFillTint="33"/>
    </w:tc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style>
  <w:style w:type="character" w:customStyle="1" w:styleId="citation-116">
    <w:name w:val="citation-116"/>
    <w:basedOn w:val="Fontepargpadro"/>
    <w:rsid w:val="00C53C86"/>
  </w:style>
  <w:style w:type="character" w:customStyle="1" w:styleId="citation-115">
    <w:name w:val="citation-115"/>
    <w:basedOn w:val="Fontepargpadro"/>
    <w:rsid w:val="00C53C86"/>
  </w:style>
  <w:style w:type="character" w:customStyle="1" w:styleId="citation-114">
    <w:name w:val="citation-114"/>
    <w:basedOn w:val="Fontepargpadro"/>
    <w:rsid w:val="00C53C86"/>
  </w:style>
  <w:style w:type="character" w:customStyle="1" w:styleId="citation-113">
    <w:name w:val="citation-113"/>
    <w:basedOn w:val="Fontepargpadro"/>
    <w:rsid w:val="00C53C86"/>
  </w:style>
  <w:style w:type="character" w:customStyle="1" w:styleId="citation-111">
    <w:name w:val="citation-111"/>
    <w:basedOn w:val="Fontepargpadro"/>
    <w:rsid w:val="00C53C86"/>
  </w:style>
  <w:style w:type="character" w:customStyle="1" w:styleId="citation-109">
    <w:name w:val="citation-109"/>
    <w:basedOn w:val="Fontepargpadro"/>
    <w:rsid w:val="00C53C86"/>
  </w:style>
  <w:style w:type="paragraph" w:styleId="NormalWeb">
    <w:name w:val="Normal (Web)"/>
    <w:basedOn w:val="Normal"/>
    <w:uiPriority w:val="99"/>
    <w:unhideWhenUsed/>
    <w:rsid w:val="004C3099"/>
    <w:pPr>
      <w:spacing w:before="100" w:beforeAutospacing="1" w:after="100" w:afterAutospacing="1"/>
    </w:pPr>
  </w:style>
  <w:style w:type="character" w:customStyle="1" w:styleId="citation-257">
    <w:name w:val="citation-257"/>
    <w:basedOn w:val="Fontepargpadro"/>
    <w:rsid w:val="004C3099"/>
  </w:style>
  <w:style w:type="character" w:customStyle="1" w:styleId="citation-256">
    <w:name w:val="citation-256"/>
    <w:basedOn w:val="Fontepargpadro"/>
    <w:rsid w:val="006B7374"/>
  </w:style>
  <w:style w:type="character" w:customStyle="1" w:styleId="citation-255">
    <w:name w:val="citation-255"/>
    <w:basedOn w:val="Fontepargpadro"/>
    <w:rsid w:val="006B7374"/>
  </w:style>
  <w:style w:type="character" w:customStyle="1" w:styleId="citation-254">
    <w:name w:val="citation-254"/>
    <w:basedOn w:val="Fontepargpadro"/>
    <w:rsid w:val="006B7374"/>
  </w:style>
  <w:style w:type="character" w:customStyle="1" w:styleId="citation-253">
    <w:name w:val="citation-253"/>
    <w:basedOn w:val="Fontepargpadro"/>
    <w:rsid w:val="006B7374"/>
  </w:style>
  <w:style w:type="character" w:customStyle="1" w:styleId="citation-27">
    <w:name w:val="citation-27"/>
    <w:basedOn w:val="Fontepargpadro"/>
    <w:rsid w:val="00940138"/>
  </w:style>
  <w:style w:type="character" w:customStyle="1" w:styleId="citation-26">
    <w:name w:val="citation-26"/>
    <w:basedOn w:val="Fontepargpadro"/>
    <w:rsid w:val="00940138"/>
  </w:style>
  <w:style w:type="character" w:customStyle="1" w:styleId="citation-24">
    <w:name w:val="citation-24"/>
    <w:basedOn w:val="Fontepargpadro"/>
    <w:rsid w:val="00940138"/>
  </w:style>
  <w:style w:type="character" w:customStyle="1" w:styleId="citation-23">
    <w:name w:val="citation-23"/>
    <w:basedOn w:val="Fontepargpadro"/>
    <w:rsid w:val="00940138"/>
  </w:style>
  <w:style w:type="character" w:customStyle="1" w:styleId="citation-22">
    <w:name w:val="citation-22"/>
    <w:basedOn w:val="Fontepargpadro"/>
    <w:rsid w:val="00940138"/>
  </w:style>
  <w:style w:type="character" w:customStyle="1" w:styleId="citation-21">
    <w:name w:val="citation-21"/>
    <w:basedOn w:val="Fontepargpadro"/>
    <w:rsid w:val="00940138"/>
  </w:style>
  <w:style w:type="character" w:customStyle="1" w:styleId="citation-20">
    <w:name w:val="citation-20"/>
    <w:basedOn w:val="Fontepargpadro"/>
    <w:rsid w:val="00940138"/>
  </w:style>
  <w:style w:type="character" w:customStyle="1" w:styleId="citation-19">
    <w:name w:val="citation-19"/>
    <w:basedOn w:val="Fontepargpadro"/>
    <w:rsid w:val="00940138"/>
  </w:style>
  <w:style w:type="character" w:customStyle="1" w:styleId="citation-18">
    <w:name w:val="citation-18"/>
    <w:basedOn w:val="Fontepargpadro"/>
    <w:rsid w:val="00940138"/>
  </w:style>
  <w:style w:type="character" w:customStyle="1" w:styleId="citation-17">
    <w:name w:val="citation-17"/>
    <w:basedOn w:val="Fontepargpadro"/>
    <w:rsid w:val="00940138"/>
  </w:style>
  <w:style w:type="character" w:customStyle="1" w:styleId="citation-16">
    <w:name w:val="citation-16"/>
    <w:basedOn w:val="Fontepargpadro"/>
    <w:rsid w:val="00940138"/>
  </w:style>
  <w:style w:type="character" w:customStyle="1" w:styleId="citation-15">
    <w:name w:val="citation-15"/>
    <w:basedOn w:val="Fontepargpadro"/>
    <w:rsid w:val="00940138"/>
  </w:style>
  <w:style w:type="character" w:customStyle="1" w:styleId="citation-14">
    <w:name w:val="citation-14"/>
    <w:basedOn w:val="Fontepargpadro"/>
    <w:rsid w:val="00940138"/>
  </w:style>
  <w:style w:type="character" w:customStyle="1" w:styleId="citation-13">
    <w:name w:val="citation-13"/>
    <w:basedOn w:val="Fontepargpadro"/>
    <w:rsid w:val="00940138"/>
  </w:style>
  <w:style w:type="character" w:customStyle="1" w:styleId="citation-12">
    <w:name w:val="citation-12"/>
    <w:basedOn w:val="Fontepargpadro"/>
    <w:rsid w:val="00940138"/>
  </w:style>
  <w:style w:type="character" w:customStyle="1" w:styleId="citation-11">
    <w:name w:val="citation-11"/>
    <w:basedOn w:val="Fontepargpadro"/>
    <w:rsid w:val="00940138"/>
  </w:style>
  <w:style w:type="character" w:customStyle="1" w:styleId="citation-10">
    <w:name w:val="citation-10"/>
    <w:basedOn w:val="Fontepargpadro"/>
    <w:rsid w:val="00B854EB"/>
  </w:style>
  <w:style w:type="character" w:customStyle="1" w:styleId="citation-9">
    <w:name w:val="citation-9"/>
    <w:basedOn w:val="Fontepargpadro"/>
    <w:rsid w:val="00B854EB"/>
  </w:style>
  <w:style w:type="character" w:customStyle="1" w:styleId="citation-8">
    <w:name w:val="citation-8"/>
    <w:basedOn w:val="Fontepargpadro"/>
    <w:rsid w:val="00B854EB"/>
  </w:style>
  <w:style w:type="character" w:customStyle="1" w:styleId="citation-7">
    <w:name w:val="citation-7"/>
    <w:basedOn w:val="Fontepargpadro"/>
    <w:rsid w:val="00B854EB"/>
  </w:style>
  <w:style w:type="character" w:customStyle="1" w:styleId="citation-102">
    <w:name w:val="citation-102"/>
    <w:basedOn w:val="Fontepargpadro"/>
    <w:rsid w:val="00F32A77"/>
  </w:style>
  <w:style w:type="character" w:customStyle="1" w:styleId="citation-101">
    <w:name w:val="citation-101"/>
    <w:basedOn w:val="Fontepargpadro"/>
    <w:rsid w:val="00F32A77"/>
  </w:style>
  <w:style w:type="character" w:customStyle="1" w:styleId="citation-98">
    <w:name w:val="citation-98"/>
    <w:basedOn w:val="Fontepargpadro"/>
    <w:rsid w:val="00F32A77"/>
  </w:style>
  <w:style w:type="character" w:customStyle="1" w:styleId="citation-147">
    <w:name w:val="citation-147"/>
    <w:basedOn w:val="Fontepargpadro"/>
    <w:rsid w:val="003B75D2"/>
  </w:style>
  <w:style w:type="character" w:customStyle="1" w:styleId="citation-146">
    <w:name w:val="citation-146"/>
    <w:basedOn w:val="Fontepargpadro"/>
    <w:rsid w:val="003B75D2"/>
  </w:style>
  <w:style w:type="character" w:customStyle="1" w:styleId="citation-145">
    <w:name w:val="citation-145"/>
    <w:basedOn w:val="Fontepargpadro"/>
    <w:rsid w:val="003B75D2"/>
  </w:style>
  <w:style w:type="character" w:customStyle="1" w:styleId="citation-144">
    <w:name w:val="citation-144"/>
    <w:basedOn w:val="Fontepargpadro"/>
    <w:rsid w:val="003B75D2"/>
  </w:style>
  <w:style w:type="character" w:customStyle="1" w:styleId="citation-142">
    <w:name w:val="citation-142"/>
    <w:basedOn w:val="Fontepargpadro"/>
    <w:rsid w:val="0094668A"/>
  </w:style>
  <w:style w:type="character" w:customStyle="1" w:styleId="citation-141">
    <w:name w:val="citation-141"/>
    <w:basedOn w:val="Fontepargpadro"/>
    <w:rsid w:val="0094668A"/>
  </w:style>
  <w:style w:type="character" w:customStyle="1" w:styleId="Ttulo3Char">
    <w:name w:val="Título 3 Char"/>
    <w:basedOn w:val="Fontepargpadro"/>
    <w:link w:val="Ttulo3"/>
    <w:uiPriority w:val="9"/>
    <w:semiHidden/>
    <w:rsid w:val="00AD4339"/>
    <w:rPr>
      <w:rFonts w:asciiTheme="majorHAnsi" w:eastAsiaTheme="majorEastAsia" w:hAnsiTheme="majorHAnsi" w:cstheme="majorBidi"/>
      <w:color w:val="1F3763" w:themeColor="accent1" w:themeShade="7F"/>
      <w:sz w:val="24"/>
      <w:szCs w:val="24"/>
      <w:lang w:eastAsia="pt-BR"/>
    </w:rPr>
  </w:style>
  <w:style w:type="character" w:customStyle="1" w:styleId="citation-105">
    <w:name w:val="citation-105"/>
    <w:basedOn w:val="Fontepargpadro"/>
    <w:rsid w:val="00352FBD"/>
  </w:style>
  <w:style w:type="character" w:customStyle="1" w:styleId="normaltextrun">
    <w:name w:val="normaltextrun"/>
    <w:basedOn w:val="Fontepargpadro"/>
    <w:rsid w:val="00557E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668592">
      <w:bodyDiv w:val="1"/>
      <w:marLeft w:val="0"/>
      <w:marRight w:val="0"/>
      <w:marTop w:val="0"/>
      <w:marBottom w:val="0"/>
      <w:divBdr>
        <w:top w:val="none" w:sz="0" w:space="0" w:color="auto"/>
        <w:left w:val="none" w:sz="0" w:space="0" w:color="auto"/>
        <w:bottom w:val="none" w:sz="0" w:space="0" w:color="auto"/>
        <w:right w:val="none" w:sz="0" w:space="0" w:color="auto"/>
      </w:divBdr>
      <w:divsChild>
        <w:div w:id="1021933840">
          <w:marLeft w:val="0"/>
          <w:marRight w:val="0"/>
          <w:marTop w:val="0"/>
          <w:marBottom w:val="0"/>
          <w:divBdr>
            <w:top w:val="none" w:sz="0" w:space="0" w:color="auto"/>
            <w:left w:val="none" w:sz="0" w:space="0" w:color="auto"/>
            <w:bottom w:val="none" w:sz="0" w:space="0" w:color="auto"/>
            <w:right w:val="none" w:sz="0" w:space="0" w:color="auto"/>
          </w:divBdr>
          <w:divsChild>
            <w:div w:id="283853350">
              <w:marLeft w:val="0"/>
              <w:marRight w:val="0"/>
              <w:marTop w:val="0"/>
              <w:marBottom w:val="0"/>
              <w:divBdr>
                <w:top w:val="none" w:sz="0" w:space="0" w:color="auto"/>
                <w:left w:val="none" w:sz="0" w:space="0" w:color="auto"/>
                <w:bottom w:val="none" w:sz="0" w:space="0" w:color="auto"/>
                <w:right w:val="none" w:sz="0" w:space="0" w:color="auto"/>
              </w:divBdr>
              <w:divsChild>
                <w:div w:id="1662461605">
                  <w:marLeft w:val="0"/>
                  <w:marRight w:val="0"/>
                  <w:marTop w:val="0"/>
                  <w:marBottom w:val="0"/>
                  <w:divBdr>
                    <w:top w:val="none" w:sz="0" w:space="0" w:color="auto"/>
                    <w:left w:val="none" w:sz="0" w:space="0" w:color="auto"/>
                    <w:bottom w:val="none" w:sz="0" w:space="0" w:color="auto"/>
                    <w:right w:val="none" w:sz="0" w:space="0" w:color="auto"/>
                  </w:divBdr>
                  <w:divsChild>
                    <w:div w:id="1381662351">
                      <w:marLeft w:val="0"/>
                      <w:marRight w:val="0"/>
                      <w:marTop w:val="0"/>
                      <w:marBottom w:val="0"/>
                      <w:divBdr>
                        <w:top w:val="none" w:sz="0" w:space="0" w:color="auto"/>
                        <w:left w:val="none" w:sz="0" w:space="0" w:color="auto"/>
                        <w:bottom w:val="none" w:sz="0" w:space="0" w:color="auto"/>
                        <w:right w:val="none" w:sz="0" w:space="0" w:color="auto"/>
                      </w:divBdr>
                      <w:divsChild>
                        <w:div w:id="1083724341">
                          <w:marLeft w:val="0"/>
                          <w:marRight w:val="0"/>
                          <w:marTop w:val="0"/>
                          <w:marBottom w:val="0"/>
                          <w:divBdr>
                            <w:top w:val="none" w:sz="0" w:space="0" w:color="auto"/>
                            <w:left w:val="none" w:sz="0" w:space="0" w:color="auto"/>
                            <w:bottom w:val="none" w:sz="0" w:space="0" w:color="auto"/>
                            <w:right w:val="none" w:sz="0" w:space="0" w:color="auto"/>
                          </w:divBdr>
                          <w:divsChild>
                            <w:div w:id="1210994515">
                              <w:marLeft w:val="0"/>
                              <w:marRight w:val="0"/>
                              <w:marTop w:val="0"/>
                              <w:marBottom w:val="0"/>
                              <w:divBdr>
                                <w:top w:val="none" w:sz="0" w:space="0" w:color="auto"/>
                                <w:left w:val="none" w:sz="0" w:space="0" w:color="auto"/>
                                <w:bottom w:val="none" w:sz="0" w:space="0" w:color="auto"/>
                                <w:right w:val="none" w:sz="0" w:space="0" w:color="auto"/>
                              </w:divBdr>
                              <w:divsChild>
                                <w:div w:id="2036616533">
                                  <w:marLeft w:val="0"/>
                                  <w:marRight w:val="0"/>
                                  <w:marTop w:val="0"/>
                                  <w:marBottom w:val="0"/>
                                  <w:divBdr>
                                    <w:top w:val="none" w:sz="0" w:space="0" w:color="auto"/>
                                    <w:left w:val="none" w:sz="0" w:space="0" w:color="auto"/>
                                    <w:bottom w:val="none" w:sz="0" w:space="0" w:color="auto"/>
                                    <w:right w:val="none" w:sz="0" w:space="0" w:color="auto"/>
                                  </w:divBdr>
                                  <w:divsChild>
                                    <w:div w:id="461850085">
                                      <w:marLeft w:val="0"/>
                                      <w:marRight w:val="0"/>
                                      <w:marTop w:val="0"/>
                                      <w:marBottom w:val="0"/>
                                      <w:divBdr>
                                        <w:top w:val="none" w:sz="0" w:space="0" w:color="auto"/>
                                        <w:left w:val="none" w:sz="0" w:space="0" w:color="auto"/>
                                        <w:bottom w:val="none" w:sz="0" w:space="0" w:color="auto"/>
                                        <w:right w:val="none" w:sz="0" w:space="0" w:color="auto"/>
                                      </w:divBdr>
                                      <w:divsChild>
                                        <w:div w:id="17695381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090528">
      <w:bodyDiv w:val="1"/>
      <w:marLeft w:val="0"/>
      <w:marRight w:val="0"/>
      <w:marTop w:val="0"/>
      <w:marBottom w:val="0"/>
      <w:divBdr>
        <w:top w:val="none" w:sz="0" w:space="0" w:color="auto"/>
        <w:left w:val="none" w:sz="0" w:space="0" w:color="auto"/>
        <w:bottom w:val="none" w:sz="0" w:space="0" w:color="auto"/>
        <w:right w:val="none" w:sz="0" w:space="0" w:color="auto"/>
      </w:divBdr>
    </w:div>
    <w:div w:id="88813105">
      <w:bodyDiv w:val="1"/>
      <w:marLeft w:val="0"/>
      <w:marRight w:val="0"/>
      <w:marTop w:val="0"/>
      <w:marBottom w:val="0"/>
      <w:divBdr>
        <w:top w:val="none" w:sz="0" w:space="0" w:color="auto"/>
        <w:left w:val="none" w:sz="0" w:space="0" w:color="auto"/>
        <w:bottom w:val="none" w:sz="0" w:space="0" w:color="auto"/>
        <w:right w:val="none" w:sz="0" w:space="0" w:color="auto"/>
      </w:divBdr>
      <w:divsChild>
        <w:div w:id="1834955302">
          <w:marLeft w:val="0"/>
          <w:marRight w:val="0"/>
          <w:marTop w:val="0"/>
          <w:marBottom w:val="0"/>
          <w:divBdr>
            <w:top w:val="none" w:sz="0" w:space="0" w:color="auto"/>
            <w:left w:val="none" w:sz="0" w:space="0" w:color="auto"/>
            <w:bottom w:val="none" w:sz="0" w:space="0" w:color="auto"/>
            <w:right w:val="none" w:sz="0" w:space="0" w:color="auto"/>
          </w:divBdr>
          <w:divsChild>
            <w:div w:id="382411768">
              <w:marLeft w:val="0"/>
              <w:marRight w:val="0"/>
              <w:marTop w:val="0"/>
              <w:marBottom w:val="0"/>
              <w:divBdr>
                <w:top w:val="none" w:sz="0" w:space="0" w:color="auto"/>
                <w:left w:val="none" w:sz="0" w:space="0" w:color="auto"/>
                <w:bottom w:val="none" w:sz="0" w:space="0" w:color="auto"/>
                <w:right w:val="none" w:sz="0" w:space="0" w:color="auto"/>
              </w:divBdr>
              <w:divsChild>
                <w:div w:id="1077283337">
                  <w:marLeft w:val="0"/>
                  <w:marRight w:val="0"/>
                  <w:marTop w:val="0"/>
                  <w:marBottom w:val="0"/>
                  <w:divBdr>
                    <w:top w:val="none" w:sz="0" w:space="0" w:color="auto"/>
                    <w:left w:val="none" w:sz="0" w:space="0" w:color="auto"/>
                    <w:bottom w:val="none" w:sz="0" w:space="0" w:color="auto"/>
                    <w:right w:val="none" w:sz="0" w:space="0" w:color="auto"/>
                  </w:divBdr>
                  <w:divsChild>
                    <w:div w:id="1981114183">
                      <w:marLeft w:val="0"/>
                      <w:marRight w:val="0"/>
                      <w:marTop w:val="0"/>
                      <w:marBottom w:val="0"/>
                      <w:divBdr>
                        <w:top w:val="none" w:sz="0" w:space="0" w:color="auto"/>
                        <w:left w:val="none" w:sz="0" w:space="0" w:color="auto"/>
                        <w:bottom w:val="none" w:sz="0" w:space="0" w:color="auto"/>
                        <w:right w:val="none" w:sz="0" w:space="0" w:color="auto"/>
                      </w:divBdr>
                      <w:divsChild>
                        <w:div w:id="422992915">
                          <w:marLeft w:val="0"/>
                          <w:marRight w:val="0"/>
                          <w:marTop w:val="0"/>
                          <w:marBottom w:val="0"/>
                          <w:divBdr>
                            <w:top w:val="none" w:sz="0" w:space="0" w:color="auto"/>
                            <w:left w:val="none" w:sz="0" w:space="0" w:color="auto"/>
                            <w:bottom w:val="none" w:sz="0" w:space="0" w:color="auto"/>
                            <w:right w:val="none" w:sz="0" w:space="0" w:color="auto"/>
                          </w:divBdr>
                          <w:divsChild>
                            <w:div w:id="1740981100">
                              <w:marLeft w:val="0"/>
                              <w:marRight w:val="0"/>
                              <w:marTop w:val="0"/>
                              <w:marBottom w:val="0"/>
                              <w:divBdr>
                                <w:top w:val="none" w:sz="0" w:space="0" w:color="auto"/>
                                <w:left w:val="none" w:sz="0" w:space="0" w:color="auto"/>
                                <w:bottom w:val="none" w:sz="0" w:space="0" w:color="auto"/>
                                <w:right w:val="none" w:sz="0" w:space="0" w:color="auto"/>
                              </w:divBdr>
                              <w:divsChild>
                                <w:div w:id="1328292305">
                                  <w:marLeft w:val="0"/>
                                  <w:marRight w:val="0"/>
                                  <w:marTop w:val="0"/>
                                  <w:marBottom w:val="0"/>
                                  <w:divBdr>
                                    <w:top w:val="none" w:sz="0" w:space="0" w:color="auto"/>
                                    <w:left w:val="none" w:sz="0" w:space="0" w:color="auto"/>
                                    <w:bottom w:val="none" w:sz="0" w:space="0" w:color="auto"/>
                                    <w:right w:val="none" w:sz="0" w:space="0" w:color="auto"/>
                                  </w:divBdr>
                                  <w:divsChild>
                                    <w:div w:id="670110743">
                                      <w:marLeft w:val="0"/>
                                      <w:marRight w:val="0"/>
                                      <w:marTop w:val="0"/>
                                      <w:marBottom w:val="0"/>
                                      <w:divBdr>
                                        <w:top w:val="none" w:sz="0" w:space="0" w:color="auto"/>
                                        <w:left w:val="none" w:sz="0" w:space="0" w:color="auto"/>
                                        <w:bottom w:val="none" w:sz="0" w:space="0" w:color="auto"/>
                                        <w:right w:val="none" w:sz="0" w:space="0" w:color="auto"/>
                                      </w:divBdr>
                                      <w:divsChild>
                                        <w:div w:id="2089575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309723">
      <w:bodyDiv w:val="1"/>
      <w:marLeft w:val="0"/>
      <w:marRight w:val="0"/>
      <w:marTop w:val="0"/>
      <w:marBottom w:val="0"/>
      <w:divBdr>
        <w:top w:val="none" w:sz="0" w:space="0" w:color="auto"/>
        <w:left w:val="none" w:sz="0" w:space="0" w:color="auto"/>
        <w:bottom w:val="none" w:sz="0" w:space="0" w:color="auto"/>
        <w:right w:val="none" w:sz="0" w:space="0" w:color="auto"/>
      </w:divBdr>
      <w:divsChild>
        <w:div w:id="162625456">
          <w:marLeft w:val="0"/>
          <w:marRight w:val="0"/>
          <w:marTop w:val="0"/>
          <w:marBottom w:val="0"/>
          <w:divBdr>
            <w:top w:val="none" w:sz="0" w:space="0" w:color="auto"/>
            <w:left w:val="none" w:sz="0" w:space="0" w:color="auto"/>
            <w:bottom w:val="none" w:sz="0" w:space="0" w:color="auto"/>
            <w:right w:val="none" w:sz="0" w:space="0" w:color="auto"/>
          </w:divBdr>
          <w:divsChild>
            <w:div w:id="687412996">
              <w:marLeft w:val="0"/>
              <w:marRight w:val="0"/>
              <w:marTop w:val="0"/>
              <w:marBottom w:val="0"/>
              <w:divBdr>
                <w:top w:val="none" w:sz="0" w:space="0" w:color="auto"/>
                <w:left w:val="none" w:sz="0" w:space="0" w:color="auto"/>
                <w:bottom w:val="none" w:sz="0" w:space="0" w:color="auto"/>
                <w:right w:val="none" w:sz="0" w:space="0" w:color="auto"/>
              </w:divBdr>
              <w:divsChild>
                <w:div w:id="446434259">
                  <w:marLeft w:val="0"/>
                  <w:marRight w:val="0"/>
                  <w:marTop w:val="0"/>
                  <w:marBottom w:val="0"/>
                  <w:divBdr>
                    <w:top w:val="none" w:sz="0" w:space="0" w:color="auto"/>
                    <w:left w:val="none" w:sz="0" w:space="0" w:color="auto"/>
                    <w:bottom w:val="none" w:sz="0" w:space="0" w:color="auto"/>
                    <w:right w:val="none" w:sz="0" w:space="0" w:color="auto"/>
                  </w:divBdr>
                  <w:divsChild>
                    <w:div w:id="1991325287">
                      <w:marLeft w:val="0"/>
                      <w:marRight w:val="0"/>
                      <w:marTop w:val="0"/>
                      <w:marBottom w:val="0"/>
                      <w:divBdr>
                        <w:top w:val="none" w:sz="0" w:space="0" w:color="auto"/>
                        <w:left w:val="none" w:sz="0" w:space="0" w:color="auto"/>
                        <w:bottom w:val="none" w:sz="0" w:space="0" w:color="auto"/>
                        <w:right w:val="none" w:sz="0" w:space="0" w:color="auto"/>
                      </w:divBdr>
                      <w:divsChild>
                        <w:div w:id="288752750">
                          <w:marLeft w:val="0"/>
                          <w:marRight w:val="0"/>
                          <w:marTop w:val="0"/>
                          <w:marBottom w:val="0"/>
                          <w:divBdr>
                            <w:top w:val="none" w:sz="0" w:space="0" w:color="auto"/>
                            <w:left w:val="none" w:sz="0" w:space="0" w:color="auto"/>
                            <w:bottom w:val="none" w:sz="0" w:space="0" w:color="auto"/>
                            <w:right w:val="none" w:sz="0" w:space="0" w:color="auto"/>
                          </w:divBdr>
                          <w:divsChild>
                            <w:div w:id="1510099583">
                              <w:marLeft w:val="0"/>
                              <w:marRight w:val="0"/>
                              <w:marTop w:val="0"/>
                              <w:marBottom w:val="0"/>
                              <w:divBdr>
                                <w:top w:val="none" w:sz="0" w:space="0" w:color="auto"/>
                                <w:left w:val="none" w:sz="0" w:space="0" w:color="auto"/>
                                <w:bottom w:val="none" w:sz="0" w:space="0" w:color="auto"/>
                                <w:right w:val="none" w:sz="0" w:space="0" w:color="auto"/>
                              </w:divBdr>
                              <w:divsChild>
                                <w:div w:id="1004825813">
                                  <w:marLeft w:val="0"/>
                                  <w:marRight w:val="0"/>
                                  <w:marTop w:val="0"/>
                                  <w:marBottom w:val="0"/>
                                  <w:divBdr>
                                    <w:top w:val="none" w:sz="0" w:space="0" w:color="auto"/>
                                    <w:left w:val="none" w:sz="0" w:space="0" w:color="auto"/>
                                    <w:bottom w:val="none" w:sz="0" w:space="0" w:color="auto"/>
                                    <w:right w:val="none" w:sz="0" w:space="0" w:color="auto"/>
                                  </w:divBdr>
                                  <w:divsChild>
                                    <w:div w:id="193331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9073359">
          <w:marLeft w:val="0"/>
          <w:marRight w:val="0"/>
          <w:marTop w:val="0"/>
          <w:marBottom w:val="0"/>
          <w:divBdr>
            <w:top w:val="none" w:sz="0" w:space="0" w:color="auto"/>
            <w:left w:val="none" w:sz="0" w:space="0" w:color="auto"/>
            <w:bottom w:val="none" w:sz="0" w:space="0" w:color="auto"/>
            <w:right w:val="none" w:sz="0" w:space="0" w:color="auto"/>
          </w:divBdr>
        </w:div>
      </w:divsChild>
    </w:div>
    <w:div w:id="144443940">
      <w:bodyDiv w:val="1"/>
      <w:marLeft w:val="0"/>
      <w:marRight w:val="0"/>
      <w:marTop w:val="0"/>
      <w:marBottom w:val="0"/>
      <w:divBdr>
        <w:top w:val="none" w:sz="0" w:space="0" w:color="auto"/>
        <w:left w:val="none" w:sz="0" w:space="0" w:color="auto"/>
        <w:bottom w:val="none" w:sz="0" w:space="0" w:color="auto"/>
        <w:right w:val="none" w:sz="0" w:space="0" w:color="auto"/>
      </w:divBdr>
    </w:div>
    <w:div w:id="209534294">
      <w:bodyDiv w:val="1"/>
      <w:marLeft w:val="0"/>
      <w:marRight w:val="0"/>
      <w:marTop w:val="0"/>
      <w:marBottom w:val="0"/>
      <w:divBdr>
        <w:top w:val="none" w:sz="0" w:space="0" w:color="auto"/>
        <w:left w:val="none" w:sz="0" w:space="0" w:color="auto"/>
        <w:bottom w:val="none" w:sz="0" w:space="0" w:color="auto"/>
        <w:right w:val="none" w:sz="0" w:space="0" w:color="auto"/>
      </w:divBdr>
      <w:divsChild>
        <w:div w:id="2087026133">
          <w:marLeft w:val="0"/>
          <w:marRight w:val="0"/>
          <w:marTop w:val="0"/>
          <w:marBottom w:val="0"/>
          <w:divBdr>
            <w:top w:val="none" w:sz="0" w:space="0" w:color="auto"/>
            <w:left w:val="none" w:sz="0" w:space="0" w:color="auto"/>
            <w:bottom w:val="none" w:sz="0" w:space="0" w:color="auto"/>
            <w:right w:val="none" w:sz="0" w:space="0" w:color="auto"/>
          </w:divBdr>
        </w:div>
      </w:divsChild>
    </w:div>
    <w:div w:id="250703770">
      <w:bodyDiv w:val="1"/>
      <w:marLeft w:val="0"/>
      <w:marRight w:val="0"/>
      <w:marTop w:val="0"/>
      <w:marBottom w:val="0"/>
      <w:divBdr>
        <w:top w:val="none" w:sz="0" w:space="0" w:color="auto"/>
        <w:left w:val="none" w:sz="0" w:space="0" w:color="auto"/>
        <w:bottom w:val="none" w:sz="0" w:space="0" w:color="auto"/>
        <w:right w:val="none" w:sz="0" w:space="0" w:color="auto"/>
      </w:divBdr>
    </w:div>
    <w:div w:id="337663655">
      <w:bodyDiv w:val="1"/>
      <w:marLeft w:val="0"/>
      <w:marRight w:val="0"/>
      <w:marTop w:val="0"/>
      <w:marBottom w:val="0"/>
      <w:divBdr>
        <w:top w:val="none" w:sz="0" w:space="0" w:color="auto"/>
        <w:left w:val="none" w:sz="0" w:space="0" w:color="auto"/>
        <w:bottom w:val="none" w:sz="0" w:space="0" w:color="auto"/>
        <w:right w:val="none" w:sz="0" w:space="0" w:color="auto"/>
      </w:divBdr>
    </w:div>
    <w:div w:id="377508523">
      <w:bodyDiv w:val="1"/>
      <w:marLeft w:val="0"/>
      <w:marRight w:val="0"/>
      <w:marTop w:val="0"/>
      <w:marBottom w:val="0"/>
      <w:divBdr>
        <w:top w:val="none" w:sz="0" w:space="0" w:color="auto"/>
        <w:left w:val="none" w:sz="0" w:space="0" w:color="auto"/>
        <w:bottom w:val="none" w:sz="0" w:space="0" w:color="auto"/>
        <w:right w:val="none" w:sz="0" w:space="0" w:color="auto"/>
      </w:divBdr>
    </w:div>
    <w:div w:id="387195513">
      <w:bodyDiv w:val="1"/>
      <w:marLeft w:val="0"/>
      <w:marRight w:val="0"/>
      <w:marTop w:val="0"/>
      <w:marBottom w:val="0"/>
      <w:divBdr>
        <w:top w:val="none" w:sz="0" w:space="0" w:color="auto"/>
        <w:left w:val="none" w:sz="0" w:space="0" w:color="auto"/>
        <w:bottom w:val="none" w:sz="0" w:space="0" w:color="auto"/>
        <w:right w:val="none" w:sz="0" w:space="0" w:color="auto"/>
      </w:divBdr>
    </w:div>
    <w:div w:id="432358608">
      <w:bodyDiv w:val="1"/>
      <w:marLeft w:val="0"/>
      <w:marRight w:val="0"/>
      <w:marTop w:val="0"/>
      <w:marBottom w:val="0"/>
      <w:divBdr>
        <w:top w:val="none" w:sz="0" w:space="0" w:color="auto"/>
        <w:left w:val="none" w:sz="0" w:space="0" w:color="auto"/>
        <w:bottom w:val="none" w:sz="0" w:space="0" w:color="auto"/>
        <w:right w:val="none" w:sz="0" w:space="0" w:color="auto"/>
      </w:divBdr>
    </w:div>
    <w:div w:id="448549133">
      <w:bodyDiv w:val="1"/>
      <w:marLeft w:val="0"/>
      <w:marRight w:val="0"/>
      <w:marTop w:val="0"/>
      <w:marBottom w:val="0"/>
      <w:divBdr>
        <w:top w:val="none" w:sz="0" w:space="0" w:color="auto"/>
        <w:left w:val="none" w:sz="0" w:space="0" w:color="auto"/>
        <w:bottom w:val="none" w:sz="0" w:space="0" w:color="auto"/>
        <w:right w:val="none" w:sz="0" w:space="0" w:color="auto"/>
      </w:divBdr>
    </w:div>
    <w:div w:id="489947680">
      <w:bodyDiv w:val="1"/>
      <w:marLeft w:val="0"/>
      <w:marRight w:val="0"/>
      <w:marTop w:val="0"/>
      <w:marBottom w:val="0"/>
      <w:divBdr>
        <w:top w:val="none" w:sz="0" w:space="0" w:color="auto"/>
        <w:left w:val="none" w:sz="0" w:space="0" w:color="auto"/>
        <w:bottom w:val="none" w:sz="0" w:space="0" w:color="auto"/>
        <w:right w:val="none" w:sz="0" w:space="0" w:color="auto"/>
      </w:divBdr>
    </w:div>
    <w:div w:id="541867320">
      <w:bodyDiv w:val="1"/>
      <w:marLeft w:val="0"/>
      <w:marRight w:val="0"/>
      <w:marTop w:val="0"/>
      <w:marBottom w:val="0"/>
      <w:divBdr>
        <w:top w:val="none" w:sz="0" w:space="0" w:color="auto"/>
        <w:left w:val="none" w:sz="0" w:space="0" w:color="auto"/>
        <w:bottom w:val="none" w:sz="0" w:space="0" w:color="auto"/>
        <w:right w:val="none" w:sz="0" w:space="0" w:color="auto"/>
      </w:divBdr>
    </w:div>
    <w:div w:id="674502087">
      <w:bodyDiv w:val="1"/>
      <w:marLeft w:val="0"/>
      <w:marRight w:val="0"/>
      <w:marTop w:val="0"/>
      <w:marBottom w:val="0"/>
      <w:divBdr>
        <w:top w:val="none" w:sz="0" w:space="0" w:color="auto"/>
        <w:left w:val="none" w:sz="0" w:space="0" w:color="auto"/>
        <w:bottom w:val="none" w:sz="0" w:space="0" w:color="auto"/>
        <w:right w:val="none" w:sz="0" w:space="0" w:color="auto"/>
      </w:divBdr>
    </w:div>
    <w:div w:id="695236211">
      <w:bodyDiv w:val="1"/>
      <w:marLeft w:val="0"/>
      <w:marRight w:val="0"/>
      <w:marTop w:val="0"/>
      <w:marBottom w:val="0"/>
      <w:divBdr>
        <w:top w:val="none" w:sz="0" w:space="0" w:color="auto"/>
        <w:left w:val="none" w:sz="0" w:space="0" w:color="auto"/>
        <w:bottom w:val="none" w:sz="0" w:space="0" w:color="auto"/>
        <w:right w:val="none" w:sz="0" w:space="0" w:color="auto"/>
      </w:divBdr>
    </w:div>
    <w:div w:id="729577972">
      <w:bodyDiv w:val="1"/>
      <w:marLeft w:val="0"/>
      <w:marRight w:val="0"/>
      <w:marTop w:val="0"/>
      <w:marBottom w:val="0"/>
      <w:divBdr>
        <w:top w:val="none" w:sz="0" w:space="0" w:color="auto"/>
        <w:left w:val="none" w:sz="0" w:space="0" w:color="auto"/>
        <w:bottom w:val="none" w:sz="0" w:space="0" w:color="auto"/>
        <w:right w:val="none" w:sz="0" w:space="0" w:color="auto"/>
      </w:divBdr>
    </w:div>
    <w:div w:id="778990886">
      <w:bodyDiv w:val="1"/>
      <w:marLeft w:val="0"/>
      <w:marRight w:val="0"/>
      <w:marTop w:val="0"/>
      <w:marBottom w:val="0"/>
      <w:divBdr>
        <w:top w:val="none" w:sz="0" w:space="0" w:color="auto"/>
        <w:left w:val="none" w:sz="0" w:space="0" w:color="auto"/>
        <w:bottom w:val="none" w:sz="0" w:space="0" w:color="auto"/>
        <w:right w:val="none" w:sz="0" w:space="0" w:color="auto"/>
      </w:divBdr>
    </w:div>
    <w:div w:id="779494731">
      <w:bodyDiv w:val="1"/>
      <w:marLeft w:val="0"/>
      <w:marRight w:val="0"/>
      <w:marTop w:val="0"/>
      <w:marBottom w:val="0"/>
      <w:divBdr>
        <w:top w:val="none" w:sz="0" w:space="0" w:color="auto"/>
        <w:left w:val="none" w:sz="0" w:space="0" w:color="auto"/>
        <w:bottom w:val="none" w:sz="0" w:space="0" w:color="auto"/>
        <w:right w:val="none" w:sz="0" w:space="0" w:color="auto"/>
      </w:divBdr>
    </w:div>
    <w:div w:id="800735794">
      <w:bodyDiv w:val="1"/>
      <w:marLeft w:val="0"/>
      <w:marRight w:val="0"/>
      <w:marTop w:val="0"/>
      <w:marBottom w:val="0"/>
      <w:divBdr>
        <w:top w:val="none" w:sz="0" w:space="0" w:color="auto"/>
        <w:left w:val="none" w:sz="0" w:space="0" w:color="auto"/>
        <w:bottom w:val="none" w:sz="0" w:space="0" w:color="auto"/>
        <w:right w:val="none" w:sz="0" w:space="0" w:color="auto"/>
      </w:divBdr>
    </w:div>
    <w:div w:id="802238979">
      <w:bodyDiv w:val="1"/>
      <w:marLeft w:val="0"/>
      <w:marRight w:val="0"/>
      <w:marTop w:val="0"/>
      <w:marBottom w:val="0"/>
      <w:divBdr>
        <w:top w:val="none" w:sz="0" w:space="0" w:color="auto"/>
        <w:left w:val="none" w:sz="0" w:space="0" w:color="auto"/>
        <w:bottom w:val="none" w:sz="0" w:space="0" w:color="auto"/>
        <w:right w:val="none" w:sz="0" w:space="0" w:color="auto"/>
      </w:divBdr>
    </w:div>
    <w:div w:id="804087266">
      <w:bodyDiv w:val="1"/>
      <w:marLeft w:val="0"/>
      <w:marRight w:val="0"/>
      <w:marTop w:val="0"/>
      <w:marBottom w:val="0"/>
      <w:divBdr>
        <w:top w:val="none" w:sz="0" w:space="0" w:color="auto"/>
        <w:left w:val="none" w:sz="0" w:space="0" w:color="auto"/>
        <w:bottom w:val="none" w:sz="0" w:space="0" w:color="auto"/>
        <w:right w:val="none" w:sz="0" w:space="0" w:color="auto"/>
      </w:divBdr>
    </w:div>
    <w:div w:id="922959041">
      <w:bodyDiv w:val="1"/>
      <w:marLeft w:val="0"/>
      <w:marRight w:val="0"/>
      <w:marTop w:val="0"/>
      <w:marBottom w:val="0"/>
      <w:divBdr>
        <w:top w:val="none" w:sz="0" w:space="0" w:color="auto"/>
        <w:left w:val="none" w:sz="0" w:space="0" w:color="auto"/>
        <w:bottom w:val="none" w:sz="0" w:space="0" w:color="auto"/>
        <w:right w:val="none" w:sz="0" w:space="0" w:color="auto"/>
      </w:divBdr>
    </w:div>
    <w:div w:id="955406197">
      <w:bodyDiv w:val="1"/>
      <w:marLeft w:val="0"/>
      <w:marRight w:val="0"/>
      <w:marTop w:val="0"/>
      <w:marBottom w:val="0"/>
      <w:divBdr>
        <w:top w:val="none" w:sz="0" w:space="0" w:color="auto"/>
        <w:left w:val="none" w:sz="0" w:space="0" w:color="auto"/>
        <w:bottom w:val="none" w:sz="0" w:space="0" w:color="auto"/>
        <w:right w:val="none" w:sz="0" w:space="0" w:color="auto"/>
      </w:divBdr>
    </w:div>
    <w:div w:id="1002968631">
      <w:bodyDiv w:val="1"/>
      <w:marLeft w:val="0"/>
      <w:marRight w:val="0"/>
      <w:marTop w:val="0"/>
      <w:marBottom w:val="0"/>
      <w:divBdr>
        <w:top w:val="none" w:sz="0" w:space="0" w:color="auto"/>
        <w:left w:val="none" w:sz="0" w:space="0" w:color="auto"/>
        <w:bottom w:val="none" w:sz="0" w:space="0" w:color="auto"/>
        <w:right w:val="none" w:sz="0" w:space="0" w:color="auto"/>
      </w:divBdr>
    </w:div>
    <w:div w:id="1021777776">
      <w:bodyDiv w:val="1"/>
      <w:marLeft w:val="0"/>
      <w:marRight w:val="0"/>
      <w:marTop w:val="0"/>
      <w:marBottom w:val="0"/>
      <w:divBdr>
        <w:top w:val="none" w:sz="0" w:space="0" w:color="auto"/>
        <w:left w:val="none" w:sz="0" w:space="0" w:color="auto"/>
        <w:bottom w:val="none" w:sz="0" w:space="0" w:color="auto"/>
        <w:right w:val="none" w:sz="0" w:space="0" w:color="auto"/>
      </w:divBdr>
    </w:div>
    <w:div w:id="1036543804">
      <w:bodyDiv w:val="1"/>
      <w:marLeft w:val="0"/>
      <w:marRight w:val="0"/>
      <w:marTop w:val="0"/>
      <w:marBottom w:val="0"/>
      <w:divBdr>
        <w:top w:val="none" w:sz="0" w:space="0" w:color="auto"/>
        <w:left w:val="none" w:sz="0" w:space="0" w:color="auto"/>
        <w:bottom w:val="none" w:sz="0" w:space="0" w:color="auto"/>
        <w:right w:val="none" w:sz="0" w:space="0" w:color="auto"/>
      </w:divBdr>
    </w:div>
    <w:div w:id="1064793577">
      <w:bodyDiv w:val="1"/>
      <w:marLeft w:val="0"/>
      <w:marRight w:val="0"/>
      <w:marTop w:val="0"/>
      <w:marBottom w:val="0"/>
      <w:divBdr>
        <w:top w:val="none" w:sz="0" w:space="0" w:color="auto"/>
        <w:left w:val="none" w:sz="0" w:space="0" w:color="auto"/>
        <w:bottom w:val="none" w:sz="0" w:space="0" w:color="auto"/>
        <w:right w:val="none" w:sz="0" w:space="0" w:color="auto"/>
      </w:divBdr>
      <w:divsChild>
        <w:div w:id="1506553214">
          <w:marLeft w:val="0"/>
          <w:marRight w:val="0"/>
          <w:marTop w:val="0"/>
          <w:marBottom w:val="0"/>
          <w:divBdr>
            <w:top w:val="none" w:sz="0" w:space="0" w:color="auto"/>
            <w:left w:val="none" w:sz="0" w:space="0" w:color="auto"/>
            <w:bottom w:val="none" w:sz="0" w:space="0" w:color="auto"/>
            <w:right w:val="none" w:sz="0" w:space="0" w:color="auto"/>
          </w:divBdr>
        </w:div>
      </w:divsChild>
    </w:div>
    <w:div w:id="1120339435">
      <w:bodyDiv w:val="1"/>
      <w:marLeft w:val="0"/>
      <w:marRight w:val="0"/>
      <w:marTop w:val="0"/>
      <w:marBottom w:val="0"/>
      <w:divBdr>
        <w:top w:val="none" w:sz="0" w:space="0" w:color="auto"/>
        <w:left w:val="none" w:sz="0" w:space="0" w:color="auto"/>
        <w:bottom w:val="none" w:sz="0" w:space="0" w:color="auto"/>
        <w:right w:val="none" w:sz="0" w:space="0" w:color="auto"/>
      </w:divBdr>
    </w:div>
    <w:div w:id="1245801905">
      <w:bodyDiv w:val="1"/>
      <w:marLeft w:val="0"/>
      <w:marRight w:val="0"/>
      <w:marTop w:val="0"/>
      <w:marBottom w:val="0"/>
      <w:divBdr>
        <w:top w:val="none" w:sz="0" w:space="0" w:color="auto"/>
        <w:left w:val="none" w:sz="0" w:space="0" w:color="auto"/>
        <w:bottom w:val="none" w:sz="0" w:space="0" w:color="auto"/>
        <w:right w:val="none" w:sz="0" w:space="0" w:color="auto"/>
      </w:divBdr>
    </w:div>
    <w:div w:id="1278368052">
      <w:bodyDiv w:val="1"/>
      <w:marLeft w:val="0"/>
      <w:marRight w:val="0"/>
      <w:marTop w:val="0"/>
      <w:marBottom w:val="0"/>
      <w:divBdr>
        <w:top w:val="none" w:sz="0" w:space="0" w:color="auto"/>
        <w:left w:val="none" w:sz="0" w:space="0" w:color="auto"/>
        <w:bottom w:val="none" w:sz="0" w:space="0" w:color="auto"/>
        <w:right w:val="none" w:sz="0" w:space="0" w:color="auto"/>
      </w:divBdr>
    </w:div>
    <w:div w:id="1330985381">
      <w:bodyDiv w:val="1"/>
      <w:marLeft w:val="0"/>
      <w:marRight w:val="0"/>
      <w:marTop w:val="0"/>
      <w:marBottom w:val="0"/>
      <w:divBdr>
        <w:top w:val="none" w:sz="0" w:space="0" w:color="auto"/>
        <w:left w:val="none" w:sz="0" w:space="0" w:color="auto"/>
        <w:bottom w:val="none" w:sz="0" w:space="0" w:color="auto"/>
        <w:right w:val="none" w:sz="0" w:space="0" w:color="auto"/>
      </w:divBdr>
    </w:div>
    <w:div w:id="1332181186">
      <w:bodyDiv w:val="1"/>
      <w:marLeft w:val="0"/>
      <w:marRight w:val="0"/>
      <w:marTop w:val="0"/>
      <w:marBottom w:val="0"/>
      <w:divBdr>
        <w:top w:val="none" w:sz="0" w:space="0" w:color="auto"/>
        <w:left w:val="none" w:sz="0" w:space="0" w:color="auto"/>
        <w:bottom w:val="none" w:sz="0" w:space="0" w:color="auto"/>
        <w:right w:val="none" w:sz="0" w:space="0" w:color="auto"/>
      </w:divBdr>
      <w:divsChild>
        <w:div w:id="5171561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4649438">
      <w:bodyDiv w:val="1"/>
      <w:marLeft w:val="0"/>
      <w:marRight w:val="0"/>
      <w:marTop w:val="0"/>
      <w:marBottom w:val="0"/>
      <w:divBdr>
        <w:top w:val="none" w:sz="0" w:space="0" w:color="auto"/>
        <w:left w:val="none" w:sz="0" w:space="0" w:color="auto"/>
        <w:bottom w:val="none" w:sz="0" w:space="0" w:color="auto"/>
        <w:right w:val="none" w:sz="0" w:space="0" w:color="auto"/>
      </w:divBdr>
    </w:div>
    <w:div w:id="1471902537">
      <w:bodyDiv w:val="1"/>
      <w:marLeft w:val="0"/>
      <w:marRight w:val="0"/>
      <w:marTop w:val="0"/>
      <w:marBottom w:val="0"/>
      <w:divBdr>
        <w:top w:val="none" w:sz="0" w:space="0" w:color="auto"/>
        <w:left w:val="none" w:sz="0" w:space="0" w:color="auto"/>
        <w:bottom w:val="none" w:sz="0" w:space="0" w:color="auto"/>
        <w:right w:val="none" w:sz="0" w:space="0" w:color="auto"/>
      </w:divBdr>
    </w:div>
    <w:div w:id="1483155434">
      <w:bodyDiv w:val="1"/>
      <w:marLeft w:val="0"/>
      <w:marRight w:val="0"/>
      <w:marTop w:val="0"/>
      <w:marBottom w:val="0"/>
      <w:divBdr>
        <w:top w:val="none" w:sz="0" w:space="0" w:color="auto"/>
        <w:left w:val="none" w:sz="0" w:space="0" w:color="auto"/>
        <w:bottom w:val="none" w:sz="0" w:space="0" w:color="auto"/>
        <w:right w:val="none" w:sz="0" w:space="0" w:color="auto"/>
      </w:divBdr>
    </w:div>
    <w:div w:id="1484352442">
      <w:bodyDiv w:val="1"/>
      <w:marLeft w:val="0"/>
      <w:marRight w:val="0"/>
      <w:marTop w:val="0"/>
      <w:marBottom w:val="0"/>
      <w:divBdr>
        <w:top w:val="none" w:sz="0" w:space="0" w:color="auto"/>
        <w:left w:val="none" w:sz="0" w:space="0" w:color="auto"/>
        <w:bottom w:val="none" w:sz="0" w:space="0" w:color="auto"/>
        <w:right w:val="none" w:sz="0" w:space="0" w:color="auto"/>
      </w:divBdr>
    </w:div>
    <w:div w:id="1514341282">
      <w:bodyDiv w:val="1"/>
      <w:marLeft w:val="0"/>
      <w:marRight w:val="0"/>
      <w:marTop w:val="0"/>
      <w:marBottom w:val="0"/>
      <w:divBdr>
        <w:top w:val="none" w:sz="0" w:space="0" w:color="auto"/>
        <w:left w:val="none" w:sz="0" w:space="0" w:color="auto"/>
        <w:bottom w:val="none" w:sz="0" w:space="0" w:color="auto"/>
        <w:right w:val="none" w:sz="0" w:space="0" w:color="auto"/>
      </w:divBdr>
      <w:divsChild>
        <w:div w:id="1340812387">
          <w:marLeft w:val="0"/>
          <w:marRight w:val="0"/>
          <w:marTop w:val="0"/>
          <w:marBottom w:val="0"/>
          <w:divBdr>
            <w:top w:val="none" w:sz="0" w:space="0" w:color="auto"/>
            <w:left w:val="none" w:sz="0" w:space="0" w:color="auto"/>
            <w:bottom w:val="none" w:sz="0" w:space="0" w:color="auto"/>
            <w:right w:val="none" w:sz="0" w:space="0" w:color="auto"/>
          </w:divBdr>
          <w:divsChild>
            <w:div w:id="130175708">
              <w:marLeft w:val="0"/>
              <w:marRight w:val="0"/>
              <w:marTop w:val="0"/>
              <w:marBottom w:val="0"/>
              <w:divBdr>
                <w:top w:val="none" w:sz="0" w:space="0" w:color="auto"/>
                <w:left w:val="none" w:sz="0" w:space="0" w:color="auto"/>
                <w:bottom w:val="none" w:sz="0" w:space="0" w:color="auto"/>
                <w:right w:val="none" w:sz="0" w:space="0" w:color="auto"/>
              </w:divBdr>
              <w:divsChild>
                <w:div w:id="93477517">
                  <w:marLeft w:val="0"/>
                  <w:marRight w:val="0"/>
                  <w:marTop w:val="0"/>
                  <w:marBottom w:val="0"/>
                  <w:divBdr>
                    <w:top w:val="none" w:sz="0" w:space="0" w:color="auto"/>
                    <w:left w:val="none" w:sz="0" w:space="0" w:color="auto"/>
                    <w:bottom w:val="none" w:sz="0" w:space="0" w:color="auto"/>
                    <w:right w:val="none" w:sz="0" w:space="0" w:color="auto"/>
                  </w:divBdr>
                  <w:divsChild>
                    <w:div w:id="1269659286">
                      <w:marLeft w:val="0"/>
                      <w:marRight w:val="0"/>
                      <w:marTop w:val="0"/>
                      <w:marBottom w:val="0"/>
                      <w:divBdr>
                        <w:top w:val="none" w:sz="0" w:space="0" w:color="auto"/>
                        <w:left w:val="none" w:sz="0" w:space="0" w:color="auto"/>
                        <w:bottom w:val="none" w:sz="0" w:space="0" w:color="auto"/>
                        <w:right w:val="none" w:sz="0" w:space="0" w:color="auto"/>
                      </w:divBdr>
                      <w:divsChild>
                        <w:div w:id="427047188">
                          <w:marLeft w:val="0"/>
                          <w:marRight w:val="0"/>
                          <w:marTop w:val="0"/>
                          <w:marBottom w:val="0"/>
                          <w:divBdr>
                            <w:top w:val="none" w:sz="0" w:space="0" w:color="auto"/>
                            <w:left w:val="none" w:sz="0" w:space="0" w:color="auto"/>
                            <w:bottom w:val="none" w:sz="0" w:space="0" w:color="auto"/>
                            <w:right w:val="none" w:sz="0" w:space="0" w:color="auto"/>
                          </w:divBdr>
                          <w:divsChild>
                            <w:div w:id="1680694139">
                              <w:marLeft w:val="0"/>
                              <w:marRight w:val="0"/>
                              <w:marTop w:val="0"/>
                              <w:marBottom w:val="0"/>
                              <w:divBdr>
                                <w:top w:val="none" w:sz="0" w:space="0" w:color="auto"/>
                                <w:left w:val="none" w:sz="0" w:space="0" w:color="auto"/>
                                <w:bottom w:val="none" w:sz="0" w:space="0" w:color="auto"/>
                                <w:right w:val="none" w:sz="0" w:space="0" w:color="auto"/>
                              </w:divBdr>
                              <w:divsChild>
                                <w:div w:id="161501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7729886">
      <w:bodyDiv w:val="1"/>
      <w:marLeft w:val="0"/>
      <w:marRight w:val="0"/>
      <w:marTop w:val="0"/>
      <w:marBottom w:val="0"/>
      <w:divBdr>
        <w:top w:val="none" w:sz="0" w:space="0" w:color="auto"/>
        <w:left w:val="none" w:sz="0" w:space="0" w:color="auto"/>
        <w:bottom w:val="none" w:sz="0" w:space="0" w:color="auto"/>
        <w:right w:val="none" w:sz="0" w:space="0" w:color="auto"/>
      </w:divBdr>
      <w:divsChild>
        <w:div w:id="9863238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5941538">
      <w:bodyDiv w:val="1"/>
      <w:marLeft w:val="0"/>
      <w:marRight w:val="0"/>
      <w:marTop w:val="0"/>
      <w:marBottom w:val="0"/>
      <w:divBdr>
        <w:top w:val="none" w:sz="0" w:space="0" w:color="auto"/>
        <w:left w:val="none" w:sz="0" w:space="0" w:color="auto"/>
        <w:bottom w:val="none" w:sz="0" w:space="0" w:color="auto"/>
        <w:right w:val="none" w:sz="0" w:space="0" w:color="auto"/>
      </w:divBdr>
      <w:divsChild>
        <w:div w:id="29651585">
          <w:marLeft w:val="0"/>
          <w:marRight w:val="0"/>
          <w:marTop w:val="0"/>
          <w:marBottom w:val="0"/>
          <w:divBdr>
            <w:top w:val="none" w:sz="0" w:space="0" w:color="auto"/>
            <w:left w:val="none" w:sz="0" w:space="0" w:color="auto"/>
            <w:bottom w:val="none" w:sz="0" w:space="0" w:color="auto"/>
            <w:right w:val="none" w:sz="0" w:space="0" w:color="auto"/>
          </w:divBdr>
        </w:div>
      </w:divsChild>
    </w:div>
    <w:div w:id="1705864378">
      <w:bodyDiv w:val="1"/>
      <w:marLeft w:val="0"/>
      <w:marRight w:val="0"/>
      <w:marTop w:val="0"/>
      <w:marBottom w:val="0"/>
      <w:divBdr>
        <w:top w:val="none" w:sz="0" w:space="0" w:color="auto"/>
        <w:left w:val="none" w:sz="0" w:space="0" w:color="auto"/>
        <w:bottom w:val="none" w:sz="0" w:space="0" w:color="auto"/>
        <w:right w:val="none" w:sz="0" w:space="0" w:color="auto"/>
      </w:divBdr>
    </w:div>
    <w:div w:id="1733499894">
      <w:bodyDiv w:val="1"/>
      <w:marLeft w:val="0"/>
      <w:marRight w:val="0"/>
      <w:marTop w:val="0"/>
      <w:marBottom w:val="0"/>
      <w:divBdr>
        <w:top w:val="none" w:sz="0" w:space="0" w:color="auto"/>
        <w:left w:val="none" w:sz="0" w:space="0" w:color="auto"/>
        <w:bottom w:val="none" w:sz="0" w:space="0" w:color="auto"/>
        <w:right w:val="none" w:sz="0" w:space="0" w:color="auto"/>
      </w:divBdr>
    </w:div>
    <w:div w:id="1755541409">
      <w:bodyDiv w:val="1"/>
      <w:marLeft w:val="0"/>
      <w:marRight w:val="0"/>
      <w:marTop w:val="0"/>
      <w:marBottom w:val="0"/>
      <w:divBdr>
        <w:top w:val="none" w:sz="0" w:space="0" w:color="auto"/>
        <w:left w:val="none" w:sz="0" w:space="0" w:color="auto"/>
        <w:bottom w:val="none" w:sz="0" w:space="0" w:color="auto"/>
        <w:right w:val="none" w:sz="0" w:space="0" w:color="auto"/>
      </w:divBdr>
    </w:div>
    <w:div w:id="1805541037">
      <w:bodyDiv w:val="1"/>
      <w:marLeft w:val="0"/>
      <w:marRight w:val="0"/>
      <w:marTop w:val="0"/>
      <w:marBottom w:val="0"/>
      <w:divBdr>
        <w:top w:val="none" w:sz="0" w:space="0" w:color="auto"/>
        <w:left w:val="none" w:sz="0" w:space="0" w:color="auto"/>
        <w:bottom w:val="none" w:sz="0" w:space="0" w:color="auto"/>
        <w:right w:val="none" w:sz="0" w:space="0" w:color="auto"/>
      </w:divBdr>
    </w:div>
    <w:div w:id="1815949068">
      <w:bodyDiv w:val="1"/>
      <w:marLeft w:val="0"/>
      <w:marRight w:val="0"/>
      <w:marTop w:val="0"/>
      <w:marBottom w:val="0"/>
      <w:divBdr>
        <w:top w:val="none" w:sz="0" w:space="0" w:color="auto"/>
        <w:left w:val="none" w:sz="0" w:space="0" w:color="auto"/>
        <w:bottom w:val="none" w:sz="0" w:space="0" w:color="auto"/>
        <w:right w:val="none" w:sz="0" w:space="0" w:color="auto"/>
      </w:divBdr>
    </w:div>
    <w:div w:id="1857231558">
      <w:bodyDiv w:val="1"/>
      <w:marLeft w:val="0"/>
      <w:marRight w:val="0"/>
      <w:marTop w:val="0"/>
      <w:marBottom w:val="0"/>
      <w:divBdr>
        <w:top w:val="none" w:sz="0" w:space="0" w:color="auto"/>
        <w:left w:val="none" w:sz="0" w:space="0" w:color="auto"/>
        <w:bottom w:val="none" w:sz="0" w:space="0" w:color="auto"/>
        <w:right w:val="none" w:sz="0" w:space="0" w:color="auto"/>
      </w:divBdr>
    </w:div>
    <w:div w:id="1922716250">
      <w:bodyDiv w:val="1"/>
      <w:marLeft w:val="0"/>
      <w:marRight w:val="0"/>
      <w:marTop w:val="0"/>
      <w:marBottom w:val="0"/>
      <w:divBdr>
        <w:top w:val="none" w:sz="0" w:space="0" w:color="auto"/>
        <w:left w:val="none" w:sz="0" w:space="0" w:color="auto"/>
        <w:bottom w:val="none" w:sz="0" w:space="0" w:color="auto"/>
        <w:right w:val="none" w:sz="0" w:space="0" w:color="auto"/>
      </w:divBdr>
    </w:div>
    <w:div w:id="1930036469">
      <w:bodyDiv w:val="1"/>
      <w:marLeft w:val="0"/>
      <w:marRight w:val="0"/>
      <w:marTop w:val="0"/>
      <w:marBottom w:val="0"/>
      <w:divBdr>
        <w:top w:val="none" w:sz="0" w:space="0" w:color="auto"/>
        <w:left w:val="none" w:sz="0" w:space="0" w:color="auto"/>
        <w:bottom w:val="none" w:sz="0" w:space="0" w:color="auto"/>
        <w:right w:val="none" w:sz="0" w:space="0" w:color="auto"/>
      </w:divBdr>
      <w:divsChild>
        <w:div w:id="1424300977">
          <w:marLeft w:val="0"/>
          <w:marRight w:val="0"/>
          <w:marTop w:val="0"/>
          <w:marBottom w:val="0"/>
          <w:divBdr>
            <w:top w:val="none" w:sz="0" w:space="0" w:color="auto"/>
            <w:left w:val="none" w:sz="0" w:space="0" w:color="auto"/>
            <w:bottom w:val="none" w:sz="0" w:space="0" w:color="auto"/>
            <w:right w:val="none" w:sz="0" w:space="0" w:color="auto"/>
          </w:divBdr>
          <w:divsChild>
            <w:div w:id="1960185722">
              <w:marLeft w:val="0"/>
              <w:marRight w:val="0"/>
              <w:marTop w:val="0"/>
              <w:marBottom w:val="0"/>
              <w:divBdr>
                <w:top w:val="none" w:sz="0" w:space="0" w:color="auto"/>
                <w:left w:val="none" w:sz="0" w:space="0" w:color="auto"/>
                <w:bottom w:val="none" w:sz="0" w:space="0" w:color="auto"/>
                <w:right w:val="none" w:sz="0" w:space="0" w:color="auto"/>
              </w:divBdr>
              <w:divsChild>
                <w:div w:id="415832082">
                  <w:marLeft w:val="0"/>
                  <w:marRight w:val="0"/>
                  <w:marTop w:val="0"/>
                  <w:marBottom w:val="0"/>
                  <w:divBdr>
                    <w:top w:val="none" w:sz="0" w:space="0" w:color="auto"/>
                    <w:left w:val="none" w:sz="0" w:space="0" w:color="auto"/>
                    <w:bottom w:val="none" w:sz="0" w:space="0" w:color="auto"/>
                    <w:right w:val="none" w:sz="0" w:space="0" w:color="auto"/>
                  </w:divBdr>
                  <w:divsChild>
                    <w:div w:id="140386854">
                      <w:marLeft w:val="0"/>
                      <w:marRight w:val="0"/>
                      <w:marTop w:val="0"/>
                      <w:marBottom w:val="0"/>
                      <w:divBdr>
                        <w:top w:val="none" w:sz="0" w:space="0" w:color="auto"/>
                        <w:left w:val="none" w:sz="0" w:space="0" w:color="auto"/>
                        <w:bottom w:val="none" w:sz="0" w:space="0" w:color="auto"/>
                        <w:right w:val="none" w:sz="0" w:space="0" w:color="auto"/>
                      </w:divBdr>
                      <w:divsChild>
                        <w:div w:id="332420396">
                          <w:marLeft w:val="0"/>
                          <w:marRight w:val="0"/>
                          <w:marTop w:val="0"/>
                          <w:marBottom w:val="0"/>
                          <w:divBdr>
                            <w:top w:val="none" w:sz="0" w:space="0" w:color="auto"/>
                            <w:left w:val="none" w:sz="0" w:space="0" w:color="auto"/>
                            <w:bottom w:val="none" w:sz="0" w:space="0" w:color="auto"/>
                            <w:right w:val="none" w:sz="0" w:space="0" w:color="auto"/>
                          </w:divBdr>
                          <w:divsChild>
                            <w:div w:id="1095513456">
                              <w:marLeft w:val="0"/>
                              <w:marRight w:val="0"/>
                              <w:marTop w:val="0"/>
                              <w:marBottom w:val="0"/>
                              <w:divBdr>
                                <w:top w:val="none" w:sz="0" w:space="0" w:color="auto"/>
                                <w:left w:val="none" w:sz="0" w:space="0" w:color="auto"/>
                                <w:bottom w:val="none" w:sz="0" w:space="0" w:color="auto"/>
                                <w:right w:val="none" w:sz="0" w:space="0" w:color="auto"/>
                              </w:divBdr>
                              <w:divsChild>
                                <w:div w:id="112556903">
                                  <w:marLeft w:val="0"/>
                                  <w:marRight w:val="0"/>
                                  <w:marTop w:val="0"/>
                                  <w:marBottom w:val="0"/>
                                  <w:divBdr>
                                    <w:top w:val="none" w:sz="0" w:space="0" w:color="auto"/>
                                    <w:left w:val="none" w:sz="0" w:space="0" w:color="auto"/>
                                    <w:bottom w:val="none" w:sz="0" w:space="0" w:color="auto"/>
                                    <w:right w:val="none" w:sz="0" w:space="0" w:color="auto"/>
                                  </w:divBdr>
                                  <w:divsChild>
                                    <w:div w:id="36636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9101351">
          <w:marLeft w:val="0"/>
          <w:marRight w:val="0"/>
          <w:marTop w:val="0"/>
          <w:marBottom w:val="0"/>
          <w:divBdr>
            <w:top w:val="none" w:sz="0" w:space="0" w:color="auto"/>
            <w:left w:val="none" w:sz="0" w:space="0" w:color="auto"/>
            <w:bottom w:val="none" w:sz="0" w:space="0" w:color="auto"/>
            <w:right w:val="none" w:sz="0" w:space="0" w:color="auto"/>
          </w:divBdr>
        </w:div>
      </w:divsChild>
    </w:div>
    <w:div w:id="2019770672">
      <w:bodyDiv w:val="1"/>
      <w:marLeft w:val="0"/>
      <w:marRight w:val="0"/>
      <w:marTop w:val="0"/>
      <w:marBottom w:val="0"/>
      <w:divBdr>
        <w:top w:val="none" w:sz="0" w:space="0" w:color="auto"/>
        <w:left w:val="none" w:sz="0" w:space="0" w:color="auto"/>
        <w:bottom w:val="none" w:sz="0" w:space="0" w:color="auto"/>
        <w:right w:val="none" w:sz="0" w:space="0" w:color="auto"/>
      </w:divBdr>
    </w:div>
    <w:div w:id="2029090734">
      <w:bodyDiv w:val="1"/>
      <w:marLeft w:val="0"/>
      <w:marRight w:val="0"/>
      <w:marTop w:val="0"/>
      <w:marBottom w:val="0"/>
      <w:divBdr>
        <w:top w:val="none" w:sz="0" w:space="0" w:color="auto"/>
        <w:left w:val="none" w:sz="0" w:space="0" w:color="auto"/>
        <w:bottom w:val="none" w:sz="0" w:space="0" w:color="auto"/>
        <w:right w:val="none" w:sz="0" w:space="0" w:color="auto"/>
      </w:divBdr>
    </w:div>
    <w:div w:id="2073696974">
      <w:bodyDiv w:val="1"/>
      <w:marLeft w:val="0"/>
      <w:marRight w:val="0"/>
      <w:marTop w:val="0"/>
      <w:marBottom w:val="0"/>
      <w:divBdr>
        <w:top w:val="none" w:sz="0" w:space="0" w:color="auto"/>
        <w:left w:val="none" w:sz="0" w:space="0" w:color="auto"/>
        <w:bottom w:val="none" w:sz="0" w:space="0" w:color="auto"/>
        <w:right w:val="none" w:sz="0" w:space="0" w:color="auto"/>
      </w:divBdr>
    </w:div>
    <w:div w:id="2091542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3FDBC2031823944CAE7A47B474980AF9" ma:contentTypeVersion="11" ma:contentTypeDescription="Crie um novo documento." ma:contentTypeScope="" ma:versionID="855b8a9cb39ccb1a7b580d7bd67e6c38">
  <xsd:schema xmlns:xsd="http://www.w3.org/2001/XMLSchema" xmlns:xs="http://www.w3.org/2001/XMLSchema" xmlns:p="http://schemas.microsoft.com/office/2006/metadata/properties" xmlns:ns2="725921e2-8998-4eb1-9fb8-0a15db1010ad" xmlns:ns3="92c5a728-2296-426d-baf2-0ff787f497e1" targetNamespace="http://schemas.microsoft.com/office/2006/metadata/properties" ma:root="true" ma:fieldsID="1d1296c8fba1412a6f6c28c7bf1b5c6f" ns2:_="" ns3:_="">
    <xsd:import namespace="725921e2-8998-4eb1-9fb8-0a15db1010ad"/>
    <xsd:import namespace="92c5a728-2296-426d-baf2-0ff787f497e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5921e2-8998-4eb1-9fb8-0a15db1010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Marcações de imagem" ma:readOnly="false" ma:fieldId="{5cf76f15-5ced-4ddc-b409-7134ff3c332f}" ma:taxonomyMulti="true" ma:sspId="b94074d8-97da-4deb-a367-6d65a6a9ab58"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c5a728-2296-426d-baf2-0ff787f497e1"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d5f72d34-8b74-44f7-91a5-e89f3854a116}" ma:internalName="TaxCatchAll" ma:showField="CatchAllData" ma:web="92c5a728-2296-426d-baf2-0ff787f497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92c5a728-2296-426d-baf2-0ff787f497e1" xsi:nil="true"/>
    <lcf76f155ced4ddcb4097134ff3c332f xmlns="725921e2-8998-4eb1-9fb8-0a15db1010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B3B699C-58A5-4E30-B28D-A0EBD2730770}">
  <ds:schemaRefs>
    <ds:schemaRef ds:uri="http://schemas.openxmlformats.org/officeDocument/2006/bibliography"/>
  </ds:schemaRefs>
</ds:datastoreItem>
</file>

<file path=customXml/itemProps2.xml><?xml version="1.0" encoding="utf-8"?>
<ds:datastoreItem xmlns:ds="http://schemas.openxmlformats.org/officeDocument/2006/customXml" ds:itemID="{7A7A7FD6-6C0C-4048-ACD6-4408BAE703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5921e2-8998-4eb1-9fb8-0a15db1010ad"/>
    <ds:schemaRef ds:uri="92c5a728-2296-426d-baf2-0ff787f497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9CE5C4D-344E-4B9A-BACC-B692E5F42C94}">
  <ds:schemaRefs>
    <ds:schemaRef ds:uri="http://schemas.microsoft.com/sharepoint/v3/contenttype/forms"/>
  </ds:schemaRefs>
</ds:datastoreItem>
</file>

<file path=customXml/itemProps4.xml><?xml version="1.0" encoding="utf-8"?>
<ds:datastoreItem xmlns:ds="http://schemas.openxmlformats.org/officeDocument/2006/customXml" ds:itemID="{FBFA4F3B-2708-4731-A0D3-85F4C0631F4E}">
  <ds:schemaRefs>
    <ds:schemaRef ds:uri="http://schemas.microsoft.com/office/2006/metadata/properties"/>
    <ds:schemaRef ds:uri="http://schemas.microsoft.com/office/infopath/2007/PartnerControls"/>
    <ds:schemaRef ds:uri="92c5a728-2296-426d-baf2-0ff787f497e1"/>
    <ds:schemaRef ds:uri="725921e2-8998-4eb1-9fb8-0a15db1010ad"/>
  </ds:schemaRefs>
</ds:datastoreItem>
</file>

<file path=docProps/app.xml><?xml version="1.0" encoding="utf-8"?>
<Properties xmlns="http://schemas.openxmlformats.org/officeDocument/2006/extended-properties" xmlns:vt="http://schemas.openxmlformats.org/officeDocument/2006/docPropsVTypes">
  <Template>Normal.dotm</Template>
  <TotalTime>5897</TotalTime>
  <Pages>9</Pages>
  <Words>3801</Words>
  <Characters>24389</Characters>
  <Application>Microsoft Office Word</Application>
  <DocSecurity>0</DocSecurity>
  <Lines>903</Lines>
  <Paragraphs>198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27992</CharactersWithSpaces>
  <SharedDoc>false</SharedDoc>
  <HLinks>
    <vt:vector size="372" baseType="variant">
      <vt:variant>
        <vt:i4>3801138</vt:i4>
      </vt:variant>
      <vt:variant>
        <vt:i4>183</vt:i4>
      </vt:variant>
      <vt:variant>
        <vt:i4>0</vt:i4>
      </vt:variant>
      <vt:variant>
        <vt:i4>5</vt:i4>
      </vt:variant>
      <vt:variant>
        <vt:lpwstr>https://www.cisecurity.org/controls</vt:lpwstr>
      </vt:variant>
      <vt:variant>
        <vt:lpwstr/>
      </vt:variant>
      <vt:variant>
        <vt:i4>7077994</vt:i4>
      </vt:variant>
      <vt:variant>
        <vt:i4>180</vt:i4>
      </vt:variant>
      <vt:variant>
        <vt:i4>0</vt:i4>
      </vt:variant>
      <vt:variant>
        <vt:i4>5</vt:i4>
      </vt:variant>
      <vt:variant>
        <vt:lpwstr>https://www.planalto.gov.br/ccivil_03/_ato2015-2018/2018/lei/l13709.htm</vt:lpwstr>
      </vt:variant>
      <vt:variant>
        <vt:lpwstr/>
      </vt:variant>
      <vt:variant>
        <vt:i4>6422634</vt:i4>
      </vt:variant>
      <vt:variant>
        <vt:i4>177</vt:i4>
      </vt:variant>
      <vt:variant>
        <vt:i4>0</vt:i4>
      </vt:variant>
      <vt:variant>
        <vt:i4>5</vt:i4>
      </vt:variant>
      <vt:variant>
        <vt:lpwstr>https://www.planalto.gov.br/ccivil_03/_ato2011-2014/2011/lei/l12527.htm</vt:lpwstr>
      </vt:variant>
      <vt:variant>
        <vt:lpwstr/>
      </vt:variant>
      <vt:variant>
        <vt:i4>7077994</vt:i4>
      </vt:variant>
      <vt:variant>
        <vt:i4>174</vt:i4>
      </vt:variant>
      <vt:variant>
        <vt:i4>0</vt:i4>
      </vt:variant>
      <vt:variant>
        <vt:i4>5</vt:i4>
      </vt:variant>
      <vt:variant>
        <vt:lpwstr>https://www.planalto.gov.br/ccivil_03/_ato2015-2018/2018/lei/l13709.htm</vt:lpwstr>
      </vt:variant>
      <vt:variant>
        <vt:lpwstr/>
      </vt:variant>
      <vt:variant>
        <vt:i4>3801138</vt:i4>
      </vt:variant>
      <vt:variant>
        <vt:i4>171</vt:i4>
      </vt:variant>
      <vt:variant>
        <vt:i4>0</vt:i4>
      </vt:variant>
      <vt:variant>
        <vt:i4>5</vt:i4>
      </vt:variant>
      <vt:variant>
        <vt:lpwstr>https://www.cisecurity.org/controls</vt:lpwstr>
      </vt:variant>
      <vt:variant>
        <vt:lpwstr/>
      </vt:variant>
      <vt:variant>
        <vt:i4>7077994</vt:i4>
      </vt:variant>
      <vt:variant>
        <vt:i4>168</vt:i4>
      </vt:variant>
      <vt:variant>
        <vt:i4>0</vt:i4>
      </vt:variant>
      <vt:variant>
        <vt:i4>5</vt:i4>
      </vt:variant>
      <vt:variant>
        <vt:lpwstr>https://www.planalto.gov.br/ccivil_03/_ato2015-2018/2018/lei/l13709.htm</vt:lpwstr>
      </vt:variant>
      <vt:variant>
        <vt:lpwstr/>
      </vt:variant>
      <vt:variant>
        <vt:i4>6422634</vt:i4>
      </vt:variant>
      <vt:variant>
        <vt:i4>165</vt:i4>
      </vt:variant>
      <vt:variant>
        <vt:i4>0</vt:i4>
      </vt:variant>
      <vt:variant>
        <vt:i4>5</vt:i4>
      </vt:variant>
      <vt:variant>
        <vt:lpwstr>https://www.planalto.gov.br/ccivil_03/_ato2011-2014/2011/lei/l12527.htm</vt:lpwstr>
      </vt:variant>
      <vt:variant>
        <vt:lpwstr/>
      </vt:variant>
      <vt:variant>
        <vt:i4>3211381</vt:i4>
      </vt:variant>
      <vt:variant>
        <vt:i4>162</vt:i4>
      </vt:variant>
      <vt:variant>
        <vt:i4>0</vt:i4>
      </vt:variant>
      <vt:variant>
        <vt:i4>5</vt:i4>
      </vt:variant>
      <vt:variant>
        <vt:lpwstr>https://www.cnmp.mp.br/portal/images/CALJ/resolucoes/Resoluo-n-294d.pdf</vt:lpwstr>
      </vt:variant>
      <vt:variant>
        <vt:lpwstr/>
      </vt:variant>
      <vt:variant>
        <vt:i4>3604597</vt:i4>
      </vt:variant>
      <vt:variant>
        <vt:i4>159</vt:i4>
      </vt:variant>
      <vt:variant>
        <vt:i4>0</vt:i4>
      </vt:variant>
      <vt:variant>
        <vt:i4>5</vt:i4>
      </vt:variant>
      <vt:variant>
        <vt:lpwstr>https://www.tjrj.jus.br/documents/10136/0/resolucao-tjoe-28-2022-estrategia_si_pjerj.pdf/b7113e47-b697-a7f5-afd8-e41df0b52bbd?t=1666287585082</vt:lpwstr>
      </vt:variant>
      <vt:variant>
        <vt:lpwstr/>
      </vt:variant>
      <vt:variant>
        <vt:i4>1769557</vt:i4>
      </vt:variant>
      <vt:variant>
        <vt:i4>156</vt:i4>
      </vt:variant>
      <vt:variant>
        <vt:i4>0</vt:i4>
      </vt:variant>
      <vt:variant>
        <vt:i4>5</vt:i4>
      </vt:variant>
      <vt:variant>
        <vt:lpwstr>https://learn.cisecurity.org/cis-controls-download-v8</vt:lpwstr>
      </vt:variant>
      <vt:variant>
        <vt:lpwstr/>
      </vt:variant>
      <vt:variant>
        <vt:i4>2752639</vt:i4>
      </vt:variant>
      <vt:variant>
        <vt:i4>153</vt:i4>
      </vt:variant>
      <vt:variant>
        <vt:i4>0</vt:i4>
      </vt:variant>
      <vt:variant>
        <vt:i4>5</vt:i4>
      </vt:variant>
      <vt:variant>
        <vt:lpwstr>https://www.planalto.gov.br/ccivil_03/_ato2015-2018/2018/lei/l13709.htm</vt:lpwstr>
      </vt:variant>
      <vt:variant>
        <vt:lpwstr>art47</vt:lpwstr>
      </vt:variant>
      <vt:variant>
        <vt:i4>2752639</vt:i4>
      </vt:variant>
      <vt:variant>
        <vt:i4>150</vt:i4>
      </vt:variant>
      <vt:variant>
        <vt:i4>0</vt:i4>
      </vt:variant>
      <vt:variant>
        <vt:i4>5</vt:i4>
      </vt:variant>
      <vt:variant>
        <vt:lpwstr>https://www.planalto.gov.br/ccivil_03/_ato2015-2018/2018/lei/l13709.htm</vt:lpwstr>
      </vt:variant>
      <vt:variant>
        <vt:lpwstr>art46</vt:lpwstr>
      </vt:variant>
      <vt:variant>
        <vt:i4>7209071</vt:i4>
      </vt:variant>
      <vt:variant>
        <vt:i4>147</vt:i4>
      </vt:variant>
      <vt:variant>
        <vt:i4>0</vt:i4>
      </vt:variant>
      <vt:variant>
        <vt:i4>5</vt:i4>
      </vt:variant>
      <vt:variant>
        <vt:lpwstr>https://www.planalto.gov.br/ccivil_03/_ato2019-2022/2021/lei/l14133.htm</vt:lpwstr>
      </vt:variant>
      <vt:variant>
        <vt:lpwstr/>
      </vt:variant>
      <vt:variant>
        <vt:i4>3211381</vt:i4>
      </vt:variant>
      <vt:variant>
        <vt:i4>144</vt:i4>
      </vt:variant>
      <vt:variant>
        <vt:i4>0</vt:i4>
      </vt:variant>
      <vt:variant>
        <vt:i4>5</vt:i4>
      </vt:variant>
      <vt:variant>
        <vt:lpwstr>https://www.cnmp.mp.br/portal/images/CALJ/resolucoes/Resoluo-n-294d.pdf</vt:lpwstr>
      </vt:variant>
      <vt:variant>
        <vt:lpwstr/>
      </vt:variant>
      <vt:variant>
        <vt:i4>3604597</vt:i4>
      </vt:variant>
      <vt:variant>
        <vt:i4>141</vt:i4>
      </vt:variant>
      <vt:variant>
        <vt:i4>0</vt:i4>
      </vt:variant>
      <vt:variant>
        <vt:i4>5</vt:i4>
      </vt:variant>
      <vt:variant>
        <vt:lpwstr>https://www.tjrj.jus.br/documents/10136/0/resolucao-tjoe-28-2022-estrategia_si_pjerj.pdf/b7113e47-b697-a7f5-afd8-e41df0b52bbd?t=1666287585082</vt:lpwstr>
      </vt:variant>
      <vt:variant>
        <vt:lpwstr/>
      </vt:variant>
      <vt:variant>
        <vt:i4>5701662</vt:i4>
      </vt:variant>
      <vt:variant>
        <vt:i4>138</vt:i4>
      </vt:variant>
      <vt:variant>
        <vt:i4>0</vt:i4>
      </vt:variant>
      <vt:variant>
        <vt:i4>5</vt:i4>
      </vt:variant>
      <vt:variant>
        <vt:lpwstr>https://www.rj.gov.br/proderj/sites/default/files/Arquivos_IN/Anexo_Unico___Manual_de_Seguranca_da_Informacao___editado___gestao_atualizada %281%29.pdf</vt:lpwstr>
      </vt:variant>
      <vt:variant>
        <vt:lpwstr/>
      </vt:variant>
      <vt:variant>
        <vt:i4>1769557</vt:i4>
      </vt:variant>
      <vt:variant>
        <vt:i4>135</vt:i4>
      </vt:variant>
      <vt:variant>
        <vt:i4>0</vt:i4>
      </vt:variant>
      <vt:variant>
        <vt:i4>5</vt:i4>
      </vt:variant>
      <vt:variant>
        <vt:lpwstr>https://learn.cisecurity.org/cis-controls-download-v8</vt:lpwstr>
      </vt:variant>
      <vt:variant>
        <vt:lpwstr/>
      </vt:variant>
      <vt:variant>
        <vt:i4>1769557</vt:i4>
      </vt:variant>
      <vt:variant>
        <vt:i4>132</vt:i4>
      </vt:variant>
      <vt:variant>
        <vt:i4>0</vt:i4>
      </vt:variant>
      <vt:variant>
        <vt:i4>5</vt:i4>
      </vt:variant>
      <vt:variant>
        <vt:lpwstr>https://learn.cisecurity.org/cis-controls-download-v8</vt:lpwstr>
      </vt:variant>
      <vt:variant>
        <vt:lpwstr/>
      </vt:variant>
      <vt:variant>
        <vt:i4>1769557</vt:i4>
      </vt:variant>
      <vt:variant>
        <vt:i4>129</vt:i4>
      </vt:variant>
      <vt:variant>
        <vt:i4>0</vt:i4>
      </vt:variant>
      <vt:variant>
        <vt:i4>5</vt:i4>
      </vt:variant>
      <vt:variant>
        <vt:lpwstr>https://learn.cisecurity.org/cis-controls-download-v8</vt:lpwstr>
      </vt:variant>
      <vt:variant>
        <vt:lpwstr/>
      </vt:variant>
      <vt:variant>
        <vt:i4>1769557</vt:i4>
      </vt:variant>
      <vt:variant>
        <vt:i4>126</vt:i4>
      </vt:variant>
      <vt:variant>
        <vt:i4>0</vt:i4>
      </vt:variant>
      <vt:variant>
        <vt:i4>5</vt:i4>
      </vt:variant>
      <vt:variant>
        <vt:lpwstr>https://learn.cisecurity.org/cis-controls-download-v8</vt:lpwstr>
      </vt:variant>
      <vt:variant>
        <vt:lpwstr/>
      </vt:variant>
      <vt:variant>
        <vt:i4>1769557</vt:i4>
      </vt:variant>
      <vt:variant>
        <vt:i4>123</vt:i4>
      </vt:variant>
      <vt:variant>
        <vt:i4>0</vt:i4>
      </vt:variant>
      <vt:variant>
        <vt:i4>5</vt:i4>
      </vt:variant>
      <vt:variant>
        <vt:lpwstr>https://learn.cisecurity.org/cis-controls-download-v8</vt:lpwstr>
      </vt:variant>
      <vt:variant>
        <vt:lpwstr/>
      </vt:variant>
      <vt:variant>
        <vt:i4>1769557</vt:i4>
      </vt:variant>
      <vt:variant>
        <vt:i4>120</vt:i4>
      </vt:variant>
      <vt:variant>
        <vt:i4>0</vt:i4>
      </vt:variant>
      <vt:variant>
        <vt:i4>5</vt:i4>
      </vt:variant>
      <vt:variant>
        <vt:lpwstr>https://learn.cisecurity.org/cis-controls-download-v8</vt:lpwstr>
      </vt:variant>
      <vt:variant>
        <vt:lpwstr/>
      </vt:variant>
      <vt:variant>
        <vt:i4>1769557</vt:i4>
      </vt:variant>
      <vt:variant>
        <vt:i4>117</vt:i4>
      </vt:variant>
      <vt:variant>
        <vt:i4>0</vt:i4>
      </vt:variant>
      <vt:variant>
        <vt:i4>5</vt:i4>
      </vt:variant>
      <vt:variant>
        <vt:lpwstr>https://learn.cisecurity.org/cis-controls-download-v8</vt:lpwstr>
      </vt:variant>
      <vt:variant>
        <vt:lpwstr/>
      </vt:variant>
      <vt:variant>
        <vt:i4>1769557</vt:i4>
      </vt:variant>
      <vt:variant>
        <vt:i4>114</vt:i4>
      </vt:variant>
      <vt:variant>
        <vt:i4>0</vt:i4>
      </vt:variant>
      <vt:variant>
        <vt:i4>5</vt:i4>
      </vt:variant>
      <vt:variant>
        <vt:lpwstr>https://learn.cisecurity.org/cis-controls-download-v8</vt:lpwstr>
      </vt:variant>
      <vt:variant>
        <vt:lpwstr/>
      </vt:variant>
      <vt:variant>
        <vt:i4>2752639</vt:i4>
      </vt:variant>
      <vt:variant>
        <vt:i4>111</vt:i4>
      </vt:variant>
      <vt:variant>
        <vt:i4>0</vt:i4>
      </vt:variant>
      <vt:variant>
        <vt:i4>5</vt:i4>
      </vt:variant>
      <vt:variant>
        <vt:lpwstr>https://www.planalto.gov.br/ccivil_03/_ato2015-2018/2018/lei/l13709.htm</vt:lpwstr>
      </vt:variant>
      <vt:variant>
        <vt:lpwstr>art47</vt:lpwstr>
      </vt:variant>
      <vt:variant>
        <vt:i4>2752639</vt:i4>
      </vt:variant>
      <vt:variant>
        <vt:i4>108</vt:i4>
      </vt:variant>
      <vt:variant>
        <vt:i4>0</vt:i4>
      </vt:variant>
      <vt:variant>
        <vt:i4>5</vt:i4>
      </vt:variant>
      <vt:variant>
        <vt:lpwstr>https://www.planalto.gov.br/ccivil_03/_ato2015-2018/2018/lei/l13709.htm</vt:lpwstr>
      </vt:variant>
      <vt:variant>
        <vt:lpwstr>art46</vt:lpwstr>
      </vt:variant>
      <vt:variant>
        <vt:i4>7209071</vt:i4>
      </vt:variant>
      <vt:variant>
        <vt:i4>105</vt:i4>
      </vt:variant>
      <vt:variant>
        <vt:i4>0</vt:i4>
      </vt:variant>
      <vt:variant>
        <vt:i4>5</vt:i4>
      </vt:variant>
      <vt:variant>
        <vt:lpwstr>https://www.planalto.gov.br/ccivil_03/_ato2019-2022/2021/lei/l14133.htm</vt:lpwstr>
      </vt:variant>
      <vt:variant>
        <vt:lpwstr/>
      </vt:variant>
      <vt:variant>
        <vt:i4>3211381</vt:i4>
      </vt:variant>
      <vt:variant>
        <vt:i4>102</vt:i4>
      </vt:variant>
      <vt:variant>
        <vt:i4>0</vt:i4>
      </vt:variant>
      <vt:variant>
        <vt:i4>5</vt:i4>
      </vt:variant>
      <vt:variant>
        <vt:lpwstr>https://www.cnmp.mp.br/portal/images/CALJ/resolucoes/Resoluo-n-294d.pdf</vt:lpwstr>
      </vt:variant>
      <vt:variant>
        <vt:lpwstr/>
      </vt:variant>
      <vt:variant>
        <vt:i4>3604597</vt:i4>
      </vt:variant>
      <vt:variant>
        <vt:i4>99</vt:i4>
      </vt:variant>
      <vt:variant>
        <vt:i4>0</vt:i4>
      </vt:variant>
      <vt:variant>
        <vt:i4>5</vt:i4>
      </vt:variant>
      <vt:variant>
        <vt:lpwstr>https://www.tjrj.jus.br/documents/10136/0/resolucao-tjoe-28-2022-estrategia_si_pjerj.pdf/b7113e47-b697-a7f5-afd8-e41df0b52bbd?t=1666287585082</vt:lpwstr>
      </vt:variant>
      <vt:variant>
        <vt:lpwstr/>
      </vt:variant>
      <vt:variant>
        <vt:i4>5701662</vt:i4>
      </vt:variant>
      <vt:variant>
        <vt:i4>96</vt:i4>
      </vt:variant>
      <vt:variant>
        <vt:i4>0</vt:i4>
      </vt:variant>
      <vt:variant>
        <vt:i4>5</vt:i4>
      </vt:variant>
      <vt:variant>
        <vt:lpwstr>https://www.rj.gov.br/proderj/sites/default/files/Arquivos_IN/Anexo_Unico___Manual_de_Seguranca_da_Informacao___editado___gestao_atualizada %281%29.pdf</vt:lpwstr>
      </vt:variant>
      <vt:variant>
        <vt:lpwstr/>
      </vt:variant>
      <vt:variant>
        <vt:i4>1769557</vt:i4>
      </vt:variant>
      <vt:variant>
        <vt:i4>93</vt:i4>
      </vt:variant>
      <vt:variant>
        <vt:i4>0</vt:i4>
      </vt:variant>
      <vt:variant>
        <vt:i4>5</vt:i4>
      </vt:variant>
      <vt:variant>
        <vt:lpwstr>https://learn.cisecurity.org/cis-controls-download-v8</vt:lpwstr>
      </vt:variant>
      <vt:variant>
        <vt:lpwstr/>
      </vt:variant>
      <vt:variant>
        <vt:i4>2752639</vt:i4>
      </vt:variant>
      <vt:variant>
        <vt:i4>90</vt:i4>
      </vt:variant>
      <vt:variant>
        <vt:i4>0</vt:i4>
      </vt:variant>
      <vt:variant>
        <vt:i4>5</vt:i4>
      </vt:variant>
      <vt:variant>
        <vt:lpwstr>https://www.planalto.gov.br/ccivil_03/_ato2015-2018/2018/lei/l13709.htm</vt:lpwstr>
      </vt:variant>
      <vt:variant>
        <vt:lpwstr>art47</vt:lpwstr>
      </vt:variant>
      <vt:variant>
        <vt:i4>2752639</vt:i4>
      </vt:variant>
      <vt:variant>
        <vt:i4>87</vt:i4>
      </vt:variant>
      <vt:variant>
        <vt:i4>0</vt:i4>
      </vt:variant>
      <vt:variant>
        <vt:i4>5</vt:i4>
      </vt:variant>
      <vt:variant>
        <vt:lpwstr>https://www.planalto.gov.br/ccivil_03/_ato2015-2018/2018/lei/l13709.htm</vt:lpwstr>
      </vt:variant>
      <vt:variant>
        <vt:lpwstr>art46</vt:lpwstr>
      </vt:variant>
      <vt:variant>
        <vt:i4>7209071</vt:i4>
      </vt:variant>
      <vt:variant>
        <vt:i4>84</vt:i4>
      </vt:variant>
      <vt:variant>
        <vt:i4>0</vt:i4>
      </vt:variant>
      <vt:variant>
        <vt:i4>5</vt:i4>
      </vt:variant>
      <vt:variant>
        <vt:lpwstr>https://www.planalto.gov.br/ccivil_03/_ato2019-2022/2021/lei/l14133.htm</vt:lpwstr>
      </vt:variant>
      <vt:variant>
        <vt:lpwstr/>
      </vt:variant>
      <vt:variant>
        <vt:i4>3211381</vt:i4>
      </vt:variant>
      <vt:variant>
        <vt:i4>81</vt:i4>
      </vt:variant>
      <vt:variant>
        <vt:i4>0</vt:i4>
      </vt:variant>
      <vt:variant>
        <vt:i4>5</vt:i4>
      </vt:variant>
      <vt:variant>
        <vt:lpwstr>https://www.cnmp.mp.br/portal/images/CALJ/resolucoes/Resoluo-n-294d.pdf</vt:lpwstr>
      </vt:variant>
      <vt:variant>
        <vt:lpwstr/>
      </vt:variant>
      <vt:variant>
        <vt:i4>3604597</vt:i4>
      </vt:variant>
      <vt:variant>
        <vt:i4>78</vt:i4>
      </vt:variant>
      <vt:variant>
        <vt:i4>0</vt:i4>
      </vt:variant>
      <vt:variant>
        <vt:i4>5</vt:i4>
      </vt:variant>
      <vt:variant>
        <vt:lpwstr>https://www.tjrj.jus.br/documents/10136/0/resolucao-tjoe-28-2022-estrategia_si_pjerj.pdf/b7113e47-b697-a7f5-afd8-e41df0b52bbd?t=1666287585082</vt:lpwstr>
      </vt:variant>
      <vt:variant>
        <vt:lpwstr/>
      </vt:variant>
      <vt:variant>
        <vt:i4>5701662</vt:i4>
      </vt:variant>
      <vt:variant>
        <vt:i4>75</vt:i4>
      </vt:variant>
      <vt:variant>
        <vt:i4>0</vt:i4>
      </vt:variant>
      <vt:variant>
        <vt:i4>5</vt:i4>
      </vt:variant>
      <vt:variant>
        <vt:lpwstr>https://www.rj.gov.br/proderj/sites/default/files/Arquivos_IN/Anexo_Unico___Manual_de_Seguranca_da_Informacao___editado___gestao_atualizada %281%29.pdf</vt:lpwstr>
      </vt:variant>
      <vt:variant>
        <vt:lpwstr/>
      </vt:variant>
      <vt:variant>
        <vt:i4>1769557</vt:i4>
      </vt:variant>
      <vt:variant>
        <vt:i4>72</vt:i4>
      </vt:variant>
      <vt:variant>
        <vt:i4>0</vt:i4>
      </vt:variant>
      <vt:variant>
        <vt:i4>5</vt:i4>
      </vt:variant>
      <vt:variant>
        <vt:lpwstr>https://learn.cisecurity.org/cis-controls-download-v8</vt:lpwstr>
      </vt:variant>
      <vt:variant>
        <vt:lpwstr/>
      </vt:variant>
      <vt:variant>
        <vt:i4>2752639</vt:i4>
      </vt:variant>
      <vt:variant>
        <vt:i4>69</vt:i4>
      </vt:variant>
      <vt:variant>
        <vt:i4>0</vt:i4>
      </vt:variant>
      <vt:variant>
        <vt:i4>5</vt:i4>
      </vt:variant>
      <vt:variant>
        <vt:lpwstr>https://www.planalto.gov.br/ccivil_03/_ato2015-2018/2018/lei/l13709.htm</vt:lpwstr>
      </vt:variant>
      <vt:variant>
        <vt:lpwstr>art47</vt:lpwstr>
      </vt:variant>
      <vt:variant>
        <vt:i4>2752639</vt:i4>
      </vt:variant>
      <vt:variant>
        <vt:i4>66</vt:i4>
      </vt:variant>
      <vt:variant>
        <vt:i4>0</vt:i4>
      </vt:variant>
      <vt:variant>
        <vt:i4>5</vt:i4>
      </vt:variant>
      <vt:variant>
        <vt:lpwstr>https://www.planalto.gov.br/ccivil_03/_ato2015-2018/2018/lei/l13709.htm</vt:lpwstr>
      </vt:variant>
      <vt:variant>
        <vt:lpwstr>art46</vt:lpwstr>
      </vt:variant>
      <vt:variant>
        <vt:i4>7209071</vt:i4>
      </vt:variant>
      <vt:variant>
        <vt:i4>63</vt:i4>
      </vt:variant>
      <vt:variant>
        <vt:i4>0</vt:i4>
      </vt:variant>
      <vt:variant>
        <vt:i4>5</vt:i4>
      </vt:variant>
      <vt:variant>
        <vt:lpwstr>https://www.planalto.gov.br/ccivil_03/_ato2019-2022/2021/lei/l14133.htm</vt:lpwstr>
      </vt:variant>
      <vt:variant>
        <vt:lpwstr/>
      </vt:variant>
      <vt:variant>
        <vt:i4>3211381</vt:i4>
      </vt:variant>
      <vt:variant>
        <vt:i4>60</vt:i4>
      </vt:variant>
      <vt:variant>
        <vt:i4>0</vt:i4>
      </vt:variant>
      <vt:variant>
        <vt:i4>5</vt:i4>
      </vt:variant>
      <vt:variant>
        <vt:lpwstr>https://www.cnmp.mp.br/portal/images/CALJ/resolucoes/Resoluo-n-294d.pdf</vt:lpwstr>
      </vt:variant>
      <vt:variant>
        <vt:lpwstr/>
      </vt:variant>
      <vt:variant>
        <vt:i4>3604597</vt:i4>
      </vt:variant>
      <vt:variant>
        <vt:i4>57</vt:i4>
      </vt:variant>
      <vt:variant>
        <vt:i4>0</vt:i4>
      </vt:variant>
      <vt:variant>
        <vt:i4>5</vt:i4>
      </vt:variant>
      <vt:variant>
        <vt:lpwstr>https://www.tjrj.jus.br/documents/10136/0/resolucao-tjoe-28-2022-estrategia_si_pjerj.pdf/b7113e47-b697-a7f5-afd8-e41df0b52bbd?t=1666287585082</vt:lpwstr>
      </vt:variant>
      <vt:variant>
        <vt:lpwstr/>
      </vt:variant>
      <vt:variant>
        <vt:i4>5701662</vt:i4>
      </vt:variant>
      <vt:variant>
        <vt:i4>54</vt:i4>
      </vt:variant>
      <vt:variant>
        <vt:i4>0</vt:i4>
      </vt:variant>
      <vt:variant>
        <vt:i4>5</vt:i4>
      </vt:variant>
      <vt:variant>
        <vt:lpwstr>https://www.rj.gov.br/proderj/sites/default/files/Arquivos_IN/Anexo_Unico___Manual_de_Seguranca_da_Informacao___editado___gestao_atualizada %281%29.pdf</vt:lpwstr>
      </vt:variant>
      <vt:variant>
        <vt:lpwstr/>
      </vt:variant>
      <vt:variant>
        <vt:i4>1769557</vt:i4>
      </vt:variant>
      <vt:variant>
        <vt:i4>51</vt:i4>
      </vt:variant>
      <vt:variant>
        <vt:i4>0</vt:i4>
      </vt:variant>
      <vt:variant>
        <vt:i4>5</vt:i4>
      </vt:variant>
      <vt:variant>
        <vt:lpwstr>https://learn.cisecurity.org/cis-controls-download-v8</vt:lpwstr>
      </vt:variant>
      <vt:variant>
        <vt:lpwstr/>
      </vt:variant>
      <vt:variant>
        <vt:i4>2752639</vt:i4>
      </vt:variant>
      <vt:variant>
        <vt:i4>48</vt:i4>
      </vt:variant>
      <vt:variant>
        <vt:i4>0</vt:i4>
      </vt:variant>
      <vt:variant>
        <vt:i4>5</vt:i4>
      </vt:variant>
      <vt:variant>
        <vt:lpwstr>https://www.planalto.gov.br/ccivil_03/_ato2015-2018/2018/lei/l13709.htm</vt:lpwstr>
      </vt:variant>
      <vt:variant>
        <vt:lpwstr>art47</vt:lpwstr>
      </vt:variant>
      <vt:variant>
        <vt:i4>2752639</vt:i4>
      </vt:variant>
      <vt:variant>
        <vt:i4>45</vt:i4>
      </vt:variant>
      <vt:variant>
        <vt:i4>0</vt:i4>
      </vt:variant>
      <vt:variant>
        <vt:i4>5</vt:i4>
      </vt:variant>
      <vt:variant>
        <vt:lpwstr>https://www.planalto.gov.br/ccivil_03/_ato2015-2018/2018/lei/l13709.htm</vt:lpwstr>
      </vt:variant>
      <vt:variant>
        <vt:lpwstr>art46</vt:lpwstr>
      </vt:variant>
      <vt:variant>
        <vt:i4>7209071</vt:i4>
      </vt:variant>
      <vt:variant>
        <vt:i4>42</vt:i4>
      </vt:variant>
      <vt:variant>
        <vt:i4>0</vt:i4>
      </vt:variant>
      <vt:variant>
        <vt:i4>5</vt:i4>
      </vt:variant>
      <vt:variant>
        <vt:lpwstr>https://www.planalto.gov.br/ccivil_03/_ato2019-2022/2021/lei/l14133.htm</vt:lpwstr>
      </vt:variant>
      <vt:variant>
        <vt:lpwstr/>
      </vt:variant>
      <vt:variant>
        <vt:i4>3211381</vt:i4>
      </vt:variant>
      <vt:variant>
        <vt:i4>39</vt:i4>
      </vt:variant>
      <vt:variant>
        <vt:i4>0</vt:i4>
      </vt:variant>
      <vt:variant>
        <vt:i4>5</vt:i4>
      </vt:variant>
      <vt:variant>
        <vt:lpwstr>https://www.cnmp.mp.br/portal/images/CALJ/resolucoes/Resoluo-n-294d.pdf</vt:lpwstr>
      </vt:variant>
      <vt:variant>
        <vt:lpwstr/>
      </vt:variant>
      <vt:variant>
        <vt:i4>3604597</vt:i4>
      </vt:variant>
      <vt:variant>
        <vt:i4>36</vt:i4>
      </vt:variant>
      <vt:variant>
        <vt:i4>0</vt:i4>
      </vt:variant>
      <vt:variant>
        <vt:i4>5</vt:i4>
      </vt:variant>
      <vt:variant>
        <vt:lpwstr>https://www.tjrj.jus.br/documents/10136/0/resolucao-tjoe-28-2022-estrategia_si_pjerj.pdf/b7113e47-b697-a7f5-afd8-e41df0b52bbd?t=1666287585082</vt:lpwstr>
      </vt:variant>
      <vt:variant>
        <vt:lpwstr/>
      </vt:variant>
      <vt:variant>
        <vt:i4>5701662</vt:i4>
      </vt:variant>
      <vt:variant>
        <vt:i4>33</vt:i4>
      </vt:variant>
      <vt:variant>
        <vt:i4>0</vt:i4>
      </vt:variant>
      <vt:variant>
        <vt:i4>5</vt:i4>
      </vt:variant>
      <vt:variant>
        <vt:lpwstr>https://www.rj.gov.br/proderj/sites/default/files/Arquivos_IN/Anexo_Unico___Manual_de_Seguranca_da_Informacao___editado___gestao_atualizada %281%29.pdf</vt:lpwstr>
      </vt:variant>
      <vt:variant>
        <vt:lpwstr/>
      </vt:variant>
      <vt:variant>
        <vt:i4>1769557</vt:i4>
      </vt:variant>
      <vt:variant>
        <vt:i4>30</vt:i4>
      </vt:variant>
      <vt:variant>
        <vt:i4>0</vt:i4>
      </vt:variant>
      <vt:variant>
        <vt:i4>5</vt:i4>
      </vt:variant>
      <vt:variant>
        <vt:lpwstr>https://learn.cisecurity.org/cis-controls-download-v8</vt:lpwstr>
      </vt:variant>
      <vt:variant>
        <vt:lpwstr/>
      </vt:variant>
      <vt:variant>
        <vt:i4>2752639</vt:i4>
      </vt:variant>
      <vt:variant>
        <vt:i4>27</vt:i4>
      </vt:variant>
      <vt:variant>
        <vt:i4>0</vt:i4>
      </vt:variant>
      <vt:variant>
        <vt:i4>5</vt:i4>
      </vt:variant>
      <vt:variant>
        <vt:lpwstr>https://www.planalto.gov.br/ccivil_03/_ato2015-2018/2018/lei/l13709.htm</vt:lpwstr>
      </vt:variant>
      <vt:variant>
        <vt:lpwstr>art47</vt:lpwstr>
      </vt:variant>
      <vt:variant>
        <vt:i4>2752639</vt:i4>
      </vt:variant>
      <vt:variant>
        <vt:i4>24</vt:i4>
      </vt:variant>
      <vt:variant>
        <vt:i4>0</vt:i4>
      </vt:variant>
      <vt:variant>
        <vt:i4>5</vt:i4>
      </vt:variant>
      <vt:variant>
        <vt:lpwstr>https://www.planalto.gov.br/ccivil_03/_ato2015-2018/2018/lei/l13709.htm</vt:lpwstr>
      </vt:variant>
      <vt:variant>
        <vt:lpwstr>art46</vt:lpwstr>
      </vt:variant>
      <vt:variant>
        <vt:i4>7209071</vt:i4>
      </vt:variant>
      <vt:variant>
        <vt:i4>21</vt:i4>
      </vt:variant>
      <vt:variant>
        <vt:i4>0</vt:i4>
      </vt:variant>
      <vt:variant>
        <vt:i4>5</vt:i4>
      </vt:variant>
      <vt:variant>
        <vt:lpwstr>https://www.planalto.gov.br/ccivil_03/_ato2019-2022/2021/lei/l14133.htm</vt:lpwstr>
      </vt:variant>
      <vt:variant>
        <vt:lpwstr/>
      </vt:variant>
      <vt:variant>
        <vt:i4>3211381</vt:i4>
      </vt:variant>
      <vt:variant>
        <vt:i4>18</vt:i4>
      </vt:variant>
      <vt:variant>
        <vt:i4>0</vt:i4>
      </vt:variant>
      <vt:variant>
        <vt:i4>5</vt:i4>
      </vt:variant>
      <vt:variant>
        <vt:lpwstr>https://www.cnmp.mp.br/portal/images/CALJ/resolucoes/Resoluo-n-294d.pdf</vt:lpwstr>
      </vt:variant>
      <vt:variant>
        <vt:lpwstr/>
      </vt:variant>
      <vt:variant>
        <vt:i4>3604597</vt:i4>
      </vt:variant>
      <vt:variant>
        <vt:i4>15</vt:i4>
      </vt:variant>
      <vt:variant>
        <vt:i4>0</vt:i4>
      </vt:variant>
      <vt:variant>
        <vt:i4>5</vt:i4>
      </vt:variant>
      <vt:variant>
        <vt:lpwstr>https://www.tjrj.jus.br/documents/10136/0/resolucao-tjoe-28-2022-estrategia_si_pjerj.pdf/b7113e47-b697-a7f5-afd8-e41df0b52bbd?t=1666287585082</vt:lpwstr>
      </vt:variant>
      <vt:variant>
        <vt:lpwstr/>
      </vt:variant>
      <vt:variant>
        <vt:i4>5701662</vt:i4>
      </vt:variant>
      <vt:variant>
        <vt:i4>12</vt:i4>
      </vt:variant>
      <vt:variant>
        <vt:i4>0</vt:i4>
      </vt:variant>
      <vt:variant>
        <vt:i4>5</vt:i4>
      </vt:variant>
      <vt:variant>
        <vt:lpwstr>https://www.rj.gov.br/proderj/sites/default/files/Arquivos_IN/Anexo_Unico___Manual_de_Seguranca_da_Informacao___editado___gestao_atualizada %281%29.pdf</vt:lpwstr>
      </vt:variant>
      <vt:variant>
        <vt:lpwstr/>
      </vt:variant>
      <vt:variant>
        <vt:i4>1769557</vt:i4>
      </vt:variant>
      <vt:variant>
        <vt:i4>9</vt:i4>
      </vt:variant>
      <vt:variant>
        <vt:i4>0</vt:i4>
      </vt:variant>
      <vt:variant>
        <vt:i4>5</vt:i4>
      </vt:variant>
      <vt:variant>
        <vt:lpwstr>https://learn.cisecurity.org/cis-controls-download-v8</vt:lpwstr>
      </vt:variant>
      <vt:variant>
        <vt:lpwstr/>
      </vt:variant>
      <vt:variant>
        <vt:i4>2752639</vt:i4>
      </vt:variant>
      <vt:variant>
        <vt:i4>6</vt:i4>
      </vt:variant>
      <vt:variant>
        <vt:i4>0</vt:i4>
      </vt:variant>
      <vt:variant>
        <vt:i4>5</vt:i4>
      </vt:variant>
      <vt:variant>
        <vt:lpwstr>https://www.planalto.gov.br/ccivil_03/_ato2015-2018/2018/lei/l13709.htm</vt:lpwstr>
      </vt:variant>
      <vt:variant>
        <vt:lpwstr>art47</vt:lpwstr>
      </vt:variant>
      <vt:variant>
        <vt:i4>2752639</vt:i4>
      </vt:variant>
      <vt:variant>
        <vt:i4>3</vt:i4>
      </vt:variant>
      <vt:variant>
        <vt:i4>0</vt:i4>
      </vt:variant>
      <vt:variant>
        <vt:i4>5</vt:i4>
      </vt:variant>
      <vt:variant>
        <vt:lpwstr>https://www.planalto.gov.br/ccivil_03/_ato2015-2018/2018/lei/l13709.htm</vt:lpwstr>
      </vt:variant>
      <vt:variant>
        <vt:lpwstr>art46</vt:lpwstr>
      </vt:variant>
      <vt:variant>
        <vt:i4>7209071</vt:i4>
      </vt:variant>
      <vt:variant>
        <vt:i4>0</vt:i4>
      </vt:variant>
      <vt:variant>
        <vt:i4>0</vt:i4>
      </vt:variant>
      <vt:variant>
        <vt:i4>5</vt:i4>
      </vt:variant>
      <vt:variant>
        <vt:lpwstr>https://www.planalto.gov.br/ccivil_03/_ato2019-2022/2021/lei/l14133.htm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Fabio Souza Lima</dc:creator>
  <cp:keywords/>
  <dc:description/>
  <cp:lastModifiedBy>Augusto Cesar Benvenuto de Almeida</cp:lastModifiedBy>
  <cp:revision>3218</cp:revision>
  <cp:lastPrinted>2025-10-21T03:58:00Z</cp:lastPrinted>
  <dcterms:created xsi:type="dcterms:W3CDTF">2023-08-10T07:29:00Z</dcterms:created>
  <dcterms:modified xsi:type="dcterms:W3CDTF">2026-06-10T19:24:00Z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0x0101003FDBC2031823944CAE7A47B474980AF9</vt:lpwstr>
  </property>
  <property fmtid="{D5CDD505-2E9C-101B-9397-08002B2CF9AE}" pid="3" name="Order">
    <vt:r8>61100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docLang">
    <vt:lpwstr>pt</vt:lpwstr>
  </property>
</Properties>
</file>