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p ns2:paraId="71BC7204" ns2:textId="77777777" w:rsidR="009B1A0E" w:rsidRDefault="009B1A0E" w:rsidP="001E6730">
      <w:pPr>
        <w:jc w:val="center"/>
        <w:rPr>
          <w:rFonts w:ascii="Arial" w:hAnsi="Arial" w:cs="Arial"/>
          <w:b/>
        </w:rPr>
      </w:pPr>
    </w:p>
    <w:p ns2:paraId="0D1BC449" ns2:textId="55C49607" w:rsidR="00AE7776" w:rsidRDefault="00AE7776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t>MATRIZ DE PLANEJAMENTO</w:t>
      </w:r>
    </w:p>
    <w:p ns2:paraId="46357FAD" ns2:textId="77777777" w:rsidR="007B095C" w:rsidRDefault="007B095C" w:rsidP="001E6730">
      <w:pPr>
        <w:jc w:val="center"/>
        <w:rPr>
          <w:rFonts w:ascii="Arial" w:hAnsi="Arial" w:cs="Arial"/>
          <w:b/>
        </w:rPr>
      </w:pPr>
    </w:p>
    <w:p ns2:paraId="5D2618CF" ns2:textId="6C9D6D25" w:rsidR="007C4F8B" w:rsidRDefault="007C4F8B" w:rsidP="6D09F7BC">
      <w:pPr>
        <w:spacing w:after="20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QUESTÃO GERAL DE AUDITORIA: Qual é o grau de adoção das práticas de governança e gestão de TIC das organizações avaliadas, segundo o iGovTI 2026, e quais fragilidades relevantes estão presentes?</w:t>
      </w:r>
    </w:p>
    <w:p ns2:paraId="55F103F7" ns2:textId="7E03F271" w:rsidR="00224452" w:rsidRDefault="00224452">
      <w:pPr>
        <w:spacing w:after="160" w:line="259" w:lineRule="auto"/>
        <w:rPr>
          <w:rFonts w:ascii="Arial" w:hAnsi="Arial" w:cs="Arial"/>
        </w:rPr>
      </w:pPr>
    </w:p>
    <w:p ns2:paraId="5D2618CF" ns2:textId="6C9D6D25" w:rsidR="007C4F8B" w:rsidRDefault="007C4F8B" w:rsidP="6D09F7BC">
      <w:pPr>
        <w:spacing w:after="20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JURISDICIONADOS: 119 organizações estaduais e municipais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Q1: A organização possui área, unidade, setor ou função de TIC formalmente instituída, com atribuições definidas e posicionamento organizacional compatível com suas responsabilidades institucionais?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área, unidade, setor ou função de TIC formalmente instituída?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área de TIC possui atribuições formalmente definidas relacionadas à gestão da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área de TIC está posicionada em nível organizacional que favoreça sua interlocução com a alta administração e sua atuação estratégica?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R1.1: Devido à ausência de formalização da área de TIC, poderá não haver unidade ou função institucionalmente reconhecida para coordenar o uso da tecnologia da informação, prejudicando a responsabilização e o alinhamento da TIC aos objetivos da organização.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R1.2: Devido à ausência de atribuições formais da área de TIC, poderá não haver clareza sobre responsabilidades de planejamento, coordenação, gestão e controle da TIC, favorecendo atuação reativa e fragmentada.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R1.3: Devido ao posicionamento organizacional inadequado da área de TIC, poderá haver baixa capacidade de influência institucional, comprometendo a participação da TIC em decisões estratégicas, orçamentárias, contratuais e de gestão de riscos.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ao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a existência formal de área, unidade, setor ou função de TIC; [F1, q0101]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atribuições e competências formalizadas da área de TIC; [F1, q0103]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Evidência anexada que demonstre atribuições formalmente definidas relacionadas à gestão da TIC; [F2, q0103evi]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Resposta sobre posicionamento hierárquico da área de TIC na estrutura organizacional; [F1, q0102]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APO01.04 - Definir e implementar as estruturas organizacionais: estabelecer estruturas organizacionais internas e externas necessárias para apoiar os objetivos de governança e gestão de TI.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APO01.05 - Estabelecer papéis e responsabilidades: definir, comunicar e manter papéis e responsabilidades relacionados à governança e gestão de TI.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COBIT 2019, APO01.06 - Aprimorar o posicionamento da função de TI: posicionar a função de tecnologia de modo compatível com sua relevância estratégica, responsabilidades e necessidade de interação com a alta administração.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Portaria SGD/ME nº 778/2019, art. 4º, § 1º - Referência de posicionamento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Constituição Federal, art. 37, caput - Princípio da eficiência.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resposta à q0101, se a organização possui área, unidade, setor ou função de TIC formalmente instituída;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resposta à q0103, se a área de TIC possui atribuições formalmente definidas relacionadas à gestão da TIC; [IR3]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Validar, pela evidência anexada à q0103, a existência de atribuições formalmente definidas relacionadas à gestão da TIC;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Verificar, por meio da resposta à q0102, o posicionamento hierárquico da área de TIC; [IR5]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formalização da área, unidade, setor ou função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atribuições formalizadas da área de TIC;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Ausência ou insuficiência de evidência que demonstre atribuições formalmente definidas relacionadas à gestão da TIC;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Resposta que indique posicionamento inexistente ou incompatível da área de TIC; [P5]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A1: Estrutura de TIC insuficientemente formalizada, definida ou posicionada para gerir a tecnologia da informação.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S1.1: Ausência de área, unidade, setor ou função de TIC formalmente instituída.; Referências: R1.1, P1, E1; Critérios: C1, C7; Tipo: Recomendação; 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S1.2: Área de TIC sem atribuições formalmente definidas ou sem atribuições formais de gestão de TIC.; Referências: R1.2, P3, E3, P4, E4; Critérios: C2, C7; Tipo: Recomendação; 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S1.3: Posicionamento organizacional inadequado da área de TIC.; Referências: R1.3, P5, E5; Critérios: C3, C6; Tipo: Recomendação; Encaminhamento: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Q2: A organização possui mecanismos básicos de governança de TIC, incluindo objetivos, indicadores e metas, bem como Comitê de TIC ou instância equivalente formalmente instituída e atuante?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alta administração estabeleceu objetivos, indicadores e metas para a gestão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Comitê de TIC ou instância equivalente está formalmente instituído e conta com representantes de áreas relevantes da organização?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Comitê de TIC ou instância equivalente realiza as atividades previstas em seu ato constitutivo?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R2.1: Devido à ausência de objetivos, indicadores ou metas para a gestão de TIC, poderá haver dificuldade para direcionar prioridades, medir resultados e acompanhar a contribuição da TIC para os objetivos institucionais.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R2.2: Devido à inexistência de Comitê de TIC ou instância equivalente, ou à ausência de representação de áreas relevantes em sua composição, poderá não haver instância colegiada adequada para alinhar prioridades e decisões relevantes de TIC às necessidades e aos objetivos institucionais.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R2.3: Devido à ausência de atuação efetiva do Comitê de TIC ou instância equivalente, o colegiado poderá existir apenas formalmente, sem contribuir efetivamente para o direcionamento, a priorização e o acompanhamento da TIC.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ao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objetivos, indicadores e metas para a gestão de TIC estabelecidos pela alta administração; [F1, q1001ext[H]]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Evidência anexada que demonstre a formalização dos objetivos, indicadores e metas para a gestão de TIC; [F2, q1001evi]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existência de Comitê de TIC ou instância equivalente composto por representantes de áreas relevantes da organização; [F1, q1001ext[E]]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Evidência anexada que demonstre a instituição formal e a composição do Comitê de TIC ou instância equivalente; [F2, q1001evi]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Resposta sobre a realização das atividades previstas no ato constitutivo do Comitê de TIC ou instância equivalente; [F1, q1001ext[F]]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IR6: Evidência anexada que demonstre atuação efetiva do Comitê de TIC ou instância equivalente, como atas, pautas, listas de presença, registros de deliberação, decisões, encaminhamentos ou acompanhamento de pendências; [F2, q1001evi]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EDM01.02 - Dirigir o sistema de governança: orientar estruturas, princípios, processos e práticas de governança para assegurar que a TI apoie os objetivos organizacionais.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MEA01.04 - Avaliar o desempenho: monitorar e avaliar periodicamente o desempenho e a conformidade da TI em relação a objetivos, indicadores, metas e expectativas das partes interessadas.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Decreto nº 12.198/2024, arts. 5º e 6º, § 2º – Referência de governança digital: instituição, no âmbito da Administração Pública federal direta, autárquica e fundacional, de Comitê de Governança Digital ou colegiado equivalente com função deliberativa sobre ações de governo digital e uso de recursos de TIC, incluindo a aprovação dos instrumentos de planejamento previstos no Decreto.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TCE-RJ nº 44.490/2024-PLEN, itens II.1, III.1 e V.1 – Precedente pela instituição e atuação efetiva de instância colegiada de governança de TIC, com responsabilidade pelo alinhamento das ações de TIC aos objetivos institucionais, priorização dos investimentos e monitoramento do desempenho da TIC.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resposta à q1001ext[H], se a alta administração estabeleceu objetivos, indicadores e metas para a gestão de TIC;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Validar, pela evidência anexada à q1001, a formalização dos objetivos, indicadores e metas para a gestão de TIC; [IR2]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resposta à q1001ext[E], se a organização declarou dispor de Comitê de TIC ou instância equivalente composto por representantes de áreas relevantes; [IR3]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Validar, pela evidência anexada à q1001, a instituição formal e a composição do Comitê de TIC ou instância equivalente;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Verificar, por meio da resposta à q1001ext[F], se o Comitê de TIC ou instância equivalente realiza as atividades previstas em seu ato constitutivo; [IR5]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P6: Validar, pela evidência anexada à q1001, se há atas, pautas, registros de deliberação, encaminhamentos ou acompanhamento de decisões do Comitê de TIC ou instância equivalente; [IR6]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sobre o estabelecimento de objetivos, indicadores ou metas para a gestão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incompatibilidade ou insuficiência de evidência que demonstre objetivos, indicadores e metas para a gestão de TIC;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que indique inexistência de Comitê de TIC ou instância equivalente com representação de áreas relevantes da organização;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Ausência ou insuficiência de evidência que demonstre a instituição formal e a composição do Comitê de TIC ou instância equivalente;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Resposta que indique que o Comitê de TIC ou instância equivalente não realiza as atividades previstas em seu ato constitutivo;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Ausência, desatualização, incompatibilidade ou insuficiência de atas, registros de deliberação, encaminhamentos ou acompanhamento de decisões do Comitê de TIC ou instância equivalente; [P6]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A2: Governança de TIC insuficiente para avaliar, dirigir e monitorar a tecnologia da informação.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S2.1: Ausência de objetivos, indicadores ou metas para a gestão de TIC.; Referências: R2.1, P1, E1, P2, E2; Critérios: C2; Tipo: Recomendação; 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S2.2: Comitê de TIC ou instância equivalente não instituído formalmente ou sem representação de áreas relevantes da organização.; Referências: R2.2, P3, E3, P4, E4; Critérios: C1, C3, C4; Tipo: Determinação; 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S2.3: Comitê de TIC ou instância equivalente sem atuação efetiva comprovada.; Referências: R2.3, P5, E5, P6, E6; Critérios: C1, C3, C4; Tipo: Determinação; 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Q3: A organização utiliza o planejamento de TIC como instrumento efetivo de gestão, com processo formal, plano vigente, aprovação competente, alinhamento institucional, integração com orçamento e contratações e acompanhamento periódico?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executa processo formal de planejamento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áreas demandantes participam do processo de planejamento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foi formalmente aprovado pela instância competente?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está alinhado ao planejamento institucional?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está integrado à proposta orçamentária da área de TIC e ao plano de contratações?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é acompanhado, revisto e atualizado periodicamente ou diante de mudanças relevantes?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R3.1: Devido à inexistência ou insuficiência do processo de planejamento de TIC, poderá não haver plano vigente e participação adequada das áreas demandantes, favorecendo atuação reativa e desalinhada às necessidades institucionais.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R3.2: Devido à ausência de aprovação formal do plano de TIC pela instância competente, o instrumento poderá não possuir legitimidade institucional para orientar a gestão, os projetos, o orçamento e as contratações de TIC.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R3.4: Devido ao alinhamento insuficiente do plano de TIC ao planejamento institucional poderão ser executadas ações de TIC com baixo valor ou desconectadas das prioridades da organização.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R3.5: Devido à ausência de integração entre planejamento de TIC, orçamento e contratações, poderão ocorrer aquisições reativas, não priorizadas ou desalinhadas.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R3.6: Devido à ausência de acompanhamento da execução do plano de TIC, poderão deixar de ser identificados tempestivamente desvios, pendências ou mudanças que demandem ajustes nas iniciativas e prioridades planejadas.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Respostas sobre execução e formalização do processo de planejamento de TIC, bem como sobre a existência de plano de TIC vigente; [F1, q2101, q2101ext[D], q2102]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Evidência que demonstre a formalização do processo de planejamento de TIC; [F2, q2101evi]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participação das áreas demandantes no processo de planejamento de TIC; [F1, q2101ext[A]]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Resposta sobre aprovação formal do plano de TIC pela instância competente; [F1, q2102ext[A]]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Evidência anexada do ato de aprovação formal do plano de TIC; [F2, q2102evi]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IR7: Resposta e evidência sobre alinhamento das iniciativas do plano de TIC ao planejamento institucional; [F1, F2, q2102ext[D], q2102evi]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IR8: Resposta e evidência sobre a utilização do plano de TIC como referência para a elaboração da proposta orçamentária da área de TIC e do plano de contratações; [F1, F2, q2102ext[C], q2102evi]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IR9: Resposta e evidência sobre acompanhamento da execução do plano de TIC; [F1, F2, q2102ext[E], q2102evi]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APO02.05 - Definir o plano e o roteiro estratégico: estabelecer plano e roteiro de TIC que traduzam a estratégia em iniciativas, prioridades, recursos, dependências, prazos e benefícios esperados.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APO06.03 - Criar e manter orçamentos: elaborar e manter orçamento de TIC alinhado ao portfólio, ao planejamento e às prioridades aprovadas.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Acórdão 1.411/2014-TCU-Plenário, item 9.1.6 e subitens 9.1.6.1 a 9.1.6.4: necessidade de instituir formalmente plano diretor de TI, contemplando desdobramento de diretrizes estratégicas, vinculação das ações de TI a indicadores e metas de negócio, vinculação das ações de TI a indicadores e metas de serviços ao cidadão e vinculação das ações priorizadas ao orçamento de TI.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TCE-RJ nº 44.490/2024-PLEN, itens II.3 e III.3 e respectivos subitens – Precedentes quanto ao estabelecimento formal de processo estruturado de planejamento de TIC, com participação das áreas relevantes, elaboração, manutenção e revisão periódica de PDTI, contemplando objetivos, indicadores e metas alinhados aos objetivos institucionais, riscos, projetos, aquisições, recursos necessários e ações de monitoramento após aprovação pela alta administração.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das respostas à q2101 e q2101ext[D], se a organização executa processo de planejamento de TIC formalizado;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Validar, pela evidência anexada à q2101, a formalização mínima do processo de planejamento de TIC; [IR2]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q2101ext[A], se há participação das áreas demandantes no processo de planejamento de TIC; [IR3]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Verificar, por meio da resposta à q2102ext[A], se o plano de TIC foi aprovado pelo dirigente máximo da organização ou por dirigente ou colegiado integrante da alta administração;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Validar, pelas evidências anexadas à q2102, a aprovação formal do plano de TIC pela instância competente; [IR5]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P7: Verificar, por meio da resposta e das evidências da q2102, se o plano está alinhado ao planejamento institucional; [IR7]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P8: Verificar, por meio da resposta à q2102ext[C] e da evidência correspondente, se o plano de TIC fundamenta a proposta orçamentária da área de TIC e o plano de contratações; [IR8]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P9: Verificar, por meio da resposta à q2102ext[E] e das evidências correspondentes, se é realizado acompanhamento concomitante à execução do plano de TIC; [IR9]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a existência de processo de planejamento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incompatibilidade ou insuficiência de evidência que discipline o processo de planejamento de TIC;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participação das áreas demandantes;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Resposta negativa ou insuficiente sobre a aprovação formal do plano de TIC pela instância competente;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Ausência ou insuficiência de evidência do ato de aprovação formal do plano de TIC pela instância competente;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Inexistência ou insuficiência de alinhamento entre plano de TIC e planejamento institucional; [P7]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E8: Ausência ou insuficiência de evidência de utilização do plano de TIC como referência para a proposta orçamentária da área de TIC e o plano de contratações; [P8]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E9: Ausência ou insuficiência de evidência de acompanhamento da execução do plano de TIC; [P9] variaveis_derivadas: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nome: existe_plano_ti descricao: Indica que a organização declarou possuir plano de TIC vigente, ao menos parcialmente adotado. regra_de_calculo: (q2102 == Adota parcialmente.) | (q2102 == Adota em maior parte ou totalmente.)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A3: Planejamento de TIC insuficiente para orientar a gestão, o orçamento e as contratações de TIC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S3.1: Inexistência ou insuficiência do processo de planejamento de TIC para produzir e manter plano de TIC adequado.; Referências: R3.1, P1, E1, P2, E2, P3, E3; Critérios: C1, C3, C4; Tipo: Determinação; 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S3.2: Ausência de aprovação formal do plano de TIC.; Referências: R3.2, P4, E4, P5, E5; Critérios: C3, C4; Tipo: Determinação; 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S3.4: Plano de TIC sem alinhamento adequado ao planejamento institucional.; Referências: R3.4, P7, E7; Critérios: C1, C3, C4; Tipo: Determinação; 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S3.5: Plano de TIC não utilizado como referência para a elaboração da proposta orçamentária e do plano de contratações.; Referências: R3.5, P8, E8; Critérios: C2, C4; Tipo: Determinação; 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S3.6: Ausência de acompanhamento da execução do plano de TIC.; Referências: R3.6, P9, E9; Critérios: C4; Tipo: Determinação; 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Q4: A organização dispõe de mecanismos mínimos para estruturar e dimensionar sua força de trabalho de TIC e segurança da informação, formalizar funções e preservar capacidade interna nos modelos de operação predominantemente terceirizados?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dispõe de profissionais que atuam regularmente em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definiu o quantitativo necessário de pessoal de TIC e segurança da informação?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cargos ou funções formalmente atribuídos à TIC e à segurança da informação?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Nos modelos de operação predominantemente terceirizados, a organização mantém força de trabalho interna de TIC?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R4.1: Devido à ausência de profissionais atuando regularmente em TIC, poderá não haver capacidade operacional mínima para coordenar e sustentar as atividades e serviços tecnológicos da organização.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R4.2: Devido à ausência de definição do quantitativo necessário de pessoal de TIC e segurança da informação, poderá haver subdimensionamento ou alocação inadequada da equipe.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R4.3: Devido à ausência de cargos ou funções formalmente atribuídos à TIC ou à segurança da informação, poderá haver baixa clareza de responsabilidades e insuficiente capacidade de alocação e responsabilização dos profissionais.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R4.6: Devido à operação predominantemente terceirizada sem profissionais internos de TIC, poderá haver insuficiência de capacidade interna para coordenação, supervisão e fiscalização das atividades terceirizadas, além de maior risco de dependência externa, perda de conhecimento e descontinuidade.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quantitativo de profissionais que atuam em TIC e segurança da informação, por área e tipo de vínculo; [F1, q0105]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Resposta e evidência sobre definição do quantitativo necessário de pessoal de TIC e segurança da informação; [F1, F2, q2703, q2703evi]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e evidência sobre existência de cargos ou funções formalmente atribuídos à TIC e à segurança da informação; [F1, F2, q2708, q2708evi]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IR9: Resposta sobre o modelo de operação predominante de TIC e os quantitativos total e interno de profissionais de TIC, para avaliação da dependência de terceiros e da capacidade interna de coordenação e fiscalização; [F1, q0101, q0105]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APO01.05 - Estabelecer papéis e responsabilidades: definir, comunicar e manter papéis e responsabilidades relacionados à governança e gestão de TIC.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APO07.01 - Adquirir e manter pessoal adequado e apropriado: assegurar quantidade e perfil de profissionais compatíveis com as necessidades de TIC.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COBIT 2019, APO07.05 - Planejar e monitorar o uso de recursos humanos de TI e de negócio: planejar, alocar e acompanhar capacidade de pessoal para iniciativas, operações e serviços de TIC.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COBIT 2019, APO07.06 - Gerenciar pessoal contratado: controlar o uso de pessoal terceirizado ou externo, preservando responsabilização, supervisão e retenção de conhecimento.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Acórdão 1.411/2014-TCU-Plenário, item 9.1.6.5 - O PDTI deve contemplar o quantitativo necessário ou ideal para a força de trabalho em TI.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Acórdão 1.411/2014-TCU-Plenário, item 9.1.7 - A organização deve adotar providências para dotar o setor de TI de quantitativo adequado às necessidades de trabalho em TI, consideradas as necessidades das demais áreas.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Acórdão TCE-RJ nº 44.490/2024-PLEN, itens I.10.11, III.9.11 e IV.11.3 – Referência para avaliação da estrutura de recursos humanos de TIC quanto à suficiência quantitativa e qualitativa e à preservação de capacidade interna em atividades de planejamento, coordenação, fiscalização e controle.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q0105, o quantitativo informado de profissionais que atuam em TIC e segurança da informação, por área e tipo de vínculo;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Verificar, por meio da q2703 e respectiva evidência, se há definição do quantitativo necessário de pessoal de TIC e segurança da informação; [IR2]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q2708 e da respectiva evidência, se há cargos ou funções formalmente atribuídos à TIC e à segurança da informação; [IR3]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P7: Verificar, por meio da resposta à q0101 e dos quantitativos informados na q0105, se o modelo de operação de TIC é predominantemente terceirizado, há profissionais atuando em TIC e não há profissionais internos de TIC; [IR9]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Quantitativo total declarado igual a zero para profissionais de TIC, desde que a organização tenha informado possuir estrutura formal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Resposta negativa ou insuficiente sobre definição do quantitativo necessário de pessoal de TIC e segurança da informação, ou evidência inexistente/incompatível/insuficiente;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evidência inexistente, incompatível ou insuficiente sobre cargos ou funções formalmente atribuídos à TIC ou à segurança da informação;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Modelo de operação de TIC predominantemente terceirizado (q0101 = B), com profissionais atuando em TIC, mas sem profissionais internos de TIC (total de efetivos, comissionados, cedidos e temporários igual a zero); [P7] variaveis_derivadas: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nome: total_TI descricao: Total de profissionais que atuam regularmente em tecnologia da informação. regra_de_calculo: q0105[TI_efetivos] + q0105[TI_comissionados] + q0105[TI_terceirizados] + q0105[TI_cedidos] + q0105[TI_temporarios] + q0105[TI_estagiarios]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nome: total_TI_interno descricao: Total de profissionais internos de tecnologia da informação, excluídos terceirizados e estagiários. regra_de_calculo: q0105[TI_efetivos] + q0105[TI_comissionados] + q0105[TI_cedidos] + q0105[TI_temporarios]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A4: Capacidade institucional de pessoal de TIC e segurança da informação insuficientemente estruturada ou dimensionada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S4.1: Ausência de força de trabalho dedicada à TIC.; Referências: R4.1, P1, E1; Critérios: C2, C13; Tipo: Recomendação; Encaminhamento: avalie a força de trabalho dedicada à TIC e adote medidas proporcionais para assegurar capacidade mínima de planejamento, gestão, proteção, contratação, fiscalização e sustentação dos serviços e ativos de TIC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S4.2: Ausência ou insuficiência de definição documentada do quantitativo necessário de pessoal de TIC e segurança da informação.; Referências: R4.2, P2, E2; Critérios: C5, C12; Tipo: Recomendação; Encaminhamento: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S4.3: Ausência de cargos ou funções formalmente atribuídos à TIC ou à segurança da informação.; Referências: R4.3, P3, E3; Critérios: C1, C2; Tipo: Recomendação; Encaminhamento: avalie a necessidade de formalizar a atribuição de cargos ou funções à TIC e à segurança da informação e adote solução compatível com as necessidades institucionais e a capacidade administrativa da organização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S4.6: Operação de TIC predominantemente terceirizada sem profissionais internos de TIC.; Referências: R4.6, P7, E7; Critérios: C6, C14; Tipo: Recomendação; Encaminhamento: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Q5: A organização adota práticas mínimas de gestão de serviços de TIC, incluindo catálogo de serviços, níveis de serviço, inventário de ativos, gestão de configuração e tratamento de incidentes, de modo a assegurar eficiência, rastreabilidade e qualidade dos serviços prestados?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mantém catálogo de serviços de TIC atualizado e acessível aos usuários e às equipes de suporte?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catálogo de serviços de TIC contém informações mínimas sobre os serviços efetivamente prestados?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Existem Acordos de Níveis de Serviço ou metas mínimas formalmente definidas e monitoradas para os principais serviços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mantém inventário atualizado dos ativos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processo formal de gestão de configuração, com identificação de itens de configuração relevantes para os serviços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processo formal de gestão de incidentes de TIC?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R5.1: Devido à inexistência ou desatualização do catálogo de serviços de TIC, poderá não haver definição clara e padronizada dos serviços prestados, levando à prestação reativa e pouco transparente de serviços de TIC.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R5.2: Devido à inexistência de níveis de serviço formalmente definidos ou monitorados, poderá não haver parâmetros objetivos de desempenho e qualidade dos serviços de TIC.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R5.3: Devido à inexistência ou fragilidade do inventário de ativos e da gestão de configuração, poderá não haver controle adequado dos recursos tecnológicos e suas relações com os serviços prestados.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R5.4: Devido à inexistência ou fragilidade do processo de gestão de incidentes de TIC, poderá não haver tratamento padronizado, tempestivo e rastreável dos incidentes.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adoção, atualização e disponibilidade do catálogo de serviços de TIC; [F1, q2201, q2201ext[B], q2201ext[C]]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Evidência anexada contendo catálogo de serviços de TIC; [F2, q2201evi]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adoção da prática, metas no catálogo e existência de ANS ou metas mínimas de nível de serviço; [F1, q2201, q2201ext[A], q2201ext[D]]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Resposta sobre monitoramento de ANS ou metas mínimas; [F1, q2201ext[E]]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Evidência anexada contendo ANS, metas ou registros de monitoramento; [F2, q2201evi]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IR6: Resposta sobre inventário e controle de dispositivos e softwares de TIC; [F1, q2504, q2504ext[A], q2504ext[B]]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IR7: Evidência anexada contendo inventário de ativos de TIC; [F2, q2504evi]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IR8: Respostas sobre existência de base consolidada de configurações e formalização do processo de gestão de configuração; [F1, q2203, q2203ext[A], q2203ext[C]]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IR9: Evidência anexada contendo norma, procedimento, CMDB ou base equivalente de gestão de configuração; [F2, q2203evi]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IR10: Respostas sobre adoção e formalização do processo de gestão de incidentes, critérios de priorização e escalamento e tratamento de incidentes de segurança da informação; [F1, q2204, q2204ext[A], q2204ext[D], q2204ext[E]]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IR11: Evidência anexada contendo norma, procedimento ou fluxo de gestão de incidentes de TIC; [F2, q2204evi]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IR13: Evidência anexada contendo registros de incidentes, chamados, tickets, relatórios de atendimento ou sistema equivalente; [F2, q2204evi]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APO09.02 - Catalogar serviços facilitados por TI: definir, manter e comunicar catálogo de serviços, incluindo serviços prestados, características, requisitos e níveis de serviço esperados.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ITIL 4, prática de gerenciamento de nível de serviço: definir, acordar, monitorar, avaliar e reportar metas e níveis de serviço alinhados às necessidades das áreas usuárias.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ITIL 4, prática de gerenciamento de ativos de TI: planejar e gerenciar o ciclo de vida dos ativos de TI, mantendo informações suficientes para apoiar controle, custo, risco, valor e tomada de decisão.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COBIT 2019, BAI10.01 - Estabelecer e manter um modelo de configuração: definir escopo, granularidade, atributos, relacionamentos e responsáveis pela base de configuração.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COBIT 2019, DSS02.02, DSS02.04 e DSS02.07 - Requisições de serviço e incidentes gerenciados: registrar, classificar, priorizar, investigar, diagnosticar, resolver, acompanhar e reportar incidentes e requisições de serviço.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Acórdão TCE-RJ nº 44.490/2024-PLEN, itens II.7.4, III.9.4 e V.6.1 – Recomendações quanto à estruturação do catálogo de serviços de TIC, incluindo descrição dos serviços, metas, formas de acesso e disponibilidade aos usuários.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Acórdão TCE-RJ nº 44.490/2024-PLEN, itens II.7.5, III.9.5 e V.6.2 – Recomendações quanto à gestão de configuração e ativos de TIC, incluindo formalização do processo e manutenção de base consolidada de ativos e itens de configuração.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Acórdão TCE-RJ nº 44.490/2024-PLEN, itens II.7.6, III.9.6 e V.6.3 – Recomendações quanto à formalização e execução do processo de gestão de incidentes, incluindo registros, classificação, escalamento e tratamento.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Acórdão TCE-RJ nº 44.490/2024-PLEN, itens II.7.7, III.9.7 e V.6.4 – Recomendações quanto à definição, pactuação e monitoramento de níveis de serviço.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C15: ABNT NBR ISO/IEC 20000-2:2021, item 8.2.4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C16: ABNT NBR ISO/IEC 20000-2:2021, item 8.2.6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C17: ABNT NBR ISO/IEC 20000-2:2021, item 8.6.1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q2201 e das q2201ext[B] e [C], a adoção da prática e a atualização e disponibilidade do catálogo de serviços de TIC;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Validar, pela evidência anexada à q2201, se o catálogo contém informações mínimas sobre os serviços prestados; [IR2]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q2201 e das q2201ext[A], [D] e [E], a adoção, definição, pactuação e monitoramento de metas ou níveis de serviço; [IR3, 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Validar, pela evidência anexada à q2201, a existência de ANS, metas ou registros de monitoramento; [IR5]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Verificar, por meio da q2504 e das q2504ext[A] e [B], se a organização inventaria e controla dispositivos e softwares; [IR6]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P6: Validar, pela evidência anexada à q2504, a existência e atualização do inventário de dispositivos e softwares; [IR7]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P7: Verificar, por meio da q2203 e das q2203ext[A] e [C], se a organização mantém base consolidada de configurações e processo formalizado de gestão de configuração; [IR8]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P8: Validar, pela evidência anexada à q2203, a existência de procedimento, base ou mecanismo equivalente de gestão de configuração; [IR9]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P9: Verificar, por meio da q2204 e das q2204ext[A], [D] e [E], se a organização possui processo de gestão de incidentes formalizado, com critérios de priorização e escalamento e procedimentos para incidentes de segurança da informação; [IR10]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P10: Validar, pela evidência anexada à q2204, a existência de procedimento ou fluxo formal de gestão de incidentes; [IR11]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P12: Validar, pela evidência anexada à q2204, a existência de registros rastreáveis de incidentes, chamados ou tickets; [IR13]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catálogo de serviços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inacessibilidade ou insuficiência do catálogo de serviços de TIC;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ANS ou metas mínimas de nível de serviço;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Ausência, desatualização ou insuficiência de ANS, metas ou registros de monitoramento;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Resposta negativa ou insuficiente sobre inventário de ativos de TIC;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Ausência, desatualização ou insuficiência de inventário de ativos de TIC; [P6]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Resposta negativa ou insuficiente quanto à manutenção de base consolidada de configurações ou à formalização do processo de gestão de configuração; [P7]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E8: Ausência, desatualização ou insuficiência de norma, procedimento, CMDB ou base equivalente de gestão de configuração; [P8]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E9: Resposta negativa ou insuficiente sobre processo formal de gestão de incidentes de TIC; [P9]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E10: Ausência, desatualização ou insuficiência de norma, procedimento ou fluxo formal de gestão de incidentes; [P10]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E12: Ausência, insuficiência ou baixa rastreabilidade dos registros de incidentes, chamados ou tickets; [P12]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A5: Gestão de serviços de TIC insuficiente para assegurar controle sobre serviços, ativos e incidentes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S5.1: Inexistência ou insuficiência do catálogo de serviços de TIC.; Referências: R5.1, P1, E1, P2, E2; Critérios: C2, C11, C15; Tipo: Recomendação; 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S5.2: Ausência ou fragilidade na definição e no monitoramento de níveis mínimos de serviço de TIC.; Referências: R5.2, P3, E3, P4, E4; Critérios: C3, C14; Tipo: Recomendação; Encaminhamento: defina, acorde e monitore níveis de serviço para os serviços de TIC relevantes, estabelecendo metas e mecanismos de acompanhamento de seu cumprimento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S5.3: Inventário e controle de dispositivos e softwares de TIC inexistente ou insuficiente.; Referências: R5.3, P5, E5, P6, E6; Critérios: C4, C12; Tipo: Recomendação; 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S5.4: Ausência ou fragilidade do processo de gestão de configuração.; Referências: R5.3, P7, E7, P8, E8; Critérios: C6, C12, C16; Tipo: Recomendação; Encaminhamento: formalize e execute processo de gestão de configuração, atentando-se, minimamente, em manter base, ferramenta ou registro equivalente com os itens de configuração relevantes, seus responsáveis e os relacionamentos entre ativos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S5.5: Inexistência ou fragilidade do processo de gestão de incidentes de TIC.; Referências: R5.4, P9, E9, P10, E10, P12, E12; Critérios: C8, C13, C17; Tipo: Recomendação; 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Q6: A organização adota processo formal e padronizado para a fase preparatória das contratações de TIC, com responsabilidades definidas, análise técnica pela área de TIC e alinhamento aos instrumentos de planejamento?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fluxo formalizado e padronizado para contratações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definiu papéis e responsabilidades nas contratações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dispõe de modelos, manuais, checklists ou normativos orientativos para elaboração dos artefatos das contratações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contratações de TIC são submetidas à análise prévia e aprovação técnica da área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contratações de TIC estão alinhadas ao plano de TIC e ao plano de contratações?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equipe de planejamento da contratação é formalmente designada e possui participação técnica de TIC?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R6.1: Devido à inexistência ou fragilidade de fluxo formal e padronizado para contratações de TIC, poderá não haver clareza quanto às etapas, instâncias decisórias e critérios de aprovação.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R6.2: Devido à ausência de definição formal de papéis, responsabilidades, modelos e orientações, poderá haver instrução processual incompleta, inconsistente ou tecnicamente frágil.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R6.3: Devido à ausência de análise técnica prévia da área de TIC e de alinhamento ao planejamento, poderão ser contratadas soluções incompatíveis com padrões técnicos, requisitos institucionais ou prioridades definidas.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R6.4: Devido à ausência de equipe de planejamento formalmente designada e de participação técnica da área de TIC, a instrução da contratação poderá não considerar adequadamente as necessidades institucionais e os aspectos técnicos da solução.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Resposta sobre definição do processo de planejamento das contratações de TIC, incluindo etapas, responsabilidades e artefatos resultantes; [F1, q2801, q2801ext[A]]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Resposta e evidência sobre papéis e responsabilidades nas contratações de TIC; [F1, F2, q2801, q2801evi]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Resposta sobre disponibilização de modelos e artefatos padronizados para o planejamento das contratações de TIC; [F1, q2801, q2801ext[B]]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Resposta sobre submissão obrigatória das contratações de TIC à análise prévia e aprovação técnica da área de TIC; [F1, q2804[A]]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Evidência específica sobre aprovação técnica da área de TIC; [F2, q2804eviA]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IR6: Resposta sobre alinhamento das contratações aos instrumentos de planejamento e ao Plano de Contratações Anual; [F1, q2804[B]]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IR7: Resposta sobre equipe de planejamento formalmente designada e com participação técnica de TIC; [F1, q2804[C]]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nº 14.133/2021, art. 11, parágrafo único: responsabilidade da alta administração pela governança das contratações, com processos, estruturas, gestão de riscos e controles internos.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nº 14.133/2021, arts. 12, VII e §1º, e 18, caput e §1º, II – a fase preparatória deve compatibilizar-se com o Plano de Contratações Anual, quando elaborado, e deve ser demonstrado o alinhamento da contratação com o planejamento da Administração.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Lei nº 14.133/2021, art. 19, inciso IV: instituição de modelos de minutas de editais, termos de referência, contratos padronizados e demais documentos.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Lei nº 14.133/2021, art. 7º, caput, incisos I a III e §1º: designação de agentes públicos para funções essenciais, observados atribuições, formação, segregação de funções e inexistência de vínculos que comprometam a atuação.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COBIT 2019, BAI02.04 - Obter aprovação dos requisitos da solução: obter aprovação formal dos requisitos funcionais, técnicos, de segurança e de conformidade antes de prosseguir com a solução.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Instrução Normativa SGD/ME nº 94/2022, arts. 2º, IV, 9º, 10, 11 e 12, §6º – referência de boa prática para estruturação da fase de planejamento das contratações de TIC, instituição da Equipe de Planejamento da Contratação e participação do integrante técnico da área de TIC, observada sua aplicação direta aos integrantes do SISP e as hipóteses de simplificação de procedimentos previstas na norma.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Acórdão TCE-RJ nº 44.490/2024-PLEN, itens III.7 e IV.9 – Determinações para estruturação do processo de planejamento anual das contratações, contemplando consolidação das demandas, participação das áreas, aprovação e publicidade do plano.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Acórdão nº 2.342/2016-TCU-Plenário, item 9.1.7 – Precedente quanto à definição, aprovação e formalização de processo de trabalho para o planejamento de cada contratação, com controles internos mínimos.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6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8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  <w:ind w:left="240"/>
            </w:pPr>
            <w:r>
              <w:rPr>
                <w:bCs/>
                <w:color w:val="auto"/>
                <w:sz w:val="18"/>
                <w:szCs w:val="18"/>
              </w:rPr>
              <w:t>C11: Decreto Estadual nº 48.816/2023, no âmbito de aplicação do ato — referência específica para a fase preparatória das contratações; não é considerado, isoladamente, fundamento suficiente para determinar a composição mínima da equipe de planejamento.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6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8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  <w:ind w:left="240"/>
            </w:pPr>
            <w:r>
              <w:rPr>
                <w:bCs/>
                <w:color w:val="auto"/>
                <w:sz w:val="18"/>
                <w:szCs w:val="18"/>
              </w:rPr>
              <w:t>C12: Resolução CNJ nº 468/2022, art. 7º — a equipe de planejamento da contratação de solução de TIC deve ser formalmente instituída e conter integrantes demandante, técnico e administrativo.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6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8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  <w:ind w:left="240"/>
            </w:pPr>
            <w:r>
              <w:rPr>
                <w:bCs/>
                <w:color w:val="auto"/>
                <w:sz w:val="18"/>
                <w:szCs w:val="18"/>
              </w:rPr>
              <w:t>C13: Resolução CNMP nº 283/2024, arts. 8º e 9º — a equipe de planejamento da contratação de solução de TIC deve ser instituída com integrante técnico, integrante requisitante e integrante administrativo.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Verificar, por meio da q2801 e das q2801ext[A] e [B], se o processo de planejamento das contratações de TIC possui etapas e responsabilidades definidas e artefatos padronizados; [IR1, 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Validar, pelas evidências anexadas à q2801, a existência de fluxo, papéis, responsabilidades, modelos, manuais, checklists ou normativos orientativos; [IR1, 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Verificar, por meio da q2804[A] e da q2804eviA, se as contratações de TIC são submetidas à análise prévia e aprovação técnica da área de TIC; [IR4, 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Verificar, por meio da q2804[B], se as contratações de TIC estão alinhadas aos instrumentos de planejamento e ao Plano de Contratações Anual; [IR6]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Verificar, por meio da q2804[C], se a equipe de planejamento da contratação é formalmente designada e possui participação técnica de TIC; [IR7]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processo formal e padronizado para contratações de TIC;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 ou insuficiência de evidências de fluxo, papéis, responsabilidades, modelos, manuais, checklists ou normativos orientativos;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análise prévia e aprovação técnica da área de TIC;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Quando declarada a adoção da prática, ausência ou insuficiência de norma que estabeleça a análise e aprovação técnica da área de TIC ou de evidência de sua aplicação em caso concreto;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Resposta negativa ou insuficiente sobre aderência das contratações ao plano de TIC ou ao plano de contratações;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Resposta negativa ou insuficiente sobre equipe de planejamento formalmente designada e com participação técnica de TIC; [P5]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8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A6: Fragilidades na governança técnica da fase preparatória das contratações de TIC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S6.1: Inexistência ou fragilidade de processo formal e padronizado para o planejamento das contratações de TIC.; Referências: R6.1, R6.2, P1, E1, P2, E2; Critérios: C1, C3, C10; Tipo: Recomendação; 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S6.2: Contratações de TIC sem análise prévia e aprovação técnica da área de TIC.; Referências: R6.3, P3, E3, E4; Critérios: C1, C5, C8; Tipo: Recomendação; Encaminhamento: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S6.3: Contratações de TIC sem alinhamento ao planejamento de TIC e ao Plano de Contratações Anual.; Referências: R6.3, P4, E5; Critérios: C1, C2, C9; Tipo: Determinação; 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360"/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- S6.4: Contratações de TIC sem designação de equipe de planejamento com integrante técnico da área de TIC.; Referências: R6.4, P5, E6; Critérios: C1, C4, C8; Tipo: Recomendação; 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600"/>
              <w:spacing w:after="10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Poder Executivo Estadual: critérios C1, C4, C11; tipo: Recomendação; 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600"/>
              <w:spacing w:after="10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Poder Judiciário Estadual: critérios C1, C4, C12; tipo: Determinação; 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ind w:left="600"/>
              <w:spacing w:after="10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>Ministério Público Estadual: critérios C1, C4, C13; tipo: Determinação; 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QTD: Qual é o grau de adoção das práticas de governança e gestão de TIC pelas organizações avaliadas no iGovTI 2026, globalmente e por componente e dimensão? (levantamento)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Como se distribuem os resultados do iGovTI 2026 entre as faixas de maturidade definidas na metodologia?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Qual é o desempenho agregado das organizações nos componentes Governança de TIC e Gestão de TIC e nas dimensões que compõem o índice?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diferenças relevantes nos resultados entre segmentos institucionais com quantidade suficiente de organizações para análise?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práticas avaliadas apresentam os maiores e os menores graus de adoção?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Não se aplica: questão de levantamento, sem formulação de risco de achado.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Respostas válidas e processadas do questionário eletrônico iGovTI 2026.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Metodologia de cálculo e estrutura do índice iGovTI 2026.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F3: Resultados individuais e agregados calculados para o iGovTI 2026, seus componentes e suas dimensões.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F4: Cadastro das organizações avaliadas, com os atributos institucionais necessários aos recortes analíticos.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Universo de organizações avaliadas, respondentes válidos e respectivos atributos institucionais; [F1, F4]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Resultado individual do iGovTI 2026, respectiva faixa de maturidade e resultados dos componentes Governança de TIC e Gestão de TIC; [F2,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Resultados individuais e agregados das dimensões Planejamento de TIC, Gestão de serviços de TIC, Riscos de TI e de segurança da informação, Estrutura de segurança da informação, Processos de segurança da informação e Gestão de soluções de TIC; [F2,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Pontuações normalizadas das práticas e dos itens que compõem o iGovTI 2026, com seus denominadores e regras de tratamento; [F1, 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Registros de completude, consistência, ajustes e limitações relevantes das bases utilizadas no cálculo; [F1, F2, F3]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Não se aplica como critério de conformidade: análise orientada pelas fontes e pelos procedimentos definidos.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Validar o universo de organizações avaliadas e calcular ou conferir, conforme a metodologia do iGovTI 2026, o índice, a faixa de maturidade, os componentes e as dimensões de cada organização; [IR1, 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Consolidar a distribuição das organizações por faixa de maturidade e calcular medidas descritivas do iGovTI 2026 para o universo avaliado; [IR1, IR2]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Consolidar e comparar os resultados dos componentes Governança de TIC e Gestão de TIC e das seis dimensões que compõem o índice; [IR2,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Segregar os resultados por Poder, esfera, natureza institucional ou outro segmento pertinente, quando a quantidade e a composição das organizações permitirem comparação descritiva adequada; [IR1, 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Identificar as práticas e os itens com maiores e menores graus de adoção, informando a medida utilizada, o número de respostas válidas e o tratamento das respostas não aplicáveis;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P6: Verificar a completude e a consistência das bases e registrar as limitações que afetem o cálculo ou a interpretação dos resultados; [IR5]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Relação consolidada das organizações avaliadas, dos respondentes válidos e dos atributos institucionais utilizados na análise;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Memória de cálculo ou base de resultados com o iGovTI 2026, a faixa de maturidade, os componentes e as dimensões de cada organização;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Tabelas, gráficos ou painéis com a distribuição por faixa de maturidade e as medidas descritivas do iGovTI 2026;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Tabelas, gráficos ou painéis com os resultados agregados dos componentes e das dimensões do índice;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Quadros comparativos por segmento institucional, acompanhados do quantitativo de organizações de cada grupo;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Relação das práticas e dos itens com maiores e menores graus de adoção, acompanhada dos respectivos percentuais, pontuações ou medidas de síntese e denominadores;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Registro das verificações de completude e consistência e das limitações relevantes para interpretação dos resultados; [P6]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 que a análise permite dizer: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Qual é o grau de adoção das práticas de governança e gestão de TIC no universo avaliado em 2026, segundo o índice e as faixas de maturidade definidas na metodologia.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Como se comportam, em termos agregados, os componentes Governança de TIC e Gestão de TIC e as seis dimensões que compõem o iGovTI 2026.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Quais segmentos institucionais apresentam resultados distintos, quando houver quantidade e composição adequadas para comparação descritiva.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Quais práticas e itens do questionário concentram os maiores e os menores graus de adoção.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Limitações e cautelas: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questão tem caráter de levantamento e diagnóstico agregado, não gerando achado ou encaminhamento individual por organização.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 iGovTI 2026 mensura o grau de adoção segundo as respostas e as regras da metodologia; o resultado não comprova, isoladamente, a efetividade das práticas nem conformidade jurídica.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Os resultados agregados não substituem a avaliação individualizada das fragilidades abrangidas pelas Questões 1 a 6.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Médias e demais medidas de síntese devem ser apresentadas com a distribuição dos resultados, para evitar que ocultem diferenças relevantes entre as organizações.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Comparações entre segmentos institucionais devem considerar o tamanho, a composição e a cobertura de cada grupo e não devem ser tratadas como inferência causal.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Práticas ou itens com universos de respostas distintos devem ser comparados somente com indicação dos respectivos denominadores e do tratamento das respostas não aplicáveis.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510AF5" w:rsidRPr="00636B72" ns2:paraId="57D6716F" ns2:textId="77777777" w:rsidTr="6D09F7BC">
        <w:trPr>
          <w:tblHeader/>
        </w:trPr>
        <w:tc>
          <w:tcPr>
            <w:tcW w:w="5000" w:type="pct"/>
            <w:gridSpan w:val="6"/>
          </w:tcPr>
          <w:p ns2:paraId="7D29FCBB" ns2:textId="4EC62946" w:rsidR="005D66B0" w:rsidRDefault="48870B08" w:rsidP="005D66B0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QT: As organizações anteriormente avaliadas apresentaram evolução mensurável, em termos agregados, em governança e gestão de TIC e no atendimento aos encaminhamentos da fiscalização anterior? (levantamento)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Houve variação agregada positiva, negativa ou estável nos indicadores comparáveis de governança e gestão de TIC?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dimensões, práticas ou indicadores agregados apresentaram maior evolução?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dimensões, práticas ou indicadores agregados permaneceram estáveis ou regrediram?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Qual foi o grau agregado de atendimento aos encaminhamentos propostos na fiscalização anterior?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diferença relevante entre a evolução agregada dos municípios avaliados em 2023 e a evolução agregada das organizações do Poder Executivo?</w:t>
            </w:r>
          </w:p>
          <w:p ns2:paraId="4ED18313" ns2:textId="42BA0AFF" w:rsidR="005D66B0" w:rsidRPr="008F73A8" w:rsidRDefault="005D66B0" w:rsidP="005D66B0">
            <w:pPr>
              <w:pStyle w:val="PargrafodaLista"/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diferenças metodológicas entre os ciclos limitam a comparabilidade dos resultados?</w:t>
            </w:r>
          </w:p>
        </w:tc>
      </w:tr>
      <w:tr w:rsidR="00A20BFA" w:rsidRPr="00636B72" ns2:paraId="6C956695" ns2:textId="77777777" w:rsidTr="6D09F7BC">
        <w:trPr>
          <w:tblHeader/>
        </w:trPr>
        <w:tc>
          <w:tcPr>
            <w:tcW w:w="5000" w:type="pct"/>
            <w:gridSpan w:val="6"/>
            <w:shd w:val="clear" w:color="auto" w:fill="BDD6EE" w:themeFill="accent5" w:themeFillTint="66"/>
          </w:tcPr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Critérios de comparabilidade: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CT1: Comparar apenas organizações presentes nos dois ciclos ou, quando houver alteração de universo, explicitar separadamente o universo comum e o universo total de cada ciclo.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CT2: Comparar apenas indicadores, dimensões, práticas ou faixas com correspondência metodológica suficiente; quando a correspondência for parcial, registrar a limitação e evitar conclusão categórica.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CT3: Utilizar quantitativos absolutos e percentuais para descrever variações agregadas, distinguindo evolução, estabilidade e regressão.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CT4: Distinguir mudança em resultado agregado de atendimento efetivo de encaminhamento; melhoria no indicador não implica, por si só, cumprimento integral da recomendação anterior.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CT5: Classificar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</w:p>
          <w:p ns2:paraId="63566D7E" ns2:textId="69F154AC" w:rsidR="000F7859" w:rsidRPr="00586BDD" w:rsidRDefault="00A45EC8" w:rsidP="00D73576">
            <w:pPr>
              <w:spacing w:after="12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CT6: Registrar limitações decorrentes de mudanças metodológicas, de diferenças de escopo, de alteração de pesos, de alteração de itens do questionário ou de indisponibilidade de dados históricos.</w:t>
            </w:r>
          </w:p>
        </w:tc>
      </w:tr>
    </w:tbl>
    <w:p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 w:rsidR="001A774B" w:rsidRPr="00636B72" ns2:paraId="4D48342C" ns2:textId="77777777" w:rsidTr="6D09F7BC">
        <w:trPr>
          <w:tblHeader/>
        </w:trPr>
        <w:tc>
          <w:tcPr>
            <w:tcW w:w="505" w:type="pct"/>
            <w:vAlign w:val="center"/>
          </w:tcPr>
          <w:p ns2:paraId="5C2D7232" ns2:textId="280A56F4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W w:w="709" w:type="pct"/>
            <w:vAlign w:val="center"/>
          </w:tcPr>
          <w:p ns2:paraId="7208CA25" ns2:textId="5376F66C" w:rsidR="00282E61" w:rsidRPr="00636B72" w:rsidRDefault="000A6618" w:rsidP="004A61A8">
            <w:pPr>
              <w:autoSpaceDE w:val="0"/>
              <w:autoSpaceDN w:val="0"/>
              <w:adjustRightInd w:val="0"/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W w:w="810" w:type="pct"/>
            <w:vAlign w:val="center"/>
          </w:tcPr>
          <w:p ns2:paraId="563FD7FD" ns2:textId="77777777" w:rsidR="00282E61" w:rsidRPr="00636B72" w:rsidRDefault="7AB3FDF1" w:rsidP="6D09F7BC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W w:w="1013" w:type="pct"/>
            <w:vAlign w:val="center"/>
          </w:tcPr>
          <w:p ns2:paraId="6A4DEA23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W w:w="912" w:type="pct"/>
            <w:vAlign w:val="center"/>
          </w:tcPr>
          <w:p ns2:paraId="4A1C29C4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W w:w="1051" w:type="pct"/>
            <w:vAlign w:val="center"/>
          </w:tcPr>
          <w:p ns2:paraId="357B1101" ns2:textId="77777777" w:rsidR="00282E61" w:rsidRPr="00636B72" w:rsidRDefault="00282E61" w:rsidP="000A6618">
            <w:pPr>
              <w:spacing w:before="4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 w:rsidR="00EF385F" w:rsidRPr="00636B72" ns2:paraId="70A91EBB" ns2:textId="77777777" w:rsidTr="6D09F7BC">
        <w:tc>
          <w:tcPr>
            <w:tcW w:w="505" w:type="pct"/>
            <w:vAlign w:val="center"/>
          </w:tcPr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F1: Resultados, respostas e indicadores calculados no iGovTI 2026 para as organizações também avaliadas na fiscalização anterior.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F2: Resultados, respostas, indicadores, achados e encaminhamentos da fiscalização anterior de 2023 relativa ao iGovTI em municípios.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F3: Resultados, respostas, indicadores, achados e encaminhamentos da fiscalização anterior de 2023 relativa ao iGovTI nas organizações do Poder Executivo estadual.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F4: Metodologias de cálculo, dicionários de variáveis, questionários, planilhas de correspondência e demais registros necessários para compatibilizar os ciclos de avaliação.</w:t>
            </w:r>
          </w:p>
          <w:p ns2:paraId="07477FA7" ns2:textId="4BBAC042" w:rsidR="0024623A" w:rsidRPr="00636B72" w:rsidRDefault="008A6030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F5: Informações, evidências e registros produzidos no iGovTI 2026 que permitam inferir, em termos agregados, atendimento, não atendimento ou atendimento parcial dos encaminhamentos anteriores.</w:t>
            </w:r>
          </w:p>
        </w:tc>
        <w:tc>
          <w:tcPr>
            <w:tcW w:w="709" w:type="pct"/>
            <w:vAlign w:val="center"/>
          </w:tcPr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IR1: Relação das organizações avaliadas na fiscalização anterior que também integram o iGovTI 2026, segregadas, quando aplicável, entre municípios e organizações do Poder Executivo estadual; [F1, 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IR2: Indicadores, dimensões, práticas, faixas de maturidade ou métricas da fiscalização anterior que sejam comparáveis com os resultados do iGovTI 2026; [F1, F2, F3, F4]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IR3: Tabela de correspondência entre indicadores, práticas, dimensões ou métricas dos ciclos de avaliação, com indicação do grau de comparabilidade; [F4]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IR4: Distribuição agregada dos resultados da fiscalização anterior e do iGovTI 2026, incluindo quantitativo e percentual de organizações por nível, faixa, dimensão, prática ou indicador comparável; [F1, F2, F3]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IR5: Variação agregada entre os ciclos, incluindo evolução, estabilidade ou regressão por indicador, dimensão, prática ou faixa de maturidade comparável; [F1, F2, F3, F4]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IR6: Relação dos encaminhamentos propostos na fiscalização anterior e sua classificação agregada quanto a atendimento, atendimento parcial, não atendimento ou impossibilidade de avaliação; [F2, F3, F5]</w:t>
            </w:r>
          </w:p>
          <w:p ns2:paraId="1DD0E491" ns2:textId="77777777" w:rsidR="001B2611" w:rsidRDefault="00FE1527" w:rsidP="00EC768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IR7: Limitações metodológicas que afetem a comparação entre os ciclos, incluindo alteração de questionário, pesos, fórmulas, universo avaliado, escala de resposta ou critérios de classificação; [F1, F2, F3, F4]</w:t>
            </w:r>
          </w:p>
        </w:tc>
        <w:tc>
          <w:tcPr>
            <w:tcW w:w="810" w:type="pct"/>
            <w:vAlign w:val="center"/>
          </w:tcPr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CT1: Comparar apenas organizações presentes nos dois ciclos ou, quando houver alteração de universo, explicitar separadamente o universo comum e o universo total de cada ciclo.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CT2: Comparar apenas indicadores, dimensões, práticas ou faixas com correspondência metodológica suficiente; quando a correspondência for parcial, registrar a limitação e evitar conclusão categórica.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CT3: Utilizar quantitativos absolutos e percentuais para descrever variações agregadas, distinguindo evolução, estabilidade e regressão.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CT4: Distinguir mudança em resultado agregado de atendimento efetivo de encaminhamento; melhoria no indicador não implica, por si só, cumprimento integral da recomendação anterior.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CT5: Classificar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</w:p>
          <w:p ns2:paraId="2667BB09" ns2:textId="2C1623C1" w:rsidR="008C3CC7" w:rsidRPr="005D5A01" w:rsidRDefault="005D5A01" w:rsidP="000E5E8E">
            <w:pPr>
              <w:pStyle w:val="Default"/>
              <w:spacing w:after="12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CT6: Registrar limitações decorrentes de mudanças metodológicas, de diferenças de escopo, de alteração de pesos, de alteração de itens do questionário ou de indisponibilidade de dados históricos.</w:t>
            </w:r>
          </w:p>
        </w:tc>
        <w:tc>
          <w:tcPr>
            <w:tcW w:w="1013" w:type="pct"/>
            <w:vAlign w:val="center"/>
          </w:tcPr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P1: Identificar o conjunto de organizações avaliadas na fiscalização anterior e cruzá-lo com o universo de organizações respondentes do iGovTI 2026; [IR1]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P2: Construir tabela de correspondência entre indicadores, dimensões, práticas, faixas de maturidade ou métricas comparáveis entre a fiscalização anterior e o iGovTI 2026; [IR2, IR3]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P3: Calcular, para o conjunto comum de organizações, a distribuição agregada dos resultados nos dois ciclos, por indicador, dimensão, prática ou faixa de maturidade comparável; [IR4]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P4: Calcular a variação agregada entre os ciclos, distinguindo evolução, estabilidade e regressão, em quantitativos absolutos e percentuais; [IR5]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P5: Segregar, quando aplicável, os resultados agregados dos municípios avaliados em 2023 e das organizações do Poder Executivo estadual avaliadas em 2023; [IR1, IR4, IR5]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P6: Classificar, em termos agregados, o atendimento dos encaminhamentos da fiscalização anterior, com base nos registros disponíveis e nas evidências ou respostas do iGovTI 2026; [IR6]</w:t>
            </w:r>
          </w:p>
          <w:p ns2:paraId="4C6E5B2E" ns2:textId="42100C78" w:rsidR="00163D04" w:rsidRDefault="00873041" w:rsidP="00EC7681">
            <w:pPr>
              <w:pStyle w:val="Default"/>
              <w:jc w:val="both"/>
              <w:rPr>
                <w:b/>
                <w:bCs/>
                <w:color w:val="auto"/>
                <w:sz w:val="18"/>
                <w:szCs w:val="18"/>
              </w:rPr>
              <w:spacing w:after="120"/>
            </w:pPr>
            <w:r>
              <w:rPr>
                <w:color w:val="auto"/>
                <w:sz w:val="18"/>
                <w:szCs w:val="18"/>
              </w:rPr>
              <w:t>P7: Identificar limitações metodológicas da comparação e indicar quais conclusões podem ou não ser extraídas dos dados disponíveis; [IR7]</w:t>
            </w:r>
          </w:p>
        </w:tc>
        <w:tc>
          <w:tcPr>
            <w:tcW w:w="912" w:type="pct"/>
            <w:vAlign w:val="center"/>
          </w:tcPr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E1: Relação consolidada das organizações presentes nos dois ciclos de avaliação; [P1]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E2: Tabela de correspondência entre itens, indicadores, dimensões, práticas ou faixas comparáveis entre a fiscalização anterior e o iGovTI 2026; [P2]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E3: Tabelas, gráficos ou painéis com distribuição agregada dos resultados da fiscalização anterior e do iGovTI 2026; [P3]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E4: Cálculo da variação agregada dos resultados, em números absolutos e percentuais, indicando evolução, estabilidade ou regressão; [P4]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E5: Comparativo agregado entre municípios avaliados em 2023 e organizações do Poder Executivo estadual avaliadas em 2023, quando os dados permitirem a segregação; [P5]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E6: Quadro consolidado de atendimento, atendimento parcial, não atendimento ou impossibilidade de avaliação dos encaminhamentos anteriores; [P6]</w:t>
            </w:r>
          </w:p>
          <w:p ns2:paraId="1E80855F" ns2:textId="1D853748" w:rsidR="00282E61" w:rsidRDefault="00DB20B7" w:rsidP="00EC7681">
            <w:pPr>
              <w:jc w:val="both"/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E7: Registro das limitações metodológicas e das cautelas necessárias para interpretação dos resultados comparativos; [P7]</w:t>
            </w:r>
          </w:p>
        </w:tc>
        <w:tc>
          <w:tcPr>
            <w:tcW w:w="1051" w:type="pct"/>
            <w:vAlign w:val="center"/>
          </w:tcPr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 que a análise permite dizer: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Se, no conjunto comum de organizações, houve evolução, estabilidade ou regressão agregada em governança e gestão de TIC entre a fiscalização anterior e o iGovTI 2026.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Quais dimensões, práticas ou indicadores comparáveis concentraram os maiores avanços agregados.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Quais dimensões, práticas ou indicadores comparáveis permaneceram com baixa evolução, estagnaram ou regrediram em termos agregados.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Se os encaminhamentos da fiscalização anterior foram atendidos, parcialmente atendidos, não atendidos ou não puderam ser avaliados, em termos agregados.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Se há diferença relevante entre a evolução agregada dos municípios avaliados em 2023 e das organizações do Poder Executivo estadual avaliadas em 2023.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Em que medida diferenças metodológicas entre os ciclos limitam a força das conclusões comparativas.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Limitações e cautelas: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questão tem caráter de levantamento e análise longitudinal agregada, não gerando achado individual por organização.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comparação não deve ser feita questão a questão quando não houver equivalência metodológica suficiente entre os instrumentos de avaliação.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evolução agregada não autoriza, isoladamente, concluir que todas as organizações evoluíram individualmente.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A regressão agregada não autoriza, isoladamente, concluir descumprimento individual de encaminhamento anterior.</w:t>
            </w:r>
          </w:p>
          <w:p ns2:paraId="11118515" ns2:textId="02403B9E" w:rsidR="00E214F9" w:rsidRPr="00E214F9" w:rsidRDefault="181793CF" w:rsidP="00E214F9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sz w:val="18"/>
                <w:szCs w:val="18"/>
              </w:rPr>
              <w:spacing w:after="120"/>
            </w:pPr>
            <w:r>
              <w:rPr>
                <w:rFonts w:ascii="Arial" w:hAnsi="Arial" w:cs="Arial"/>
                <w:sz w:val="18"/>
                <w:szCs w:val="18"/>
              </w:rPr>
              <w:t>O atendimento dos encaminhamentos anteriores deve ser analisado conforme o conteúdo de cada encaminhamento, as evidências disponíveis e a compatibilidade com os dados coletados no iGovTI 2026.</w:t>
            </w:r>
          </w:p>
        </w:tc>
      </w:tr>
    </w:tbl>
    <w:p/>
    <w:p/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73"/>
        <w:gridCol w:w="10495"/>
      </w:tblGrid>
      <w:tr w:rsidR="00100C4E" w:rsidRPr="00636B72" ns2:paraId="5EC73B82" ns2:textId="77777777">
        <w:tc>
          <w:tcPr>
            <w:tcW w:w="2654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27086525" ns2:textId="5BC84706" w:rsidR="00551257" w:rsidRPr="00636B72" w:rsidRDefault="004A6075" w:rsidP="006901C9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br w:type="page"/>
            </w:r>
            <w:r w:rsidR="00551257" w:rsidRPr="00636B72">
              <w:rPr>
                <w:rFonts w:ascii="Arial" w:hAnsi="Arial" w:cs="Arial"/>
                <w:b/>
                <w:bCs/>
              </w:rPr>
              <w:t>Equipe de Auditoria</w:t>
            </w:r>
          </w:p>
        </w:tc>
        <w:tc>
          <w:tcPr>
            <w:tcW w:w="2346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081D154F" ns2:textId="77777777" w:rsidR="00551257" w:rsidRPr="00636B72" w:rsidRDefault="00551257" w:rsidP="006901C9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636B72">
              <w:rPr>
                <w:rFonts w:ascii="Arial" w:hAnsi="Arial" w:cs="Arial"/>
                <w:b/>
                <w:bCs/>
              </w:rPr>
              <w:t>Supervisor</w:t>
            </w:r>
          </w:p>
        </w:tc>
      </w:tr>
      <w:tr w:rsidR="00100C4E" w:rsidRPr="00636B72" ns2:paraId="4ADF87AF" ns2:textId="77777777">
        <w:tc>
          <w:tcPr>
            <w:tcW w:w="2654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1C42D2D4" ns2:textId="44C819D1" w:rsidR="00551257" w:rsidRPr="00636B72" w:rsidRDefault="0010133B" w:rsidP="006901C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>Augusto César Benvenuto de Almeida</w:t>
            </w:r>
            <w:r w:rsidR="00551257" w:rsidRPr="00636B72">
              <w:rPr>
                <w:rFonts w:ascii="Arial" w:hAnsi="Arial" w:cs="Arial"/>
                <w:color w:val="212529"/>
                <w:shd w:val="clear" w:color="auto" w:fill="FFFFFF"/>
              </w:rPr>
              <w:t xml:space="preserve"> - 02/4</w:t>
            </w:r>
            <w:r w:rsidR="00826AD6">
              <w:rPr>
                <w:rFonts w:ascii="Arial" w:hAnsi="Arial" w:cs="Arial"/>
                <w:color w:val="212529"/>
                <w:shd w:val="clear" w:color="auto" w:fill="FFFFFF"/>
              </w:rPr>
              <w:t>823</w:t>
            </w:r>
          </w:p>
        </w:tc>
        <w:tc>
          <w:tcPr>
            <w:tcW w:w="2346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4A9ED85F" ns2:textId="2B0DC6CF" w:rsidR="00551257" w:rsidRPr="00636B72" w:rsidRDefault="00F50C15" w:rsidP="006901C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en-US"/>
              </w:rPr>
              <w:t>Bruno Mattos Souza de Souza Melo</w:t>
            </w:r>
            <w:r w:rsidRPr="00636B72">
              <w:rPr>
                <w:rFonts w:ascii="Arial" w:hAnsi="Arial" w:cs="Arial"/>
              </w:rPr>
              <w:t xml:space="preserve"> </w:t>
            </w:r>
            <w:r w:rsidR="00551257" w:rsidRPr="00636B72">
              <w:rPr>
                <w:rFonts w:ascii="Arial" w:hAnsi="Arial" w:cs="Arial"/>
              </w:rPr>
              <w:t>– 02/42</w:t>
            </w:r>
            <w:r w:rsidR="006901C9">
              <w:rPr>
                <w:rFonts w:ascii="Arial" w:hAnsi="Arial" w:cs="Arial"/>
              </w:rPr>
              <w:t>5</w:t>
            </w:r>
            <w:r w:rsidR="00826AD6">
              <w:rPr>
                <w:rFonts w:ascii="Arial" w:hAnsi="Arial" w:cs="Arial"/>
              </w:rPr>
              <w:t>8</w:t>
            </w:r>
          </w:p>
        </w:tc>
      </w:tr>
      <w:tr w:rsidR="00100C4E" w:rsidRPr="00636B72" ns2:paraId="3400A8BC" ns2:textId="77777777">
        <w:tc>
          <w:tcPr>
            <w:tcW w:w="2654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477C9695" ns2:textId="261A00B8" w:rsidR="006901C9" w:rsidRDefault="00644633" w:rsidP="006901C9">
            <w:pPr>
              <w:spacing w:line="276" w:lineRule="auto"/>
              <w:rPr>
                <w:rFonts w:ascii="Arial" w:hAnsi="Arial" w:cs="Arial"/>
                <w:color w:val="212529"/>
                <w:shd w:val="clear" w:color="auto" w:fill="FFFFFF"/>
              </w:rPr>
            </w:pPr>
            <w:r w:rsidRPr="00644633">
              <w:rPr>
                <w:rFonts w:ascii="Arial" w:hAnsi="Arial" w:cs="Arial"/>
                <w:color w:val="212529"/>
                <w:shd w:val="clear" w:color="auto" w:fill="FFFFFF"/>
              </w:rPr>
              <w:t>Fábio Souza Lima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</w:t>
            </w:r>
            <w:r w:rsidRPr="00644633">
              <w:rPr>
                <w:rFonts w:ascii="Arial" w:hAnsi="Arial" w:cs="Arial"/>
                <w:color w:val="212529"/>
                <w:shd w:val="clear" w:color="auto" w:fill="FFFFFF"/>
              </w:rPr>
              <w:t xml:space="preserve"> 02/4822</w:t>
            </w:r>
          </w:p>
        </w:tc>
        <w:tc>
          <w:tcPr>
            <w:tcW w:w="2346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11A9A3E1" ns2:textId="77777777" w:rsidR="006901C9" w:rsidRDefault="006901C9" w:rsidP="006901C9">
            <w:pPr>
              <w:spacing w:line="276" w:lineRule="auto"/>
              <w:rPr>
                <w:rFonts w:ascii="Arial" w:hAnsi="Arial" w:cs="Arial"/>
                <w:lang w:eastAsia="en-US"/>
              </w:rPr>
            </w:pPr>
          </w:p>
        </w:tc>
      </w:tr>
      <w:tr w:rsidR="00100C4E" w:rsidRPr="00636B72" ns2:paraId="5A67714F" ns2:textId="77777777">
        <w:tc>
          <w:tcPr>
            <w:tcW w:w="2654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7C650FE0" ns2:textId="156A8C0C" w:rsidR="00551257" w:rsidRPr="00636B72" w:rsidRDefault="00826AD6" w:rsidP="006901C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João Paulo </w:t>
            </w:r>
            <w:r w:rsidR="00644633">
              <w:rPr>
                <w:rFonts w:ascii="Arial" w:hAnsi="Arial" w:cs="Arial"/>
              </w:rPr>
              <w:t xml:space="preserve">de </w:t>
            </w:r>
            <w:r>
              <w:rPr>
                <w:rFonts w:ascii="Arial" w:hAnsi="Arial" w:cs="Arial"/>
              </w:rPr>
              <w:t>Freitas Ramirez</w:t>
            </w:r>
            <w:r w:rsidR="00551257" w:rsidRPr="00636B72">
              <w:rPr>
                <w:rFonts w:ascii="Arial" w:hAnsi="Arial" w:cs="Arial"/>
              </w:rPr>
              <w:t xml:space="preserve"> - 02/482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2346" w:type="pct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ns2:paraId="4C1EF345" ns2:textId="77777777" w:rsidR="00551257" w:rsidRPr="00636B72" w:rsidRDefault="00551257" w:rsidP="006901C9">
            <w:pPr>
              <w:spacing w:line="276" w:lineRule="auto"/>
              <w:rPr>
                <w:rFonts w:ascii="Arial" w:hAnsi="Arial" w:cs="Arial"/>
              </w:rPr>
            </w:pPr>
          </w:p>
        </w:tc>
      </w:tr>
    </w:tbl>
    <w:sectPr w:rsidR="00790940" w:rsidRPr="00636B72" w:rsidSect="00E0568D">
      <w:headerReference w:type="default" r:id="rId31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8211D" w14:textId="77777777" w:rsidR="004822D5" w:rsidRDefault="004822D5" w:rsidP="00E1739A">
      <w:r>
        <w:separator/>
      </w:r>
    </w:p>
  </w:endnote>
  <w:endnote w:type="continuationSeparator" w:id="0">
    <w:p w14:paraId="3475EB2F" w14:textId="77777777" w:rsidR="004822D5" w:rsidRDefault="004822D5" w:rsidP="00E1739A">
      <w:r>
        <w:continuationSeparator/>
      </w:r>
    </w:p>
  </w:endnote>
  <w:endnote w:type="continuationNotice" w:id="1">
    <w:p w14:paraId="7A504E6D" w14:textId="77777777" w:rsidR="004822D5" w:rsidRDefault="004822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B9FD3" w14:textId="77777777" w:rsidR="004822D5" w:rsidRDefault="004822D5" w:rsidP="00E1739A">
      <w:r>
        <w:separator/>
      </w:r>
    </w:p>
  </w:footnote>
  <w:footnote w:type="continuationSeparator" w:id="0">
    <w:p w14:paraId="3DE19FB1" w14:textId="77777777" w:rsidR="004822D5" w:rsidRDefault="004822D5" w:rsidP="00E1739A">
      <w:r>
        <w:continuationSeparator/>
      </w:r>
    </w:p>
  </w:footnote>
  <w:footnote w:type="continuationNotice" w:id="1">
    <w:p w14:paraId="16EFF2DF" w14:textId="77777777" w:rsidR="004822D5" w:rsidRDefault="004822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476021" w14:paraId="260A0D9D" w14:textId="77777777" w:rsidTr="00164EE8">
      <w:tc>
        <w:tcPr>
          <w:tcW w:w="1838" w:type="dxa"/>
        </w:tcPr>
        <w:p w14:paraId="4885B09B" w14:textId="42238352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771BF46" wp14:editId="0782D34F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7692314E" w14:textId="7732243A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617A7E23" w14:textId="59A4ABCC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4BD4FB4E" w14:textId="3216BC59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 w14:paraId="17267BE2" w14:textId="617A7088" w:rsidR="00D62CE9" w:rsidRPr="00F25234" w:rsidRDefault="00D62CE9" w:rsidP="00F42298"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 w:rsidRPr="00F25234">
            <w:rPr>
              <w:rFonts w:ascii="Arial" w:hAnsi="Arial" w:cs="Arial"/>
              <w:sz w:val="18"/>
              <w:szCs w:val="18"/>
            </w:rPr>
            <w:t>: 1</w:t>
          </w:r>
          <w:r w:rsidR="009E60F6">
            <w:rPr>
              <w:rFonts w:ascii="Arial" w:hAnsi="Arial" w:cs="Arial"/>
              <w:sz w:val="18"/>
              <w:szCs w:val="18"/>
            </w:rPr>
            <w:t>8</w:t>
          </w:r>
          <w:r w:rsidRPr="00F25234">
            <w:rPr>
              <w:rFonts w:ascii="Arial" w:hAnsi="Arial" w:cs="Arial"/>
              <w:sz w:val="18"/>
              <w:szCs w:val="18"/>
            </w:rPr>
            <w:t>/202</w:t>
          </w:r>
          <w:r w:rsidR="009E60F6">
            <w:rPr>
              <w:rFonts w:ascii="Arial" w:hAnsi="Arial" w:cs="Arial"/>
              <w:sz w:val="18"/>
              <w:szCs w:val="18"/>
            </w:rPr>
            <w:t>6</w:t>
          </w:r>
        </w:p>
        <w:p w14:paraId="3A6B45F9" w14:textId="6FCBAC11" w:rsidR="00D62CE9" w:rsidRPr="00F25234" w:rsidRDefault="00D62CE9" w:rsidP="00D62CE9"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 w:rsidRPr="00F25234">
            <w:rPr>
              <w:rFonts w:ascii="Arial" w:hAnsi="Arial" w:cs="Arial"/>
              <w:sz w:val="18"/>
              <w:szCs w:val="18"/>
            </w:rPr>
            <w:t xml:space="preserve">: </w:t>
          </w:r>
          <w:r w:rsidR="001A6023" w:rsidRPr="001A6023">
            <w:rPr>
              <w:rFonts w:ascii="Arial" w:hAnsi="Arial" w:cs="Arial"/>
              <w:sz w:val="18"/>
              <w:szCs w:val="18"/>
            </w:rPr>
            <w:t>AGENERSA, AGERIO, AGETRANSP, CASERJ, CEASA, CECIERJ, CEDAE, CEHAB, CENTRAL, CEPERJ, CODERTE, CODIN, CGE, DEGASE, DERRJ, DETRAN, DETRO, DPGE, DRM, EMATER, EMOP, FAETEC, FAPERJ, FCFB, FIA, FIPERJ, FLXIII, FMIS, FS, FSC, FTM, FUNARJ, GSI, IASERJ, IEEA, INEA, INEPAC, IRM, IO, IPEM, ITERJ, IVB, JUCERJA, LOTERJ, MPE, PESAGRO, PGE, PMAR, PMA, PMAB, PMAC, PMBP, PMBR, PMCF, PMCG, PMCA, PMDC, PMG, PMI, PMJ, PMM, PMM, PMM, PMM, PMN, PMNF, PMNI, PMP, PMP, PMPR, PMQ, PMQ, PMQ, PMRO, PMSJB, PMSJM, PMSPA, PMS, PMS, PMSG, PMT, PMVR, PROCON, PRODERJ, RIOTRILHOS, RJ PREV, SEAP, SEAPA, SECTI, SECEC, SECC, SECID, SEDEC, SEDCON, SEDEICS, SEDSODH, SEEDUC, SEENEMAR, SEENVS, SEELJE, SEFAZ, SEGG, SEGOV, SEHIS, SEIOP, SEPLAG, SEPOL, SEPM, SES, SETD, SETRANS, SETUR, SUDERJ, TCE, TJERJ, TURISRIO, UENF, UERJ, UEZO</w:t>
          </w:r>
          <w:r w:rsidRPr="00F25234">
            <w:rPr>
              <w:rFonts w:ascii="Arial" w:hAnsi="Arial" w:cs="Arial"/>
              <w:sz w:val="16"/>
              <w:szCs w:val="16"/>
            </w:rPr>
            <w:t>.</w:t>
          </w:r>
        </w:p>
        <w:p w14:paraId="44B9C6BD" w14:textId="61CE63E0" w:rsidR="009036F0" w:rsidRPr="003C6BC3" w:rsidRDefault="00D62CE9" w:rsidP="00D62CE9">
          <w:pPr>
            <w:pStyle w:val="Corpodetexto"/>
            <w:spacing w:after="120"/>
            <w:rPr>
              <w:rFonts w:ascii="Arial" w:hAnsi="Arial" w:cs="Arial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 w:rsidRPr="00F25234">
            <w:rPr>
              <w:rFonts w:ascii="Arial" w:hAnsi="Arial" w:cs="Arial"/>
              <w:sz w:val="18"/>
              <w:szCs w:val="18"/>
            </w:rPr>
            <w:t xml:space="preserve">: </w:t>
          </w:r>
          <w:r w:rsidR="009E6A50" w:rsidRPr="009E6A50">
            <w:rPr>
              <w:rFonts w:ascii="Arial" w:hAnsi="Arial" w:cs="Arial"/>
              <w:sz w:val="18"/>
              <w:szCs w:val="18"/>
            </w:rPr>
            <w:t>Avaliar o grau de maturidade e a conformidade das práticas de governança e gestão de Tecnologia da Informação e Comunicação (TIC) adotadas pelos jurisdicionados, identificando evoluções em relação ao ciclo de 2023 e induzindo a adoção de boas práticas internacionais</w:t>
          </w:r>
          <w:r w:rsidRPr="00F25234">
            <w:rPr>
              <w:rFonts w:ascii="Arial" w:hAnsi="Arial" w:cs="Arial"/>
              <w:sz w:val="18"/>
              <w:szCs w:val="18"/>
            </w:rPr>
            <w:t>.</w:t>
          </w:r>
        </w:p>
      </w:tc>
    </w:tr>
  </w:tbl>
  <w:p w14:paraId="3AB268CB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10951264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245D"/>
    <w:multiLevelType w:val="hybridMultilevel"/>
    <w:tmpl w:val="0EC850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F0906"/>
    <w:multiLevelType w:val="hybridMultilevel"/>
    <w:tmpl w:val="A6D83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CD1382"/>
    <w:multiLevelType w:val="hybridMultilevel"/>
    <w:tmpl w:val="221E19C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D831BD"/>
    <w:multiLevelType w:val="hybridMultilevel"/>
    <w:tmpl w:val="56B6D9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8136D"/>
    <w:multiLevelType w:val="hybridMultilevel"/>
    <w:tmpl w:val="5DE0F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BE16D3"/>
    <w:multiLevelType w:val="hybridMultilevel"/>
    <w:tmpl w:val="AAE2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8F57FC"/>
    <w:multiLevelType w:val="hybridMultilevel"/>
    <w:tmpl w:val="56B6D9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4027FB"/>
    <w:multiLevelType w:val="hybridMultilevel"/>
    <w:tmpl w:val="12E8A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F56DB6"/>
    <w:multiLevelType w:val="hybridMultilevel"/>
    <w:tmpl w:val="3BF80A9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6AC7162"/>
    <w:multiLevelType w:val="hybridMultilevel"/>
    <w:tmpl w:val="C58040D0"/>
    <w:lvl w:ilvl="0" w:tplc="B4BAB86E">
      <w:start w:val="1"/>
      <w:numFmt w:val="decimal"/>
      <w:lvlText w:val="C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E4D28B5"/>
    <w:multiLevelType w:val="hybridMultilevel"/>
    <w:tmpl w:val="C25004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85108"/>
    <w:multiLevelType w:val="hybridMultilevel"/>
    <w:tmpl w:val="BD8C2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688378">
    <w:abstractNumId w:val="1"/>
  </w:num>
  <w:num w:numId="2" w16cid:durableId="1802962893">
    <w:abstractNumId w:val="11"/>
  </w:num>
  <w:num w:numId="3" w16cid:durableId="828132850">
    <w:abstractNumId w:val="10"/>
  </w:num>
  <w:num w:numId="4" w16cid:durableId="1057122054">
    <w:abstractNumId w:val="0"/>
  </w:num>
  <w:num w:numId="5" w16cid:durableId="56782156">
    <w:abstractNumId w:val="7"/>
  </w:num>
  <w:num w:numId="6" w16cid:durableId="1705597396">
    <w:abstractNumId w:val="3"/>
  </w:num>
  <w:num w:numId="7" w16cid:durableId="462815941">
    <w:abstractNumId w:val="6"/>
  </w:num>
  <w:num w:numId="8" w16cid:durableId="1116830289">
    <w:abstractNumId w:val="5"/>
  </w:num>
  <w:num w:numId="9" w16cid:durableId="1940595995">
    <w:abstractNumId w:val="4"/>
  </w:num>
  <w:num w:numId="10" w16cid:durableId="557208518">
    <w:abstractNumId w:val="2"/>
  </w:num>
  <w:num w:numId="11" w16cid:durableId="2032679892">
    <w:abstractNumId w:val="8"/>
  </w:num>
  <w:num w:numId="12" w16cid:durableId="15579380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009"/>
    <w:rsid w:val="000009DD"/>
    <w:rsid w:val="00001C78"/>
    <w:rsid w:val="00002542"/>
    <w:rsid w:val="00002785"/>
    <w:rsid w:val="00002F98"/>
    <w:rsid w:val="00003A1C"/>
    <w:rsid w:val="00003BA1"/>
    <w:rsid w:val="00003CA5"/>
    <w:rsid w:val="0000415B"/>
    <w:rsid w:val="00005867"/>
    <w:rsid w:val="00005909"/>
    <w:rsid w:val="00005E5B"/>
    <w:rsid w:val="00005FC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3547"/>
    <w:rsid w:val="000137FD"/>
    <w:rsid w:val="00014894"/>
    <w:rsid w:val="0001504C"/>
    <w:rsid w:val="00015A9E"/>
    <w:rsid w:val="00016143"/>
    <w:rsid w:val="0001648E"/>
    <w:rsid w:val="00017401"/>
    <w:rsid w:val="0001764B"/>
    <w:rsid w:val="00020202"/>
    <w:rsid w:val="0002081B"/>
    <w:rsid w:val="000230D8"/>
    <w:rsid w:val="00023BC3"/>
    <w:rsid w:val="00024774"/>
    <w:rsid w:val="00024FD9"/>
    <w:rsid w:val="0002518A"/>
    <w:rsid w:val="0002538F"/>
    <w:rsid w:val="00025A8F"/>
    <w:rsid w:val="00025EA0"/>
    <w:rsid w:val="0002600B"/>
    <w:rsid w:val="000269EB"/>
    <w:rsid w:val="00026BC5"/>
    <w:rsid w:val="00027AB9"/>
    <w:rsid w:val="000308EA"/>
    <w:rsid w:val="000310C3"/>
    <w:rsid w:val="000315A3"/>
    <w:rsid w:val="00031B7B"/>
    <w:rsid w:val="00033072"/>
    <w:rsid w:val="000335BC"/>
    <w:rsid w:val="00033E16"/>
    <w:rsid w:val="00033FC1"/>
    <w:rsid w:val="0003409C"/>
    <w:rsid w:val="00034D38"/>
    <w:rsid w:val="00036758"/>
    <w:rsid w:val="00036A32"/>
    <w:rsid w:val="00036B64"/>
    <w:rsid w:val="00037B57"/>
    <w:rsid w:val="00037F47"/>
    <w:rsid w:val="000406B0"/>
    <w:rsid w:val="00040832"/>
    <w:rsid w:val="00040A57"/>
    <w:rsid w:val="00040F90"/>
    <w:rsid w:val="0004101E"/>
    <w:rsid w:val="0004134E"/>
    <w:rsid w:val="0004144D"/>
    <w:rsid w:val="00041D78"/>
    <w:rsid w:val="00041FBD"/>
    <w:rsid w:val="00042B16"/>
    <w:rsid w:val="000434B2"/>
    <w:rsid w:val="00043A06"/>
    <w:rsid w:val="0004477A"/>
    <w:rsid w:val="0004543E"/>
    <w:rsid w:val="00045966"/>
    <w:rsid w:val="00045D00"/>
    <w:rsid w:val="00046FF2"/>
    <w:rsid w:val="0005089E"/>
    <w:rsid w:val="00050ACE"/>
    <w:rsid w:val="00051731"/>
    <w:rsid w:val="00051DBA"/>
    <w:rsid w:val="00052375"/>
    <w:rsid w:val="0005249E"/>
    <w:rsid w:val="00052B40"/>
    <w:rsid w:val="00052B98"/>
    <w:rsid w:val="0005310A"/>
    <w:rsid w:val="000533C5"/>
    <w:rsid w:val="00053C0D"/>
    <w:rsid w:val="00056E0B"/>
    <w:rsid w:val="0005798B"/>
    <w:rsid w:val="00060D42"/>
    <w:rsid w:val="000610EF"/>
    <w:rsid w:val="0006135D"/>
    <w:rsid w:val="0006169D"/>
    <w:rsid w:val="00061BA6"/>
    <w:rsid w:val="0006306A"/>
    <w:rsid w:val="000632A7"/>
    <w:rsid w:val="00063707"/>
    <w:rsid w:val="00064637"/>
    <w:rsid w:val="000650FA"/>
    <w:rsid w:val="000651FB"/>
    <w:rsid w:val="00065428"/>
    <w:rsid w:val="00065DF2"/>
    <w:rsid w:val="00066E80"/>
    <w:rsid w:val="00067795"/>
    <w:rsid w:val="000678A3"/>
    <w:rsid w:val="00067933"/>
    <w:rsid w:val="00072225"/>
    <w:rsid w:val="0007378B"/>
    <w:rsid w:val="00073EDB"/>
    <w:rsid w:val="000743D7"/>
    <w:rsid w:val="00074E65"/>
    <w:rsid w:val="00075AE5"/>
    <w:rsid w:val="000761FF"/>
    <w:rsid w:val="00076244"/>
    <w:rsid w:val="00077113"/>
    <w:rsid w:val="0007781D"/>
    <w:rsid w:val="00077F74"/>
    <w:rsid w:val="000800E0"/>
    <w:rsid w:val="00080F6C"/>
    <w:rsid w:val="00082523"/>
    <w:rsid w:val="0008253A"/>
    <w:rsid w:val="000825D5"/>
    <w:rsid w:val="00083207"/>
    <w:rsid w:val="00083597"/>
    <w:rsid w:val="00083A63"/>
    <w:rsid w:val="00083BAE"/>
    <w:rsid w:val="00084D33"/>
    <w:rsid w:val="00085B13"/>
    <w:rsid w:val="000860A1"/>
    <w:rsid w:val="00086B7F"/>
    <w:rsid w:val="0008706D"/>
    <w:rsid w:val="000909F2"/>
    <w:rsid w:val="00091F06"/>
    <w:rsid w:val="000925E6"/>
    <w:rsid w:val="000927A3"/>
    <w:rsid w:val="00092D66"/>
    <w:rsid w:val="00094067"/>
    <w:rsid w:val="0009439B"/>
    <w:rsid w:val="00094BCE"/>
    <w:rsid w:val="00096DEF"/>
    <w:rsid w:val="00097268"/>
    <w:rsid w:val="000A0C75"/>
    <w:rsid w:val="000A10D3"/>
    <w:rsid w:val="000A1729"/>
    <w:rsid w:val="000A1792"/>
    <w:rsid w:val="000A2B23"/>
    <w:rsid w:val="000A2B4E"/>
    <w:rsid w:val="000A33AE"/>
    <w:rsid w:val="000A36B1"/>
    <w:rsid w:val="000A3C50"/>
    <w:rsid w:val="000A3F5F"/>
    <w:rsid w:val="000A588A"/>
    <w:rsid w:val="000A624A"/>
    <w:rsid w:val="000A6618"/>
    <w:rsid w:val="000A68D2"/>
    <w:rsid w:val="000B04FA"/>
    <w:rsid w:val="000B09C5"/>
    <w:rsid w:val="000B0D68"/>
    <w:rsid w:val="000B0FAE"/>
    <w:rsid w:val="000B1794"/>
    <w:rsid w:val="000B2BE1"/>
    <w:rsid w:val="000B425C"/>
    <w:rsid w:val="000B4649"/>
    <w:rsid w:val="000B4E5B"/>
    <w:rsid w:val="000B4EB7"/>
    <w:rsid w:val="000B53C5"/>
    <w:rsid w:val="000B53C8"/>
    <w:rsid w:val="000B56A3"/>
    <w:rsid w:val="000B5E73"/>
    <w:rsid w:val="000B6819"/>
    <w:rsid w:val="000B7A3F"/>
    <w:rsid w:val="000C2252"/>
    <w:rsid w:val="000C23CC"/>
    <w:rsid w:val="000C2C67"/>
    <w:rsid w:val="000C34AA"/>
    <w:rsid w:val="000C468B"/>
    <w:rsid w:val="000C675A"/>
    <w:rsid w:val="000C67D5"/>
    <w:rsid w:val="000C693D"/>
    <w:rsid w:val="000C700D"/>
    <w:rsid w:val="000C7881"/>
    <w:rsid w:val="000D0A9A"/>
    <w:rsid w:val="000D1AE6"/>
    <w:rsid w:val="000D1EA8"/>
    <w:rsid w:val="000D3D36"/>
    <w:rsid w:val="000D4C1D"/>
    <w:rsid w:val="000D5743"/>
    <w:rsid w:val="000D5EB4"/>
    <w:rsid w:val="000D6BF7"/>
    <w:rsid w:val="000D6E72"/>
    <w:rsid w:val="000E00EC"/>
    <w:rsid w:val="000E0978"/>
    <w:rsid w:val="000E0B92"/>
    <w:rsid w:val="000E0BAF"/>
    <w:rsid w:val="000E244A"/>
    <w:rsid w:val="000E2C23"/>
    <w:rsid w:val="000E2CDE"/>
    <w:rsid w:val="000E3C38"/>
    <w:rsid w:val="000E4775"/>
    <w:rsid w:val="000E516E"/>
    <w:rsid w:val="000E56CB"/>
    <w:rsid w:val="000E5E8E"/>
    <w:rsid w:val="000E6420"/>
    <w:rsid w:val="000E6A95"/>
    <w:rsid w:val="000E6E19"/>
    <w:rsid w:val="000E78D6"/>
    <w:rsid w:val="000F02D3"/>
    <w:rsid w:val="000F05D8"/>
    <w:rsid w:val="000F0DB0"/>
    <w:rsid w:val="000F0EB9"/>
    <w:rsid w:val="000F1445"/>
    <w:rsid w:val="000F2FA3"/>
    <w:rsid w:val="000F4DC8"/>
    <w:rsid w:val="000F571A"/>
    <w:rsid w:val="000F5727"/>
    <w:rsid w:val="000F6298"/>
    <w:rsid w:val="000F640C"/>
    <w:rsid w:val="000F655B"/>
    <w:rsid w:val="000F6A18"/>
    <w:rsid w:val="000F7859"/>
    <w:rsid w:val="00100C4E"/>
    <w:rsid w:val="00101170"/>
    <w:rsid w:val="0010133B"/>
    <w:rsid w:val="00101D07"/>
    <w:rsid w:val="00101E48"/>
    <w:rsid w:val="00102037"/>
    <w:rsid w:val="0010281A"/>
    <w:rsid w:val="00102A7D"/>
    <w:rsid w:val="001031D7"/>
    <w:rsid w:val="00103423"/>
    <w:rsid w:val="00104322"/>
    <w:rsid w:val="00104BD4"/>
    <w:rsid w:val="00106398"/>
    <w:rsid w:val="00106582"/>
    <w:rsid w:val="00106AF2"/>
    <w:rsid w:val="0011017D"/>
    <w:rsid w:val="00111BB7"/>
    <w:rsid w:val="00112CF1"/>
    <w:rsid w:val="00112F81"/>
    <w:rsid w:val="00113F4A"/>
    <w:rsid w:val="001146A5"/>
    <w:rsid w:val="00114C51"/>
    <w:rsid w:val="00115B90"/>
    <w:rsid w:val="001163B0"/>
    <w:rsid w:val="001165A8"/>
    <w:rsid w:val="00117235"/>
    <w:rsid w:val="001173F3"/>
    <w:rsid w:val="001176B6"/>
    <w:rsid w:val="00120BF1"/>
    <w:rsid w:val="001211CB"/>
    <w:rsid w:val="00121282"/>
    <w:rsid w:val="001212B0"/>
    <w:rsid w:val="001216C5"/>
    <w:rsid w:val="00121DC0"/>
    <w:rsid w:val="001220FE"/>
    <w:rsid w:val="00122A8D"/>
    <w:rsid w:val="00124F1F"/>
    <w:rsid w:val="00125383"/>
    <w:rsid w:val="00127435"/>
    <w:rsid w:val="00131949"/>
    <w:rsid w:val="00131A78"/>
    <w:rsid w:val="00133F35"/>
    <w:rsid w:val="00134847"/>
    <w:rsid w:val="00134ED7"/>
    <w:rsid w:val="00134F8C"/>
    <w:rsid w:val="001357E9"/>
    <w:rsid w:val="0013597B"/>
    <w:rsid w:val="00135A71"/>
    <w:rsid w:val="0013614A"/>
    <w:rsid w:val="0013624B"/>
    <w:rsid w:val="00136487"/>
    <w:rsid w:val="0013661E"/>
    <w:rsid w:val="0013674C"/>
    <w:rsid w:val="00136C81"/>
    <w:rsid w:val="00137034"/>
    <w:rsid w:val="0013738A"/>
    <w:rsid w:val="0013747F"/>
    <w:rsid w:val="0013763B"/>
    <w:rsid w:val="00137BC8"/>
    <w:rsid w:val="001420BD"/>
    <w:rsid w:val="001420EB"/>
    <w:rsid w:val="0014258E"/>
    <w:rsid w:val="00142699"/>
    <w:rsid w:val="00142BFE"/>
    <w:rsid w:val="00142C1C"/>
    <w:rsid w:val="00142F0B"/>
    <w:rsid w:val="00143A4E"/>
    <w:rsid w:val="00143D3D"/>
    <w:rsid w:val="00143E2D"/>
    <w:rsid w:val="00144523"/>
    <w:rsid w:val="001445B6"/>
    <w:rsid w:val="001475ED"/>
    <w:rsid w:val="00150F7E"/>
    <w:rsid w:val="001511CA"/>
    <w:rsid w:val="00151844"/>
    <w:rsid w:val="00151869"/>
    <w:rsid w:val="001528C5"/>
    <w:rsid w:val="00153482"/>
    <w:rsid w:val="001553E4"/>
    <w:rsid w:val="00155DA2"/>
    <w:rsid w:val="001561C7"/>
    <w:rsid w:val="001561D3"/>
    <w:rsid w:val="001563E2"/>
    <w:rsid w:val="001565D8"/>
    <w:rsid w:val="00156902"/>
    <w:rsid w:val="00156E91"/>
    <w:rsid w:val="00156EAE"/>
    <w:rsid w:val="001575CC"/>
    <w:rsid w:val="00157679"/>
    <w:rsid w:val="001576B5"/>
    <w:rsid w:val="0016094C"/>
    <w:rsid w:val="0016138E"/>
    <w:rsid w:val="0016159C"/>
    <w:rsid w:val="0016182A"/>
    <w:rsid w:val="00161C1C"/>
    <w:rsid w:val="001621FF"/>
    <w:rsid w:val="00162254"/>
    <w:rsid w:val="001622D6"/>
    <w:rsid w:val="00162570"/>
    <w:rsid w:val="001625CE"/>
    <w:rsid w:val="001626F9"/>
    <w:rsid w:val="0016297C"/>
    <w:rsid w:val="00162AFC"/>
    <w:rsid w:val="001635A6"/>
    <w:rsid w:val="00163D04"/>
    <w:rsid w:val="00163F56"/>
    <w:rsid w:val="00164D76"/>
    <w:rsid w:val="00164EE8"/>
    <w:rsid w:val="0016598F"/>
    <w:rsid w:val="00166B34"/>
    <w:rsid w:val="00166E3A"/>
    <w:rsid w:val="001674B1"/>
    <w:rsid w:val="00167600"/>
    <w:rsid w:val="00167E32"/>
    <w:rsid w:val="001701AD"/>
    <w:rsid w:val="0017090A"/>
    <w:rsid w:val="00170ABE"/>
    <w:rsid w:val="00171CAC"/>
    <w:rsid w:val="00172222"/>
    <w:rsid w:val="00172A64"/>
    <w:rsid w:val="001732EF"/>
    <w:rsid w:val="00174521"/>
    <w:rsid w:val="00174C30"/>
    <w:rsid w:val="001759AA"/>
    <w:rsid w:val="00175D60"/>
    <w:rsid w:val="00175E21"/>
    <w:rsid w:val="00176317"/>
    <w:rsid w:val="00176A1C"/>
    <w:rsid w:val="00176C58"/>
    <w:rsid w:val="00177AEA"/>
    <w:rsid w:val="00180301"/>
    <w:rsid w:val="001807F0"/>
    <w:rsid w:val="00180E5D"/>
    <w:rsid w:val="00181C6C"/>
    <w:rsid w:val="00182819"/>
    <w:rsid w:val="00183399"/>
    <w:rsid w:val="00183E8B"/>
    <w:rsid w:val="001849F1"/>
    <w:rsid w:val="001850FF"/>
    <w:rsid w:val="0018524F"/>
    <w:rsid w:val="0018759C"/>
    <w:rsid w:val="0019009C"/>
    <w:rsid w:val="00192944"/>
    <w:rsid w:val="001942E2"/>
    <w:rsid w:val="0019494C"/>
    <w:rsid w:val="00195E2F"/>
    <w:rsid w:val="00196854"/>
    <w:rsid w:val="00196C6E"/>
    <w:rsid w:val="001977AE"/>
    <w:rsid w:val="001A0165"/>
    <w:rsid w:val="001A01DB"/>
    <w:rsid w:val="001A03FD"/>
    <w:rsid w:val="001A0710"/>
    <w:rsid w:val="001A1605"/>
    <w:rsid w:val="001A1AE1"/>
    <w:rsid w:val="001A1F10"/>
    <w:rsid w:val="001A3226"/>
    <w:rsid w:val="001A326F"/>
    <w:rsid w:val="001A3AB2"/>
    <w:rsid w:val="001A4005"/>
    <w:rsid w:val="001A4460"/>
    <w:rsid w:val="001A455A"/>
    <w:rsid w:val="001A46E3"/>
    <w:rsid w:val="001A55A7"/>
    <w:rsid w:val="001A6023"/>
    <w:rsid w:val="001A625B"/>
    <w:rsid w:val="001A6A14"/>
    <w:rsid w:val="001A7283"/>
    <w:rsid w:val="001A774B"/>
    <w:rsid w:val="001B11B6"/>
    <w:rsid w:val="001B2611"/>
    <w:rsid w:val="001B278B"/>
    <w:rsid w:val="001B394D"/>
    <w:rsid w:val="001B4AFF"/>
    <w:rsid w:val="001B5647"/>
    <w:rsid w:val="001B5FA7"/>
    <w:rsid w:val="001B64B7"/>
    <w:rsid w:val="001B708D"/>
    <w:rsid w:val="001B7815"/>
    <w:rsid w:val="001C0BE2"/>
    <w:rsid w:val="001C2188"/>
    <w:rsid w:val="001C3D2E"/>
    <w:rsid w:val="001C44A7"/>
    <w:rsid w:val="001C479D"/>
    <w:rsid w:val="001C5465"/>
    <w:rsid w:val="001C5D6C"/>
    <w:rsid w:val="001C6048"/>
    <w:rsid w:val="001C6A96"/>
    <w:rsid w:val="001C6EE3"/>
    <w:rsid w:val="001C7CA6"/>
    <w:rsid w:val="001D04D4"/>
    <w:rsid w:val="001D05C9"/>
    <w:rsid w:val="001D1121"/>
    <w:rsid w:val="001D13CF"/>
    <w:rsid w:val="001D192B"/>
    <w:rsid w:val="001D3404"/>
    <w:rsid w:val="001D3C2C"/>
    <w:rsid w:val="001D4F02"/>
    <w:rsid w:val="001D563D"/>
    <w:rsid w:val="001D5FAF"/>
    <w:rsid w:val="001D5FF9"/>
    <w:rsid w:val="001D626D"/>
    <w:rsid w:val="001D72D8"/>
    <w:rsid w:val="001D7766"/>
    <w:rsid w:val="001E1235"/>
    <w:rsid w:val="001E12A0"/>
    <w:rsid w:val="001E1439"/>
    <w:rsid w:val="001E18A1"/>
    <w:rsid w:val="001E1D25"/>
    <w:rsid w:val="001E21A3"/>
    <w:rsid w:val="001E3B81"/>
    <w:rsid w:val="001E3E00"/>
    <w:rsid w:val="001E4471"/>
    <w:rsid w:val="001E4AED"/>
    <w:rsid w:val="001E4CDB"/>
    <w:rsid w:val="001E4ED5"/>
    <w:rsid w:val="001E5349"/>
    <w:rsid w:val="001E5C16"/>
    <w:rsid w:val="001E5D3D"/>
    <w:rsid w:val="001E62C9"/>
    <w:rsid w:val="001E6730"/>
    <w:rsid w:val="001F176A"/>
    <w:rsid w:val="001F1FCB"/>
    <w:rsid w:val="001F2A34"/>
    <w:rsid w:val="001F34E0"/>
    <w:rsid w:val="001F36B7"/>
    <w:rsid w:val="001F3D8D"/>
    <w:rsid w:val="001F416B"/>
    <w:rsid w:val="001F4775"/>
    <w:rsid w:val="001F48CD"/>
    <w:rsid w:val="001F4ACB"/>
    <w:rsid w:val="001F4F44"/>
    <w:rsid w:val="001F57E4"/>
    <w:rsid w:val="001F6928"/>
    <w:rsid w:val="001F6F68"/>
    <w:rsid w:val="001F7BE1"/>
    <w:rsid w:val="001F7D57"/>
    <w:rsid w:val="001F7EEF"/>
    <w:rsid w:val="002001BE"/>
    <w:rsid w:val="002010F3"/>
    <w:rsid w:val="00201C29"/>
    <w:rsid w:val="002034F6"/>
    <w:rsid w:val="00203E1C"/>
    <w:rsid w:val="002040D8"/>
    <w:rsid w:val="00205054"/>
    <w:rsid w:val="002050B7"/>
    <w:rsid w:val="00206019"/>
    <w:rsid w:val="00206375"/>
    <w:rsid w:val="00206AB0"/>
    <w:rsid w:val="00206BF5"/>
    <w:rsid w:val="00207B4E"/>
    <w:rsid w:val="00207D41"/>
    <w:rsid w:val="00210224"/>
    <w:rsid w:val="0021056F"/>
    <w:rsid w:val="00210879"/>
    <w:rsid w:val="00211D87"/>
    <w:rsid w:val="0021252A"/>
    <w:rsid w:val="00212646"/>
    <w:rsid w:val="002128C4"/>
    <w:rsid w:val="00212F12"/>
    <w:rsid w:val="00213FDF"/>
    <w:rsid w:val="0021404E"/>
    <w:rsid w:val="002149A8"/>
    <w:rsid w:val="00214F60"/>
    <w:rsid w:val="00215616"/>
    <w:rsid w:val="002157F1"/>
    <w:rsid w:val="002161FB"/>
    <w:rsid w:val="00216486"/>
    <w:rsid w:val="00216DBF"/>
    <w:rsid w:val="002171FD"/>
    <w:rsid w:val="002173BC"/>
    <w:rsid w:val="00217786"/>
    <w:rsid w:val="002208B4"/>
    <w:rsid w:val="002213DC"/>
    <w:rsid w:val="00221712"/>
    <w:rsid w:val="0022189F"/>
    <w:rsid w:val="002226E0"/>
    <w:rsid w:val="00222A23"/>
    <w:rsid w:val="00223588"/>
    <w:rsid w:val="00223A26"/>
    <w:rsid w:val="00224452"/>
    <w:rsid w:val="0022448A"/>
    <w:rsid w:val="00224BCD"/>
    <w:rsid w:val="00225A39"/>
    <w:rsid w:val="00225E91"/>
    <w:rsid w:val="00225F42"/>
    <w:rsid w:val="002263AE"/>
    <w:rsid w:val="0022667F"/>
    <w:rsid w:val="00227138"/>
    <w:rsid w:val="00227281"/>
    <w:rsid w:val="002279FA"/>
    <w:rsid w:val="0023131C"/>
    <w:rsid w:val="00231765"/>
    <w:rsid w:val="00231B6E"/>
    <w:rsid w:val="002326E8"/>
    <w:rsid w:val="00232CB5"/>
    <w:rsid w:val="00232F3C"/>
    <w:rsid w:val="0023302B"/>
    <w:rsid w:val="00233BDE"/>
    <w:rsid w:val="00234BA8"/>
    <w:rsid w:val="00234C98"/>
    <w:rsid w:val="00234ED1"/>
    <w:rsid w:val="00235C0D"/>
    <w:rsid w:val="00235E74"/>
    <w:rsid w:val="0023611D"/>
    <w:rsid w:val="002367C4"/>
    <w:rsid w:val="0023681C"/>
    <w:rsid w:val="00236A6B"/>
    <w:rsid w:val="00237931"/>
    <w:rsid w:val="00240072"/>
    <w:rsid w:val="00240187"/>
    <w:rsid w:val="002407D6"/>
    <w:rsid w:val="002413F3"/>
    <w:rsid w:val="002416DC"/>
    <w:rsid w:val="00241D31"/>
    <w:rsid w:val="0024509F"/>
    <w:rsid w:val="00245F05"/>
    <w:rsid w:val="0024623A"/>
    <w:rsid w:val="00247180"/>
    <w:rsid w:val="00247328"/>
    <w:rsid w:val="002479BD"/>
    <w:rsid w:val="002501BB"/>
    <w:rsid w:val="00250870"/>
    <w:rsid w:val="00251589"/>
    <w:rsid w:val="00251CDE"/>
    <w:rsid w:val="0025207F"/>
    <w:rsid w:val="002524C1"/>
    <w:rsid w:val="00253846"/>
    <w:rsid w:val="00253852"/>
    <w:rsid w:val="00253B1A"/>
    <w:rsid w:val="00255108"/>
    <w:rsid w:val="002555FA"/>
    <w:rsid w:val="002556F1"/>
    <w:rsid w:val="00256870"/>
    <w:rsid w:val="00257FCB"/>
    <w:rsid w:val="00260B3F"/>
    <w:rsid w:val="00260D29"/>
    <w:rsid w:val="00260EB1"/>
    <w:rsid w:val="00261067"/>
    <w:rsid w:val="00262247"/>
    <w:rsid w:val="002632D8"/>
    <w:rsid w:val="00263BED"/>
    <w:rsid w:val="00264E3C"/>
    <w:rsid w:val="00264F68"/>
    <w:rsid w:val="002651E2"/>
    <w:rsid w:val="00265AE8"/>
    <w:rsid w:val="00265DCC"/>
    <w:rsid w:val="00266EBB"/>
    <w:rsid w:val="002678ED"/>
    <w:rsid w:val="00267929"/>
    <w:rsid w:val="00270853"/>
    <w:rsid w:val="00270959"/>
    <w:rsid w:val="00271030"/>
    <w:rsid w:val="002711B2"/>
    <w:rsid w:val="00271BF4"/>
    <w:rsid w:val="00274354"/>
    <w:rsid w:val="00275411"/>
    <w:rsid w:val="0027604E"/>
    <w:rsid w:val="002767D6"/>
    <w:rsid w:val="002769AE"/>
    <w:rsid w:val="00276C12"/>
    <w:rsid w:val="00280562"/>
    <w:rsid w:val="0028140B"/>
    <w:rsid w:val="00281E49"/>
    <w:rsid w:val="00282E61"/>
    <w:rsid w:val="00283756"/>
    <w:rsid w:val="0028474B"/>
    <w:rsid w:val="002848DB"/>
    <w:rsid w:val="00284F7A"/>
    <w:rsid w:val="00285269"/>
    <w:rsid w:val="002856BD"/>
    <w:rsid w:val="002859B7"/>
    <w:rsid w:val="00285C64"/>
    <w:rsid w:val="002873EC"/>
    <w:rsid w:val="0029007A"/>
    <w:rsid w:val="0029069F"/>
    <w:rsid w:val="002908C4"/>
    <w:rsid w:val="00290EEC"/>
    <w:rsid w:val="0029158E"/>
    <w:rsid w:val="0029171D"/>
    <w:rsid w:val="00291B6A"/>
    <w:rsid w:val="00291B90"/>
    <w:rsid w:val="0029632E"/>
    <w:rsid w:val="002968E0"/>
    <w:rsid w:val="00297488"/>
    <w:rsid w:val="00297679"/>
    <w:rsid w:val="002A06A2"/>
    <w:rsid w:val="002A1097"/>
    <w:rsid w:val="002A13D1"/>
    <w:rsid w:val="002A27E0"/>
    <w:rsid w:val="002A2E6A"/>
    <w:rsid w:val="002A3E12"/>
    <w:rsid w:val="002A462E"/>
    <w:rsid w:val="002A4B4D"/>
    <w:rsid w:val="002A5258"/>
    <w:rsid w:val="002A5B44"/>
    <w:rsid w:val="002A5F22"/>
    <w:rsid w:val="002A661D"/>
    <w:rsid w:val="002A76C6"/>
    <w:rsid w:val="002A7720"/>
    <w:rsid w:val="002A7D23"/>
    <w:rsid w:val="002B035D"/>
    <w:rsid w:val="002B0CF6"/>
    <w:rsid w:val="002B16FD"/>
    <w:rsid w:val="002B3A1C"/>
    <w:rsid w:val="002B3C7B"/>
    <w:rsid w:val="002B4062"/>
    <w:rsid w:val="002B437E"/>
    <w:rsid w:val="002B4825"/>
    <w:rsid w:val="002B4B69"/>
    <w:rsid w:val="002B5095"/>
    <w:rsid w:val="002B53AC"/>
    <w:rsid w:val="002B6D2B"/>
    <w:rsid w:val="002B7421"/>
    <w:rsid w:val="002B7A0D"/>
    <w:rsid w:val="002B7B83"/>
    <w:rsid w:val="002C03BB"/>
    <w:rsid w:val="002C094B"/>
    <w:rsid w:val="002C1B8A"/>
    <w:rsid w:val="002C29BB"/>
    <w:rsid w:val="002C2D8F"/>
    <w:rsid w:val="002C34E3"/>
    <w:rsid w:val="002C5F4D"/>
    <w:rsid w:val="002C6CE1"/>
    <w:rsid w:val="002C6D06"/>
    <w:rsid w:val="002C6FC8"/>
    <w:rsid w:val="002D0267"/>
    <w:rsid w:val="002D06BA"/>
    <w:rsid w:val="002D123E"/>
    <w:rsid w:val="002D27F3"/>
    <w:rsid w:val="002D2960"/>
    <w:rsid w:val="002D2F01"/>
    <w:rsid w:val="002D2F16"/>
    <w:rsid w:val="002D30A8"/>
    <w:rsid w:val="002D4556"/>
    <w:rsid w:val="002D499A"/>
    <w:rsid w:val="002D4AA1"/>
    <w:rsid w:val="002D563A"/>
    <w:rsid w:val="002D5BF8"/>
    <w:rsid w:val="002E11CF"/>
    <w:rsid w:val="002E3C59"/>
    <w:rsid w:val="002E42CD"/>
    <w:rsid w:val="002E45FA"/>
    <w:rsid w:val="002E532D"/>
    <w:rsid w:val="002E65C2"/>
    <w:rsid w:val="002E6DF7"/>
    <w:rsid w:val="002E6EC7"/>
    <w:rsid w:val="002E77D2"/>
    <w:rsid w:val="002E7D62"/>
    <w:rsid w:val="002F1127"/>
    <w:rsid w:val="002F2761"/>
    <w:rsid w:val="002F32CB"/>
    <w:rsid w:val="002F347D"/>
    <w:rsid w:val="002F4656"/>
    <w:rsid w:val="002F492B"/>
    <w:rsid w:val="002F4AEB"/>
    <w:rsid w:val="002F51E8"/>
    <w:rsid w:val="002F5F7D"/>
    <w:rsid w:val="002F79B9"/>
    <w:rsid w:val="003017D2"/>
    <w:rsid w:val="00301C30"/>
    <w:rsid w:val="00301E49"/>
    <w:rsid w:val="003024B6"/>
    <w:rsid w:val="00302EA7"/>
    <w:rsid w:val="003030EB"/>
    <w:rsid w:val="0030359C"/>
    <w:rsid w:val="00304C98"/>
    <w:rsid w:val="00304D39"/>
    <w:rsid w:val="00305E56"/>
    <w:rsid w:val="003071F7"/>
    <w:rsid w:val="00307301"/>
    <w:rsid w:val="0031007B"/>
    <w:rsid w:val="003102DF"/>
    <w:rsid w:val="003110CF"/>
    <w:rsid w:val="003113C9"/>
    <w:rsid w:val="00312484"/>
    <w:rsid w:val="00312747"/>
    <w:rsid w:val="00313363"/>
    <w:rsid w:val="003134B5"/>
    <w:rsid w:val="00313F72"/>
    <w:rsid w:val="00314561"/>
    <w:rsid w:val="00314D29"/>
    <w:rsid w:val="00315A50"/>
    <w:rsid w:val="00315B8B"/>
    <w:rsid w:val="00315BFB"/>
    <w:rsid w:val="00316A0B"/>
    <w:rsid w:val="00316DE4"/>
    <w:rsid w:val="00317DDD"/>
    <w:rsid w:val="00320763"/>
    <w:rsid w:val="00320B1D"/>
    <w:rsid w:val="00320C39"/>
    <w:rsid w:val="00322E66"/>
    <w:rsid w:val="00323D33"/>
    <w:rsid w:val="00324056"/>
    <w:rsid w:val="0033065E"/>
    <w:rsid w:val="00330BF1"/>
    <w:rsid w:val="003312A3"/>
    <w:rsid w:val="00334BD3"/>
    <w:rsid w:val="003351F8"/>
    <w:rsid w:val="0033660C"/>
    <w:rsid w:val="00336E19"/>
    <w:rsid w:val="00337970"/>
    <w:rsid w:val="00337DA1"/>
    <w:rsid w:val="00337F4F"/>
    <w:rsid w:val="003404C4"/>
    <w:rsid w:val="0034065E"/>
    <w:rsid w:val="00340905"/>
    <w:rsid w:val="00340D59"/>
    <w:rsid w:val="00341FBC"/>
    <w:rsid w:val="00342C44"/>
    <w:rsid w:val="003438A9"/>
    <w:rsid w:val="00343C7C"/>
    <w:rsid w:val="003464D8"/>
    <w:rsid w:val="003465B9"/>
    <w:rsid w:val="00347391"/>
    <w:rsid w:val="00350919"/>
    <w:rsid w:val="00351812"/>
    <w:rsid w:val="00354088"/>
    <w:rsid w:val="0035475D"/>
    <w:rsid w:val="00354DC7"/>
    <w:rsid w:val="00356CC1"/>
    <w:rsid w:val="00357ACF"/>
    <w:rsid w:val="003603A3"/>
    <w:rsid w:val="00360DE5"/>
    <w:rsid w:val="00361526"/>
    <w:rsid w:val="003615A6"/>
    <w:rsid w:val="003617E1"/>
    <w:rsid w:val="003619F1"/>
    <w:rsid w:val="00361C47"/>
    <w:rsid w:val="00363A1D"/>
    <w:rsid w:val="00363B9B"/>
    <w:rsid w:val="00364A90"/>
    <w:rsid w:val="00364FBD"/>
    <w:rsid w:val="0036526C"/>
    <w:rsid w:val="00365C01"/>
    <w:rsid w:val="00366CDE"/>
    <w:rsid w:val="003670B0"/>
    <w:rsid w:val="003674B6"/>
    <w:rsid w:val="003712C6"/>
    <w:rsid w:val="003713A9"/>
    <w:rsid w:val="0037158A"/>
    <w:rsid w:val="00371874"/>
    <w:rsid w:val="003723D6"/>
    <w:rsid w:val="00372DB7"/>
    <w:rsid w:val="00372E24"/>
    <w:rsid w:val="00374555"/>
    <w:rsid w:val="00375030"/>
    <w:rsid w:val="0037695D"/>
    <w:rsid w:val="00376F51"/>
    <w:rsid w:val="00377F58"/>
    <w:rsid w:val="00380403"/>
    <w:rsid w:val="003812FB"/>
    <w:rsid w:val="00381761"/>
    <w:rsid w:val="003821F6"/>
    <w:rsid w:val="003829FF"/>
    <w:rsid w:val="00382E97"/>
    <w:rsid w:val="00382F53"/>
    <w:rsid w:val="0038342B"/>
    <w:rsid w:val="003838D9"/>
    <w:rsid w:val="003842EB"/>
    <w:rsid w:val="00384D42"/>
    <w:rsid w:val="00384FCA"/>
    <w:rsid w:val="003857F8"/>
    <w:rsid w:val="0038604D"/>
    <w:rsid w:val="0038623D"/>
    <w:rsid w:val="0038628C"/>
    <w:rsid w:val="00387240"/>
    <w:rsid w:val="00387714"/>
    <w:rsid w:val="00390F26"/>
    <w:rsid w:val="00391876"/>
    <w:rsid w:val="00392878"/>
    <w:rsid w:val="003932E0"/>
    <w:rsid w:val="00395F63"/>
    <w:rsid w:val="003961EF"/>
    <w:rsid w:val="003A0CBF"/>
    <w:rsid w:val="003A179B"/>
    <w:rsid w:val="003A2209"/>
    <w:rsid w:val="003A2469"/>
    <w:rsid w:val="003A27EB"/>
    <w:rsid w:val="003A3269"/>
    <w:rsid w:val="003A3F71"/>
    <w:rsid w:val="003A4550"/>
    <w:rsid w:val="003A48B1"/>
    <w:rsid w:val="003A48C8"/>
    <w:rsid w:val="003A5117"/>
    <w:rsid w:val="003A5EF9"/>
    <w:rsid w:val="003A6468"/>
    <w:rsid w:val="003A6DE8"/>
    <w:rsid w:val="003A7657"/>
    <w:rsid w:val="003A7C6F"/>
    <w:rsid w:val="003B0BD4"/>
    <w:rsid w:val="003B0E20"/>
    <w:rsid w:val="003B18AC"/>
    <w:rsid w:val="003B1DB4"/>
    <w:rsid w:val="003B2240"/>
    <w:rsid w:val="003B3180"/>
    <w:rsid w:val="003B3773"/>
    <w:rsid w:val="003B3A57"/>
    <w:rsid w:val="003B3C4B"/>
    <w:rsid w:val="003B4675"/>
    <w:rsid w:val="003B46F5"/>
    <w:rsid w:val="003B55AA"/>
    <w:rsid w:val="003B74BA"/>
    <w:rsid w:val="003C1248"/>
    <w:rsid w:val="003C1389"/>
    <w:rsid w:val="003C1AE2"/>
    <w:rsid w:val="003C33A9"/>
    <w:rsid w:val="003C3F9D"/>
    <w:rsid w:val="003C470E"/>
    <w:rsid w:val="003C4F68"/>
    <w:rsid w:val="003C57FE"/>
    <w:rsid w:val="003C6BC3"/>
    <w:rsid w:val="003C7275"/>
    <w:rsid w:val="003C7BDB"/>
    <w:rsid w:val="003D0FF4"/>
    <w:rsid w:val="003D146B"/>
    <w:rsid w:val="003D1559"/>
    <w:rsid w:val="003D2A4C"/>
    <w:rsid w:val="003D41FA"/>
    <w:rsid w:val="003D4905"/>
    <w:rsid w:val="003D4DA0"/>
    <w:rsid w:val="003D4E1F"/>
    <w:rsid w:val="003D4E4E"/>
    <w:rsid w:val="003D5044"/>
    <w:rsid w:val="003D57B8"/>
    <w:rsid w:val="003D5B89"/>
    <w:rsid w:val="003D5F48"/>
    <w:rsid w:val="003D676D"/>
    <w:rsid w:val="003D68CD"/>
    <w:rsid w:val="003D6FB4"/>
    <w:rsid w:val="003D7D8C"/>
    <w:rsid w:val="003E0131"/>
    <w:rsid w:val="003E015E"/>
    <w:rsid w:val="003E02FC"/>
    <w:rsid w:val="003E03C0"/>
    <w:rsid w:val="003E0A16"/>
    <w:rsid w:val="003E1705"/>
    <w:rsid w:val="003E207C"/>
    <w:rsid w:val="003E2666"/>
    <w:rsid w:val="003E2D3B"/>
    <w:rsid w:val="003E5CB3"/>
    <w:rsid w:val="003E6178"/>
    <w:rsid w:val="003E7AD9"/>
    <w:rsid w:val="003F0CC6"/>
    <w:rsid w:val="003F14E1"/>
    <w:rsid w:val="003F16B0"/>
    <w:rsid w:val="003F1DA9"/>
    <w:rsid w:val="003F1FF2"/>
    <w:rsid w:val="003F3462"/>
    <w:rsid w:val="003F49B0"/>
    <w:rsid w:val="003F5088"/>
    <w:rsid w:val="003F5989"/>
    <w:rsid w:val="003F689E"/>
    <w:rsid w:val="003F715A"/>
    <w:rsid w:val="003F736A"/>
    <w:rsid w:val="003F7381"/>
    <w:rsid w:val="003F77BD"/>
    <w:rsid w:val="003F7B47"/>
    <w:rsid w:val="004002FB"/>
    <w:rsid w:val="00400719"/>
    <w:rsid w:val="004008E7"/>
    <w:rsid w:val="00400AD1"/>
    <w:rsid w:val="00401030"/>
    <w:rsid w:val="00401BE3"/>
    <w:rsid w:val="0040216D"/>
    <w:rsid w:val="00402E87"/>
    <w:rsid w:val="00403EE9"/>
    <w:rsid w:val="00403F53"/>
    <w:rsid w:val="00404B63"/>
    <w:rsid w:val="004070DC"/>
    <w:rsid w:val="00410799"/>
    <w:rsid w:val="00410FA6"/>
    <w:rsid w:val="00411998"/>
    <w:rsid w:val="00411C7F"/>
    <w:rsid w:val="0041253F"/>
    <w:rsid w:val="0041306D"/>
    <w:rsid w:val="0041338E"/>
    <w:rsid w:val="00413EC5"/>
    <w:rsid w:val="00415C56"/>
    <w:rsid w:val="00420624"/>
    <w:rsid w:val="00423018"/>
    <w:rsid w:val="00423A78"/>
    <w:rsid w:val="004251BB"/>
    <w:rsid w:val="004271AA"/>
    <w:rsid w:val="00427563"/>
    <w:rsid w:val="004278CA"/>
    <w:rsid w:val="004302A5"/>
    <w:rsid w:val="004305E0"/>
    <w:rsid w:val="004306DD"/>
    <w:rsid w:val="004318A1"/>
    <w:rsid w:val="00431900"/>
    <w:rsid w:val="00432F6B"/>
    <w:rsid w:val="004337D9"/>
    <w:rsid w:val="0043493F"/>
    <w:rsid w:val="004350CF"/>
    <w:rsid w:val="00435F4A"/>
    <w:rsid w:val="00436BCB"/>
    <w:rsid w:val="00437BB9"/>
    <w:rsid w:val="004401CE"/>
    <w:rsid w:val="004405F2"/>
    <w:rsid w:val="00440AC0"/>
    <w:rsid w:val="00441FAA"/>
    <w:rsid w:val="00443399"/>
    <w:rsid w:val="0044392B"/>
    <w:rsid w:val="004444D9"/>
    <w:rsid w:val="00445801"/>
    <w:rsid w:val="00445EF3"/>
    <w:rsid w:val="0044675A"/>
    <w:rsid w:val="00446DBA"/>
    <w:rsid w:val="004476B8"/>
    <w:rsid w:val="00450115"/>
    <w:rsid w:val="00450354"/>
    <w:rsid w:val="00450E71"/>
    <w:rsid w:val="004519AD"/>
    <w:rsid w:val="00452F5B"/>
    <w:rsid w:val="00455B60"/>
    <w:rsid w:val="00456547"/>
    <w:rsid w:val="0045662C"/>
    <w:rsid w:val="00456705"/>
    <w:rsid w:val="00456C60"/>
    <w:rsid w:val="0045780C"/>
    <w:rsid w:val="00457B68"/>
    <w:rsid w:val="0046023F"/>
    <w:rsid w:val="00460472"/>
    <w:rsid w:val="00460D2C"/>
    <w:rsid w:val="00460D39"/>
    <w:rsid w:val="004632E1"/>
    <w:rsid w:val="00463A33"/>
    <w:rsid w:val="00463CFC"/>
    <w:rsid w:val="0046406E"/>
    <w:rsid w:val="004643AC"/>
    <w:rsid w:val="004652E6"/>
    <w:rsid w:val="00465DE3"/>
    <w:rsid w:val="0046739D"/>
    <w:rsid w:val="00467B3A"/>
    <w:rsid w:val="004703FB"/>
    <w:rsid w:val="004704AA"/>
    <w:rsid w:val="00470CFB"/>
    <w:rsid w:val="004718A5"/>
    <w:rsid w:val="00473049"/>
    <w:rsid w:val="00473D69"/>
    <w:rsid w:val="00474AFC"/>
    <w:rsid w:val="00474D3F"/>
    <w:rsid w:val="00475072"/>
    <w:rsid w:val="00475365"/>
    <w:rsid w:val="00475AF8"/>
    <w:rsid w:val="0047601C"/>
    <w:rsid w:val="00476021"/>
    <w:rsid w:val="004761D7"/>
    <w:rsid w:val="00476A67"/>
    <w:rsid w:val="00476CE6"/>
    <w:rsid w:val="00477926"/>
    <w:rsid w:val="0048046B"/>
    <w:rsid w:val="00480477"/>
    <w:rsid w:val="0048051F"/>
    <w:rsid w:val="00480D11"/>
    <w:rsid w:val="00480E6C"/>
    <w:rsid w:val="00481433"/>
    <w:rsid w:val="00481D76"/>
    <w:rsid w:val="00481E55"/>
    <w:rsid w:val="00481FC7"/>
    <w:rsid w:val="004822D5"/>
    <w:rsid w:val="00482685"/>
    <w:rsid w:val="00482DEB"/>
    <w:rsid w:val="004830F1"/>
    <w:rsid w:val="00485CCC"/>
    <w:rsid w:val="00485D1A"/>
    <w:rsid w:val="00486378"/>
    <w:rsid w:val="004863D4"/>
    <w:rsid w:val="00486B13"/>
    <w:rsid w:val="0048774E"/>
    <w:rsid w:val="0049059C"/>
    <w:rsid w:val="0049103A"/>
    <w:rsid w:val="00491094"/>
    <w:rsid w:val="00491C75"/>
    <w:rsid w:val="00491E28"/>
    <w:rsid w:val="00492670"/>
    <w:rsid w:val="004927B7"/>
    <w:rsid w:val="00492B1F"/>
    <w:rsid w:val="00492BDB"/>
    <w:rsid w:val="004934F1"/>
    <w:rsid w:val="00494412"/>
    <w:rsid w:val="004944F8"/>
    <w:rsid w:val="0049456F"/>
    <w:rsid w:val="00494866"/>
    <w:rsid w:val="00494A92"/>
    <w:rsid w:val="0049556B"/>
    <w:rsid w:val="0049625B"/>
    <w:rsid w:val="004966FA"/>
    <w:rsid w:val="00497269"/>
    <w:rsid w:val="004975F7"/>
    <w:rsid w:val="00497B80"/>
    <w:rsid w:val="004A0184"/>
    <w:rsid w:val="004A0350"/>
    <w:rsid w:val="004A0BB9"/>
    <w:rsid w:val="004A0E26"/>
    <w:rsid w:val="004A12F7"/>
    <w:rsid w:val="004A1671"/>
    <w:rsid w:val="004A31A4"/>
    <w:rsid w:val="004A33C4"/>
    <w:rsid w:val="004A3562"/>
    <w:rsid w:val="004A3BB2"/>
    <w:rsid w:val="004A3CB8"/>
    <w:rsid w:val="004A440C"/>
    <w:rsid w:val="004A44F7"/>
    <w:rsid w:val="004A477B"/>
    <w:rsid w:val="004A4919"/>
    <w:rsid w:val="004A6075"/>
    <w:rsid w:val="004A61A8"/>
    <w:rsid w:val="004A7020"/>
    <w:rsid w:val="004A706B"/>
    <w:rsid w:val="004A752B"/>
    <w:rsid w:val="004B0235"/>
    <w:rsid w:val="004B050C"/>
    <w:rsid w:val="004B0F56"/>
    <w:rsid w:val="004B39D6"/>
    <w:rsid w:val="004B3E86"/>
    <w:rsid w:val="004B56C9"/>
    <w:rsid w:val="004B5927"/>
    <w:rsid w:val="004B5C3C"/>
    <w:rsid w:val="004B6562"/>
    <w:rsid w:val="004B67C3"/>
    <w:rsid w:val="004B67D0"/>
    <w:rsid w:val="004B78A0"/>
    <w:rsid w:val="004C05FA"/>
    <w:rsid w:val="004C0E49"/>
    <w:rsid w:val="004C0F26"/>
    <w:rsid w:val="004C163F"/>
    <w:rsid w:val="004C20CB"/>
    <w:rsid w:val="004C22EB"/>
    <w:rsid w:val="004C27AA"/>
    <w:rsid w:val="004C2DF2"/>
    <w:rsid w:val="004C3058"/>
    <w:rsid w:val="004C377D"/>
    <w:rsid w:val="004C5F7A"/>
    <w:rsid w:val="004C6EE6"/>
    <w:rsid w:val="004C7AA8"/>
    <w:rsid w:val="004D0206"/>
    <w:rsid w:val="004D09BA"/>
    <w:rsid w:val="004D1018"/>
    <w:rsid w:val="004D2856"/>
    <w:rsid w:val="004D3C4B"/>
    <w:rsid w:val="004D3EA5"/>
    <w:rsid w:val="004D418D"/>
    <w:rsid w:val="004D7B71"/>
    <w:rsid w:val="004E053E"/>
    <w:rsid w:val="004E17BC"/>
    <w:rsid w:val="004E1A2C"/>
    <w:rsid w:val="004E1DD9"/>
    <w:rsid w:val="004E2406"/>
    <w:rsid w:val="004E2E09"/>
    <w:rsid w:val="004E342B"/>
    <w:rsid w:val="004E5E42"/>
    <w:rsid w:val="004E60B7"/>
    <w:rsid w:val="004E6258"/>
    <w:rsid w:val="004F0649"/>
    <w:rsid w:val="004F1658"/>
    <w:rsid w:val="004F166D"/>
    <w:rsid w:val="004F1EE7"/>
    <w:rsid w:val="004F2064"/>
    <w:rsid w:val="004F267D"/>
    <w:rsid w:val="004F2C0B"/>
    <w:rsid w:val="004F37C8"/>
    <w:rsid w:val="004F47AA"/>
    <w:rsid w:val="004F535A"/>
    <w:rsid w:val="004F5459"/>
    <w:rsid w:val="004F5C61"/>
    <w:rsid w:val="004F65D9"/>
    <w:rsid w:val="004F6749"/>
    <w:rsid w:val="00500B17"/>
    <w:rsid w:val="00501070"/>
    <w:rsid w:val="005011D4"/>
    <w:rsid w:val="005015D7"/>
    <w:rsid w:val="0050186D"/>
    <w:rsid w:val="00501ACA"/>
    <w:rsid w:val="00501B57"/>
    <w:rsid w:val="00501C96"/>
    <w:rsid w:val="00502542"/>
    <w:rsid w:val="005026B4"/>
    <w:rsid w:val="00502A0D"/>
    <w:rsid w:val="00502B81"/>
    <w:rsid w:val="00503493"/>
    <w:rsid w:val="00503CB6"/>
    <w:rsid w:val="005045FE"/>
    <w:rsid w:val="00507046"/>
    <w:rsid w:val="005071A4"/>
    <w:rsid w:val="00507490"/>
    <w:rsid w:val="00507700"/>
    <w:rsid w:val="00510A37"/>
    <w:rsid w:val="00510AF5"/>
    <w:rsid w:val="00511044"/>
    <w:rsid w:val="0051164A"/>
    <w:rsid w:val="00511EB1"/>
    <w:rsid w:val="00512AFC"/>
    <w:rsid w:val="00512BA3"/>
    <w:rsid w:val="00513B9B"/>
    <w:rsid w:val="00513CCD"/>
    <w:rsid w:val="00514CC9"/>
    <w:rsid w:val="00515198"/>
    <w:rsid w:val="00515389"/>
    <w:rsid w:val="00516DED"/>
    <w:rsid w:val="00517B1A"/>
    <w:rsid w:val="0052032E"/>
    <w:rsid w:val="00520983"/>
    <w:rsid w:val="005209D9"/>
    <w:rsid w:val="00522712"/>
    <w:rsid w:val="00522E98"/>
    <w:rsid w:val="00523694"/>
    <w:rsid w:val="00523E23"/>
    <w:rsid w:val="00524187"/>
    <w:rsid w:val="005242FC"/>
    <w:rsid w:val="0052473E"/>
    <w:rsid w:val="0052686C"/>
    <w:rsid w:val="005271CB"/>
    <w:rsid w:val="005277C5"/>
    <w:rsid w:val="005277DF"/>
    <w:rsid w:val="0053087B"/>
    <w:rsid w:val="00530CF5"/>
    <w:rsid w:val="005312A3"/>
    <w:rsid w:val="0053146F"/>
    <w:rsid w:val="00532625"/>
    <w:rsid w:val="0053266E"/>
    <w:rsid w:val="0053346F"/>
    <w:rsid w:val="00533BE2"/>
    <w:rsid w:val="005357AF"/>
    <w:rsid w:val="00536073"/>
    <w:rsid w:val="0053612F"/>
    <w:rsid w:val="00536904"/>
    <w:rsid w:val="0053775A"/>
    <w:rsid w:val="00541967"/>
    <w:rsid w:val="0054201B"/>
    <w:rsid w:val="005433DE"/>
    <w:rsid w:val="00543794"/>
    <w:rsid w:val="00543F60"/>
    <w:rsid w:val="00544691"/>
    <w:rsid w:val="0054535C"/>
    <w:rsid w:val="0054599E"/>
    <w:rsid w:val="00545DD1"/>
    <w:rsid w:val="00546D21"/>
    <w:rsid w:val="00546F22"/>
    <w:rsid w:val="005472AC"/>
    <w:rsid w:val="00550025"/>
    <w:rsid w:val="00550152"/>
    <w:rsid w:val="00550EA2"/>
    <w:rsid w:val="00551257"/>
    <w:rsid w:val="005512A7"/>
    <w:rsid w:val="0055146E"/>
    <w:rsid w:val="005521EC"/>
    <w:rsid w:val="00552589"/>
    <w:rsid w:val="00552C4B"/>
    <w:rsid w:val="00552D9D"/>
    <w:rsid w:val="00552DEC"/>
    <w:rsid w:val="00553082"/>
    <w:rsid w:val="00553445"/>
    <w:rsid w:val="00554E2A"/>
    <w:rsid w:val="005558BF"/>
    <w:rsid w:val="00556D6B"/>
    <w:rsid w:val="0055748C"/>
    <w:rsid w:val="00557766"/>
    <w:rsid w:val="00557E36"/>
    <w:rsid w:val="0056071C"/>
    <w:rsid w:val="00560E3A"/>
    <w:rsid w:val="005616DD"/>
    <w:rsid w:val="0056187C"/>
    <w:rsid w:val="00562619"/>
    <w:rsid w:val="005640CD"/>
    <w:rsid w:val="00564124"/>
    <w:rsid w:val="0056436F"/>
    <w:rsid w:val="00564740"/>
    <w:rsid w:val="005647C1"/>
    <w:rsid w:val="00564D7F"/>
    <w:rsid w:val="00565074"/>
    <w:rsid w:val="005652FD"/>
    <w:rsid w:val="00565637"/>
    <w:rsid w:val="00565664"/>
    <w:rsid w:val="00565D4B"/>
    <w:rsid w:val="00567FDC"/>
    <w:rsid w:val="005708FF"/>
    <w:rsid w:val="00571799"/>
    <w:rsid w:val="005719B7"/>
    <w:rsid w:val="005723EB"/>
    <w:rsid w:val="0057254C"/>
    <w:rsid w:val="005727D1"/>
    <w:rsid w:val="0057287E"/>
    <w:rsid w:val="0057299F"/>
    <w:rsid w:val="00572E8E"/>
    <w:rsid w:val="00572FCA"/>
    <w:rsid w:val="005733B8"/>
    <w:rsid w:val="00575977"/>
    <w:rsid w:val="00576CDF"/>
    <w:rsid w:val="0057782C"/>
    <w:rsid w:val="005779D8"/>
    <w:rsid w:val="00577EA3"/>
    <w:rsid w:val="005803A0"/>
    <w:rsid w:val="00580D96"/>
    <w:rsid w:val="00583259"/>
    <w:rsid w:val="00583BB9"/>
    <w:rsid w:val="00583C85"/>
    <w:rsid w:val="005840BD"/>
    <w:rsid w:val="005846DB"/>
    <w:rsid w:val="00584E73"/>
    <w:rsid w:val="00585C57"/>
    <w:rsid w:val="00585ECA"/>
    <w:rsid w:val="00586BDD"/>
    <w:rsid w:val="00586F25"/>
    <w:rsid w:val="00586F8E"/>
    <w:rsid w:val="00587FD9"/>
    <w:rsid w:val="00590944"/>
    <w:rsid w:val="00591A5A"/>
    <w:rsid w:val="00592EDB"/>
    <w:rsid w:val="00594AA8"/>
    <w:rsid w:val="00595268"/>
    <w:rsid w:val="00595343"/>
    <w:rsid w:val="00595464"/>
    <w:rsid w:val="0059714E"/>
    <w:rsid w:val="00597484"/>
    <w:rsid w:val="00597786"/>
    <w:rsid w:val="005978DB"/>
    <w:rsid w:val="005A0046"/>
    <w:rsid w:val="005A0E95"/>
    <w:rsid w:val="005A0FCC"/>
    <w:rsid w:val="005A1398"/>
    <w:rsid w:val="005A1BE4"/>
    <w:rsid w:val="005A23DF"/>
    <w:rsid w:val="005A27CD"/>
    <w:rsid w:val="005A3531"/>
    <w:rsid w:val="005A3742"/>
    <w:rsid w:val="005A3FF0"/>
    <w:rsid w:val="005A4F0D"/>
    <w:rsid w:val="005A54D3"/>
    <w:rsid w:val="005A5866"/>
    <w:rsid w:val="005A59A4"/>
    <w:rsid w:val="005A7123"/>
    <w:rsid w:val="005B0446"/>
    <w:rsid w:val="005B04B7"/>
    <w:rsid w:val="005B0E2F"/>
    <w:rsid w:val="005B1BF1"/>
    <w:rsid w:val="005B33C2"/>
    <w:rsid w:val="005B3836"/>
    <w:rsid w:val="005B38C9"/>
    <w:rsid w:val="005B6714"/>
    <w:rsid w:val="005B715C"/>
    <w:rsid w:val="005B7283"/>
    <w:rsid w:val="005C0100"/>
    <w:rsid w:val="005C0B42"/>
    <w:rsid w:val="005C145B"/>
    <w:rsid w:val="005C1DF3"/>
    <w:rsid w:val="005C28A7"/>
    <w:rsid w:val="005C34D2"/>
    <w:rsid w:val="005C38AF"/>
    <w:rsid w:val="005C40D4"/>
    <w:rsid w:val="005C44F5"/>
    <w:rsid w:val="005C4F4B"/>
    <w:rsid w:val="005C5EB8"/>
    <w:rsid w:val="005C6B4D"/>
    <w:rsid w:val="005D0070"/>
    <w:rsid w:val="005D12D8"/>
    <w:rsid w:val="005D1A8F"/>
    <w:rsid w:val="005D2879"/>
    <w:rsid w:val="005D3671"/>
    <w:rsid w:val="005D375F"/>
    <w:rsid w:val="005D3B76"/>
    <w:rsid w:val="005D3D5C"/>
    <w:rsid w:val="005D5A01"/>
    <w:rsid w:val="005D5A14"/>
    <w:rsid w:val="005D62B0"/>
    <w:rsid w:val="005D66B0"/>
    <w:rsid w:val="005D73D5"/>
    <w:rsid w:val="005D7F76"/>
    <w:rsid w:val="005E0FD3"/>
    <w:rsid w:val="005E1B0A"/>
    <w:rsid w:val="005E2985"/>
    <w:rsid w:val="005E31C1"/>
    <w:rsid w:val="005E4D96"/>
    <w:rsid w:val="005E5FF4"/>
    <w:rsid w:val="005E74FD"/>
    <w:rsid w:val="005F03FD"/>
    <w:rsid w:val="005F138E"/>
    <w:rsid w:val="005F1843"/>
    <w:rsid w:val="005F1867"/>
    <w:rsid w:val="005F1B62"/>
    <w:rsid w:val="005F1BFD"/>
    <w:rsid w:val="005F3C8A"/>
    <w:rsid w:val="005F43D9"/>
    <w:rsid w:val="005F44BE"/>
    <w:rsid w:val="005F4DB8"/>
    <w:rsid w:val="005F578D"/>
    <w:rsid w:val="005F5A23"/>
    <w:rsid w:val="005F66BA"/>
    <w:rsid w:val="005F7256"/>
    <w:rsid w:val="005F72E6"/>
    <w:rsid w:val="005F73DF"/>
    <w:rsid w:val="005F7950"/>
    <w:rsid w:val="005F7BC3"/>
    <w:rsid w:val="00600BFA"/>
    <w:rsid w:val="00600E52"/>
    <w:rsid w:val="00602498"/>
    <w:rsid w:val="006024B5"/>
    <w:rsid w:val="0060338B"/>
    <w:rsid w:val="00603832"/>
    <w:rsid w:val="006040FB"/>
    <w:rsid w:val="00604822"/>
    <w:rsid w:val="00604A45"/>
    <w:rsid w:val="00605E3E"/>
    <w:rsid w:val="00606349"/>
    <w:rsid w:val="00607B01"/>
    <w:rsid w:val="00610604"/>
    <w:rsid w:val="006124D6"/>
    <w:rsid w:val="00612700"/>
    <w:rsid w:val="006129E5"/>
    <w:rsid w:val="0061371E"/>
    <w:rsid w:val="00613A41"/>
    <w:rsid w:val="006144D6"/>
    <w:rsid w:val="0061479E"/>
    <w:rsid w:val="00614882"/>
    <w:rsid w:val="00615AFA"/>
    <w:rsid w:val="00615EAD"/>
    <w:rsid w:val="00616542"/>
    <w:rsid w:val="00616C61"/>
    <w:rsid w:val="006200B1"/>
    <w:rsid w:val="00620D4C"/>
    <w:rsid w:val="006217D7"/>
    <w:rsid w:val="006221CB"/>
    <w:rsid w:val="006221E5"/>
    <w:rsid w:val="00622D1D"/>
    <w:rsid w:val="00622F7C"/>
    <w:rsid w:val="0062338C"/>
    <w:rsid w:val="0062356A"/>
    <w:rsid w:val="006256FE"/>
    <w:rsid w:val="0062599A"/>
    <w:rsid w:val="00626962"/>
    <w:rsid w:val="00626CF7"/>
    <w:rsid w:val="006275C2"/>
    <w:rsid w:val="00627F02"/>
    <w:rsid w:val="0063065D"/>
    <w:rsid w:val="00630F91"/>
    <w:rsid w:val="00631FF2"/>
    <w:rsid w:val="006320E2"/>
    <w:rsid w:val="006321A2"/>
    <w:rsid w:val="0063294F"/>
    <w:rsid w:val="00632E14"/>
    <w:rsid w:val="006330D8"/>
    <w:rsid w:val="00633303"/>
    <w:rsid w:val="00634059"/>
    <w:rsid w:val="00634196"/>
    <w:rsid w:val="006345EE"/>
    <w:rsid w:val="006352BC"/>
    <w:rsid w:val="00635776"/>
    <w:rsid w:val="00635BC6"/>
    <w:rsid w:val="006363C5"/>
    <w:rsid w:val="00636B72"/>
    <w:rsid w:val="00636E56"/>
    <w:rsid w:val="00636FE9"/>
    <w:rsid w:val="0063750C"/>
    <w:rsid w:val="006378B7"/>
    <w:rsid w:val="00640035"/>
    <w:rsid w:val="00641028"/>
    <w:rsid w:val="00642406"/>
    <w:rsid w:val="00642516"/>
    <w:rsid w:val="006442A1"/>
    <w:rsid w:val="00644633"/>
    <w:rsid w:val="006449F2"/>
    <w:rsid w:val="00645273"/>
    <w:rsid w:val="00645A9E"/>
    <w:rsid w:val="00645BBD"/>
    <w:rsid w:val="00645CEE"/>
    <w:rsid w:val="006472EE"/>
    <w:rsid w:val="00647438"/>
    <w:rsid w:val="00650CEF"/>
    <w:rsid w:val="00650E9D"/>
    <w:rsid w:val="00650EA0"/>
    <w:rsid w:val="00650FE4"/>
    <w:rsid w:val="00651D07"/>
    <w:rsid w:val="006523D2"/>
    <w:rsid w:val="00652EC5"/>
    <w:rsid w:val="006542A5"/>
    <w:rsid w:val="006575A8"/>
    <w:rsid w:val="00657AB8"/>
    <w:rsid w:val="00657FF6"/>
    <w:rsid w:val="006609FA"/>
    <w:rsid w:val="006610E5"/>
    <w:rsid w:val="00661A01"/>
    <w:rsid w:val="006646BC"/>
    <w:rsid w:val="006648B9"/>
    <w:rsid w:val="00665C38"/>
    <w:rsid w:val="00665E54"/>
    <w:rsid w:val="00665FB8"/>
    <w:rsid w:val="00666155"/>
    <w:rsid w:val="00666889"/>
    <w:rsid w:val="00666A71"/>
    <w:rsid w:val="00666AB1"/>
    <w:rsid w:val="00666B3E"/>
    <w:rsid w:val="00667B91"/>
    <w:rsid w:val="00667BF8"/>
    <w:rsid w:val="00667D59"/>
    <w:rsid w:val="006712D6"/>
    <w:rsid w:val="00672551"/>
    <w:rsid w:val="00674355"/>
    <w:rsid w:val="00674441"/>
    <w:rsid w:val="006753C3"/>
    <w:rsid w:val="0067581C"/>
    <w:rsid w:val="00675AD0"/>
    <w:rsid w:val="00675E10"/>
    <w:rsid w:val="00676E50"/>
    <w:rsid w:val="00680436"/>
    <w:rsid w:val="006809BA"/>
    <w:rsid w:val="00680A8C"/>
    <w:rsid w:val="006821B5"/>
    <w:rsid w:val="006828FB"/>
    <w:rsid w:val="00684CDA"/>
    <w:rsid w:val="00686211"/>
    <w:rsid w:val="00686A18"/>
    <w:rsid w:val="00687ACC"/>
    <w:rsid w:val="00690003"/>
    <w:rsid w:val="006901C9"/>
    <w:rsid w:val="00691C0D"/>
    <w:rsid w:val="00692BF6"/>
    <w:rsid w:val="006941C5"/>
    <w:rsid w:val="0069483C"/>
    <w:rsid w:val="006952E7"/>
    <w:rsid w:val="00695512"/>
    <w:rsid w:val="00696582"/>
    <w:rsid w:val="006966A4"/>
    <w:rsid w:val="0069731A"/>
    <w:rsid w:val="00697A33"/>
    <w:rsid w:val="00697D64"/>
    <w:rsid w:val="006A099C"/>
    <w:rsid w:val="006A0DA0"/>
    <w:rsid w:val="006A1596"/>
    <w:rsid w:val="006A21E9"/>
    <w:rsid w:val="006A2758"/>
    <w:rsid w:val="006A3EB4"/>
    <w:rsid w:val="006A462F"/>
    <w:rsid w:val="006A47F4"/>
    <w:rsid w:val="006A5396"/>
    <w:rsid w:val="006A5BE5"/>
    <w:rsid w:val="006A736E"/>
    <w:rsid w:val="006B09D2"/>
    <w:rsid w:val="006B0DBD"/>
    <w:rsid w:val="006B10B5"/>
    <w:rsid w:val="006B1E8F"/>
    <w:rsid w:val="006B2A90"/>
    <w:rsid w:val="006B3E0C"/>
    <w:rsid w:val="006B4B9E"/>
    <w:rsid w:val="006B5B6C"/>
    <w:rsid w:val="006B5CBB"/>
    <w:rsid w:val="006B6121"/>
    <w:rsid w:val="006B622E"/>
    <w:rsid w:val="006B7482"/>
    <w:rsid w:val="006B7D13"/>
    <w:rsid w:val="006B7F06"/>
    <w:rsid w:val="006B7FED"/>
    <w:rsid w:val="006C02CF"/>
    <w:rsid w:val="006C0698"/>
    <w:rsid w:val="006C0CB1"/>
    <w:rsid w:val="006C1671"/>
    <w:rsid w:val="006C1A02"/>
    <w:rsid w:val="006C1E13"/>
    <w:rsid w:val="006C1E4F"/>
    <w:rsid w:val="006C3450"/>
    <w:rsid w:val="006C363B"/>
    <w:rsid w:val="006C3725"/>
    <w:rsid w:val="006C443C"/>
    <w:rsid w:val="006C492C"/>
    <w:rsid w:val="006C4DBD"/>
    <w:rsid w:val="006C507B"/>
    <w:rsid w:val="006C518C"/>
    <w:rsid w:val="006D07C5"/>
    <w:rsid w:val="006D13CA"/>
    <w:rsid w:val="006D17C6"/>
    <w:rsid w:val="006D238A"/>
    <w:rsid w:val="006D50D8"/>
    <w:rsid w:val="006D5636"/>
    <w:rsid w:val="006D63B0"/>
    <w:rsid w:val="006D7A4E"/>
    <w:rsid w:val="006E0388"/>
    <w:rsid w:val="006E054A"/>
    <w:rsid w:val="006E0D39"/>
    <w:rsid w:val="006E0EDC"/>
    <w:rsid w:val="006E13F7"/>
    <w:rsid w:val="006E1F04"/>
    <w:rsid w:val="006E26BE"/>
    <w:rsid w:val="006E2E59"/>
    <w:rsid w:val="006E3265"/>
    <w:rsid w:val="006E49D6"/>
    <w:rsid w:val="006E4FCA"/>
    <w:rsid w:val="006F0114"/>
    <w:rsid w:val="006F0F96"/>
    <w:rsid w:val="006F1741"/>
    <w:rsid w:val="006F2864"/>
    <w:rsid w:val="006F2DF4"/>
    <w:rsid w:val="006F5CE9"/>
    <w:rsid w:val="006F5CED"/>
    <w:rsid w:val="006F663B"/>
    <w:rsid w:val="006F75FC"/>
    <w:rsid w:val="006F7889"/>
    <w:rsid w:val="0070109A"/>
    <w:rsid w:val="007024DC"/>
    <w:rsid w:val="007027F5"/>
    <w:rsid w:val="0070360E"/>
    <w:rsid w:val="007036B1"/>
    <w:rsid w:val="007040BD"/>
    <w:rsid w:val="00705415"/>
    <w:rsid w:val="007056ED"/>
    <w:rsid w:val="00705A51"/>
    <w:rsid w:val="007110D8"/>
    <w:rsid w:val="00711797"/>
    <w:rsid w:val="007117E3"/>
    <w:rsid w:val="00711DC8"/>
    <w:rsid w:val="00711E30"/>
    <w:rsid w:val="00712D05"/>
    <w:rsid w:val="00712F96"/>
    <w:rsid w:val="007137B0"/>
    <w:rsid w:val="007141AB"/>
    <w:rsid w:val="00714FB6"/>
    <w:rsid w:val="007150FC"/>
    <w:rsid w:val="00715A5A"/>
    <w:rsid w:val="00715E79"/>
    <w:rsid w:val="007163FA"/>
    <w:rsid w:val="00716A9C"/>
    <w:rsid w:val="007175CD"/>
    <w:rsid w:val="00717C77"/>
    <w:rsid w:val="00721699"/>
    <w:rsid w:val="00721768"/>
    <w:rsid w:val="00723A49"/>
    <w:rsid w:val="00724D3B"/>
    <w:rsid w:val="00725148"/>
    <w:rsid w:val="00725F08"/>
    <w:rsid w:val="00732334"/>
    <w:rsid w:val="0073239C"/>
    <w:rsid w:val="00732671"/>
    <w:rsid w:val="0073326A"/>
    <w:rsid w:val="007336EA"/>
    <w:rsid w:val="00733ADA"/>
    <w:rsid w:val="00734A51"/>
    <w:rsid w:val="00734B3E"/>
    <w:rsid w:val="00734F74"/>
    <w:rsid w:val="0073539E"/>
    <w:rsid w:val="00735939"/>
    <w:rsid w:val="00735E43"/>
    <w:rsid w:val="00735FC7"/>
    <w:rsid w:val="00737221"/>
    <w:rsid w:val="00737ED1"/>
    <w:rsid w:val="007401CE"/>
    <w:rsid w:val="007402DD"/>
    <w:rsid w:val="007404B8"/>
    <w:rsid w:val="00740EC6"/>
    <w:rsid w:val="00741FE1"/>
    <w:rsid w:val="00743095"/>
    <w:rsid w:val="007443CD"/>
    <w:rsid w:val="00744448"/>
    <w:rsid w:val="007450AC"/>
    <w:rsid w:val="00745EE8"/>
    <w:rsid w:val="00746A69"/>
    <w:rsid w:val="00746E28"/>
    <w:rsid w:val="00747277"/>
    <w:rsid w:val="00747827"/>
    <w:rsid w:val="00747C5A"/>
    <w:rsid w:val="007503E2"/>
    <w:rsid w:val="00750B12"/>
    <w:rsid w:val="00750C65"/>
    <w:rsid w:val="007527DE"/>
    <w:rsid w:val="00752B52"/>
    <w:rsid w:val="00752EE7"/>
    <w:rsid w:val="00754A55"/>
    <w:rsid w:val="007553C3"/>
    <w:rsid w:val="00756590"/>
    <w:rsid w:val="00757626"/>
    <w:rsid w:val="007602DC"/>
    <w:rsid w:val="007613B1"/>
    <w:rsid w:val="0076172F"/>
    <w:rsid w:val="00761843"/>
    <w:rsid w:val="007625C9"/>
    <w:rsid w:val="007637EB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7867"/>
    <w:rsid w:val="007706BC"/>
    <w:rsid w:val="0077119E"/>
    <w:rsid w:val="00771332"/>
    <w:rsid w:val="0077392B"/>
    <w:rsid w:val="00775436"/>
    <w:rsid w:val="00776958"/>
    <w:rsid w:val="007773C5"/>
    <w:rsid w:val="00780AE3"/>
    <w:rsid w:val="00781893"/>
    <w:rsid w:val="00782282"/>
    <w:rsid w:val="00782AB7"/>
    <w:rsid w:val="00782CAA"/>
    <w:rsid w:val="007831B5"/>
    <w:rsid w:val="00783315"/>
    <w:rsid w:val="0078391A"/>
    <w:rsid w:val="00783A5E"/>
    <w:rsid w:val="00784342"/>
    <w:rsid w:val="007844EE"/>
    <w:rsid w:val="00784C4B"/>
    <w:rsid w:val="0078545A"/>
    <w:rsid w:val="00785C50"/>
    <w:rsid w:val="00785E84"/>
    <w:rsid w:val="00786120"/>
    <w:rsid w:val="00786220"/>
    <w:rsid w:val="007863F7"/>
    <w:rsid w:val="00787305"/>
    <w:rsid w:val="00790128"/>
    <w:rsid w:val="0079069A"/>
    <w:rsid w:val="00790940"/>
    <w:rsid w:val="00791A2D"/>
    <w:rsid w:val="00792CA7"/>
    <w:rsid w:val="00793207"/>
    <w:rsid w:val="0079399B"/>
    <w:rsid w:val="00793E48"/>
    <w:rsid w:val="007943E4"/>
    <w:rsid w:val="007958D9"/>
    <w:rsid w:val="00797053"/>
    <w:rsid w:val="007972EA"/>
    <w:rsid w:val="00797A86"/>
    <w:rsid w:val="00797B93"/>
    <w:rsid w:val="00797FD9"/>
    <w:rsid w:val="007A06E7"/>
    <w:rsid w:val="007A219C"/>
    <w:rsid w:val="007A259A"/>
    <w:rsid w:val="007A2AD3"/>
    <w:rsid w:val="007A3DCD"/>
    <w:rsid w:val="007A3EBA"/>
    <w:rsid w:val="007A44D0"/>
    <w:rsid w:val="007A5B29"/>
    <w:rsid w:val="007A5B44"/>
    <w:rsid w:val="007A686F"/>
    <w:rsid w:val="007A68E7"/>
    <w:rsid w:val="007A7CFB"/>
    <w:rsid w:val="007A7E89"/>
    <w:rsid w:val="007B0838"/>
    <w:rsid w:val="007B095A"/>
    <w:rsid w:val="007B095C"/>
    <w:rsid w:val="007B0D1E"/>
    <w:rsid w:val="007B0F16"/>
    <w:rsid w:val="007B15FF"/>
    <w:rsid w:val="007B3FEB"/>
    <w:rsid w:val="007B44CD"/>
    <w:rsid w:val="007B52F1"/>
    <w:rsid w:val="007B53A7"/>
    <w:rsid w:val="007B5AB0"/>
    <w:rsid w:val="007B6720"/>
    <w:rsid w:val="007B6DF9"/>
    <w:rsid w:val="007B74B7"/>
    <w:rsid w:val="007B798A"/>
    <w:rsid w:val="007B7E1D"/>
    <w:rsid w:val="007C05B4"/>
    <w:rsid w:val="007C0E4B"/>
    <w:rsid w:val="007C1875"/>
    <w:rsid w:val="007C19D0"/>
    <w:rsid w:val="007C1D0A"/>
    <w:rsid w:val="007C22CC"/>
    <w:rsid w:val="007C22D9"/>
    <w:rsid w:val="007C2B10"/>
    <w:rsid w:val="007C31FB"/>
    <w:rsid w:val="007C3567"/>
    <w:rsid w:val="007C40DC"/>
    <w:rsid w:val="007C43A7"/>
    <w:rsid w:val="007C44CD"/>
    <w:rsid w:val="007C4996"/>
    <w:rsid w:val="007C4F8B"/>
    <w:rsid w:val="007C58FD"/>
    <w:rsid w:val="007C66F8"/>
    <w:rsid w:val="007C6D7C"/>
    <w:rsid w:val="007C728A"/>
    <w:rsid w:val="007C752A"/>
    <w:rsid w:val="007C77A2"/>
    <w:rsid w:val="007C7D36"/>
    <w:rsid w:val="007C7EF5"/>
    <w:rsid w:val="007D0A6B"/>
    <w:rsid w:val="007D34FD"/>
    <w:rsid w:val="007D3CB6"/>
    <w:rsid w:val="007D3ED6"/>
    <w:rsid w:val="007D4BEA"/>
    <w:rsid w:val="007D54D5"/>
    <w:rsid w:val="007D557A"/>
    <w:rsid w:val="007D5931"/>
    <w:rsid w:val="007D63F0"/>
    <w:rsid w:val="007D79E1"/>
    <w:rsid w:val="007E024E"/>
    <w:rsid w:val="007E0492"/>
    <w:rsid w:val="007E33F7"/>
    <w:rsid w:val="007E42F9"/>
    <w:rsid w:val="007E4745"/>
    <w:rsid w:val="007E4C40"/>
    <w:rsid w:val="007E4DC5"/>
    <w:rsid w:val="007E4E7E"/>
    <w:rsid w:val="007E4EB2"/>
    <w:rsid w:val="007E5339"/>
    <w:rsid w:val="007E5BB2"/>
    <w:rsid w:val="007E5F23"/>
    <w:rsid w:val="007E60E8"/>
    <w:rsid w:val="007E683B"/>
    <w:rsid w:val="007E6976"/>
    <w:rsid w:val="007E6A9F"/>
    <w:rsid w:val="007E7FE6"/>
    <w:rsid w:val="007F02B7"/>
    <w:rsid w:val="007F18DC"/>
    <w:rsid w:val="007F271B"/>
    <w:rsid w:val="007F31BD"/>
    <w:rsid w:val="007F3A75"/>
    <w:rsid w:val="007F4780"/>
    <w:rsid w:val="007F57FD"/>
    <w:rsid w:val="007F5B71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EA9"/>
    <w:rsid w:val="00801F40"/>
    <w:rsid w:val="008022FA"/>
    <w:rsid w:val="008023BD"/>
    <w:rsid w:val="00802475"/>
    <w:rsid w:val="0080274C"/>
    <w:rsid w:val="00802938"/>
    <w:rsid w:val="00802AAA"/>
    <w:rsid w:val="008030D0"/>
    <w:rsid w:val="00803748"/>
    <w:rsid w:val="008046CC"/>
    <w:rsid w:val="00804D2E"/>
    <w:rsid w:val="0080603D"/>
    <w:rsid w:val="0080702B"/>
    <w:rsid w:val="0081036A"/>
    <w:rsid w:val="00810CCC"/>
    <w:rsid w:val="008116E7"/>
    <w:rsid w:val="008123E5"/>
    <w:rsid w:val="008126B8"/>
    <w:rsid w:val="00813116"/>
    <w:rsid w:val="008132F8"/>
    <w:rsid w:val="00813404"/>
    <w:rsid w:val="00814151"/>
    <w:rsid w:val="00814B22"/>
    <w:rsid w:val="00814EED"/>
    <w:rsid w:val="00815153"/>
    <w:rsid w:val="0081526E"/>
    <w:rsid w:val="008156BF"/>
    <w:rsid w:val="00815881"/>
    <w:rsid w:val="00815B81"/>
    <w:rsid w:val="00816AF0"/>
    <w:rsid w:val="00817981"/>
    <w:rsid w:val="008200CF"/>
    <w:rsid w:val="00820203"/>
    <w:rsid w:val="00820530"/>
    <w:rsid w:val="00821401"/>
    <w:rsid w:val="00821503"/>
    <w:rsid w:val="00822D89"/>
    <w:rsid w:val="00823311"/>
    <w:rsid w:val="008236AD"/>
    <w:rsid w:val="0082371E"/>
    <w:rsid w:val="0082420D"/>
    <w:rsid w:val="00824EF0"/>
    <w:rsid w:val="008254DB"/>
    <w:rsid w:val="0082603A"/>
    <w:rsid w:val="008263AE"/>
    <w:rsid w:val="00826AD6"/>
    <w:rsid w:val="00827CD2"/>
    <w:rsid w:val="008302B6"/>
    <w:rsid w:val="00830D5B"/>
    <w:rsid w:val="00830DEB"/>
    <w:rsid w:val="00832577"/>
    <w:rsid w:val="008329FB"/>
    <w:rsid w:val="00832C51"/>
    <w:rsid w:val="00833274"/>
    <w:rsid w:val="008337E5"/>
    <w:rsid w:val="008339CD"/>
    <w:rsid w:val="00833B84"/>
    <w:rsid w:val="00834A9A"/>
    <w:rsid w:val="00835B2C"/>
    <w:rsid w:val="00835EF6"/>
    <w:rsid w:val="00835F3F"/>
    <w:rsid w:val="00836870"/>
    <w:rsid w:val="008369AA"/>
    <w:rsid w:val="00836F61"/>
    <w:rsid w:val="00837919"/>
    <w:rsid w:val="00837CCF"/>
    <w:rsid w:val="00841307"/>
    <w:rsid w:val="00841C3D"/>
    <w:rsid w:val="00842ECC"/>
    <w:rsid w:val="00842EE8"/>
    <w:rsid w:val="008430A0"/>
    <w:rsid w:val="00843345"/>
    <w:rsid w:val="00843D36"/>
    <w:rsid w:val="00843F50"/>
    <w:rsid w:val="00843FA8"/>
    <w:rsid w:val="00844AC7"/>
    <w:rsid w:val="00845440"/>
    <w:rsid w:val="00845B03"/>
    <w:rsid w:val="00845F9F"/>
    <w:rsid w:val="00846809"/>
    <w:rsid w:val="00846E06"/>
    <w:rsid w:val="00852130"/>
    <w:rsid w:val="0085252C"/>
    <w:rsid w:val="00853BD7"/>
    <w:rsid w:val="00853F56"/>
    <w:rsid w:val="0085475E"/>
    <w:rsid w:val="00854AA3"/>
    <w:rsid w:val="008551C7"/>
    <w:rsid w:val="00855AA9"/>
    <w:rsid w:val="00855B30"/>
    <w:rsid w:val="0085628B"/>
    <w:rsid w:val="008565E7"/>
    <w:rsid w:val="008615E4"/>
    <w:rsid w:val="00862CDB"/>
    <w:rsid w:val="00863791"/>
    <w:rsid w:val="00865056"/>
    <w:rsid w:val="00865915"/>
    <w:rsid w:val="00866D94"/>
    <w:rsid w:val="00867968"/>
    <w:rsid w:val="0087079F"/>
    <w:rsid w:val="00870976"/>
    <w:rsid w:val="00871FA3"/>
    <w:rsid w:val="0087293E"/>
    <w:rsid w:val="00873041"/>
    <w:rsid w:val="00873876"/>
    <w:rsid w:val="00873C7B"/>
    <w:rsid w:val="00874111"/>
    <w:rsid w:val="00874560"/>
    <w:rsid w:val="008745D0"/>
    <w:rsid w:val="00875397"/>
    <w:rsid w:val="00875481"/>
    <w:rsid w:val="0087611C"/>
    <w:rsid w:val="0087652F"/>
    <w:rsid w:val="00876599"/>
    <w:rsid w:val="00876C79"/>
    <w:rsid w:val="00881F0D"/>
    <w:rsid w:val="008827FC"/>
    <w:rsid w:val="00883E10"/>
    <w:rsid w:val="0088484E"/>
    <w:rsid w:val="008848EF"/>
    <w:rsid w:val="0088498F"/>
    <w:rsid w:val="00884FB9"/>
    <w:rsid w:val="008858DC"/>
    <w:rsid w:val="008864AD"/>
    <w:rsid w:val="008869AF"/>
    <w:rsid w:val="00886D3A"/>
    <w:rsid w:val="0089028D"/>
    <w:rsid w:val="008902F8"/>
    <w:rsid w:val="0089294F"/>
    <w:rsid w:val="00892D3B"/>
    <w:rsid w:val="00892E56"/>
    <w:rsid w:val="0089341D"/>
    <w:rsid w:val="00893EBD"/>
    <w:rsid w:val="0089432F"/>
    <w:rsid w:val="00895696"/>
    <w:rsid w:val="00895D6D"/>
    <w:rsid w:val="0089691C"/>
    <w:rsid w:val="00896B96"/>
    <w:rsid w:val="00896BD7"/>
    <w:rsid w:val="0089779A"/>
    <w:rsid w:val="008A0442"/>
    <w:rsid w:val="008A05A8"/>
    <w:rsid w:val="008A169F"/>
    <w:rsid w:val="008A187A"/>
    <w:rsid w:val="008A1B0A"/>
    <w:rsid w:val="008A1C13"/>
    <w:rsid w:val="008A212B"/>
    <w:rsid w:val="008A2238"/>
    <w:rsid w:val="008A32CF"/>
    <w:rsid w:val="008A3CA5"/>
    <w:rsid w:val="008A3D5D"/>
    <w:rsid w:val="008A3F6D"/>
    <w:rsid w:val="008A43FF"/>
    <w:rsid w:val="008A5B8D"/>
    <w:rsid w:val="008A6030"/>
    <w:rsid w:val="008A75C2"/>
    <w:rsid w:val="008B00FC"/>
    <w:rsid w:val="008B0259"/>
    <w:rsid w:val="008B028A"/>
    <w:rsid w:val="008B0E6C"/>
    <w:rsid w:val="008B222F"/>
    <w:rsid w:val="008B2AEF"/>
    <w:rsid w:val="008B33BB"/>
    <w:rsid w:val="008B3B36"/>
    <w:rsid w:val="008B44D7"/>
    <w:rsid w:val="008B484C"/>
    <w:rsid w:val="008B493B"/>
    <w:rsid w:val="008B5B05"/>
    <w:rsid w:val="008B6C8D"/>
    <w:rsid w:val="008B79AD"/>
    <w:rsid w:val="008B7AD8"/>
    <w:rsid w:val="008B7D9F"/>
    <w:rsid w:val="008C0BF5"/>
    <w:rsid w:val="008C0D2A"/>
    <w:rsid w:val="008C1009"/>
    <w:rsid w:val="008C11B2"/>
    <w:rsid w:val="008C1BB9"/>
    <w:rsid w:val="008C299E"/>
    <w:rsid w:val="008C3CC7"/>
    <w:rsid w:val="008C3E99"/>
    <w:rsid w:val="008C55D0"/>
    <w:rsid w:val="008C5687"/>
    <w:rsid w:val="008C5EA1"/>
    <w:rsid w:val="008C63A0"/>
    <w:rsid w:val="008C726E"/>
    <w:rsid w:val="008D011F"/>
    <w:rsid w:val="008D1A7D"/>
    <w:rsid w:val="008D1D3F"/>
    <w:rsid w:val="008D2037"/>
    <w:rsid w:val="008D2A0C"/>
    <w:rsid w:val="008D319D"/>
    <w:rsid w:val="008D3503"/>
    <w:rsid w:val="008D38FC"/>
    <w:rsid w:val="008D3FA0"/>
    <w:rsid w:val="008D451B"/>
    <w:rsid w:val="008D484E"/>
    <w:rsid w:val="008D4E3A"/>
    <w:rsid w:val="008D55C7"/>
    <w:rsid w:val="008D5949"/>
    <w:rsid w:val="008D5E43"/>
    <w:rsid w:val="008D73CF"/>
    <w:rsid w:val="008D78CC"/>
    <w:rsid w:val="008D7CB3"/>
    <w:rsid w:val="008E04FB"/>
    <w:rsid w:val="008E144E"/>
    <w:rsid w:val="008E1540"/>
    <w:rsid w:val="008E2EC9"/>
    <w:rsid w:val="008E3192"/>
    <w:rsid w:val="008E3921"/>
    <w:rsid w:val="008E39E7"/>
    <w:rsid w:val="008E3FFB"/>
    <w:rsid w:val="008E4F8A"/>
    <w:rsid w:val="008E6547"/>
    <w:rsid w:val="008E74AA"/>
    <w:rsid w:val="008E7744"/>
    <w:rsid w:val="008E7B5A"/>
    <w:rsid w:val="008F0F92"/>
    <w:rsid w:val="008F12D6"/>
    <w:rsid w:val="008F149D"/>
    <w:rsid w:val="008F23B1"/>
    <w:rsid w:val="008F2C13"/>
    <w:rsid w:val="008F3304"/>
    <w:rsid w:val="008F3C0C"/>
    <w:rsid w:val="008F4B7E"/>
    <w:rsid w:val="008F52D3"/>
    <w:rsid w:val="008F5BF1"/>
    <w:rsid w:val="008F663B"/>
    <w:rsid w:val="008F73A8"/>
    <w:rsid w:val="008F7935"/>
    <w:rsid w:val="00900EBB"/>
    <w:rsid w:val="00900FD4"/>
    <w:rsid w:val="009013FD"/>
    <w:rsid w:val="0090172E"/>
    <w:rsid w:val="00901C93"/>
    <w:rsid w:val="00902DE6"/>
    <w:rsid w:val="00902FF1"/>
    <w:rsid w:val="009036F0"/>
    <w:rsid w:val="00903D36"/>
    <w:rsid w:val="00903E89"/>
    <w:rsid w:val="00904485"/>
    <w:rsid w:val="00904B45"/>
    <w:rsid w:val="009051FF"/>
    <w:rsid w:val="00905886"/>
    <w:rsid w:val="00906B89"/>
    <w:rsid w:val="00911FD3"/>
    <w:rsid w:val="00914305"/>
    <w:rsid w:val="009143D9"/>
    <w:rsid w:val="00914720"/>
    <w:rsid w:val="009148D5"/>
    <w:rsid w:val="0091571D"/>
    <w:rsid w:val="00915841"/>
    <w:rsid w:val="00916234"/>
    <w:rsid w:val="00917244"/>
    <w:rsid w:val="00917487"/>
    <w:rsid w:val="00917730"/>
    <w:rsid w:val="0092004A"/>
    <w:rsid w:val="009201CA"/>
    <w:rsid w:val="009205BB"/>
    <w:rsid w:val="00920676"/>
    <w:rsid w:val="0092103F"/>
    <w:rsid w:val="00921CC7"/>
    <w:rsid w:val="00922A50"/>
    <w:rsid w:val="00922A74"/>
    <w:rsid w:val="0092393F"/>
    <w:rsid w:val="00923FD9"/>
    <w:rsid w:val="0092457A"/>
    <w:rsid w:val="0092459C"/>
    <w:rsid w:val="00924B20"/>
    <w:rsid w:val="00924C52"/>
    <w:rsid w:val="0092519B"/>
    <w:rsid w:val="00925902"/>
    <w:rsid w:val="009259FF"/>
    <w:rsid w:val="00925BD4"/>
    <w:rsid w:val="00925F03"/>
    <w:rsid w:val="0092668A"/>
    <w:rsid w:val="00926C84"/>
    <w:rsid w:val="00926CBC"/>
    <w:rsid w:val="00927118"/>
    <w:rsid w:val="0093115D"/>
    <w:rsid w:val="00931267"/>
    <w:rsid w:val="00931825"/>
    <w:rsid w:val="00932E32"/>
    <w:rsid w:val="00933288"/>
    <w:rsid w:val="00933BFE"/>
    <w:rsid w:val="00933DC9"/>
    <w:rsid w:val="00934192"/>
    <w:rsid w:val="00934B40"/>
    <w:rsid w:val="0093567B"/>
    <w:rsid w:val="00935FCD"/>
    <w:rsid w:val="00936027"/>
    <w:rsid w:val="009372F0"/>
    <w:rsid w:val="00937373"/>
    <w:rsid w:val="009378BF"/>
    <w:rsid w:val="009407E1"/>
    <w:rsid w:val="00940CFC"/>
    <w:rsid w:val="009417BB"/>
    <w:rsid w:val="00943D37"/>
    <w:rsid w:val="00943ED1"/>
    <w:rsid w:val="009446A5"/>
    <w:rsid w:val="00944F20"/>
    <w:rsid w:val="00945251"/>
    <w:rsid w:val="009452B3"/>
    <w:rsid w:val="00945681"/>
    <w:rsid w:val="00946A55"/>
    <w:rsid w:val="00946B64"/>
    <w:rsid w:val="009472CD"/>
    <w:rsid w:val="00947798"/>
    <w:rsid w:val="009478F5"/>
    <w:rsid w:val="0095021D"/>
    <w:rsid w:val="00950DE7"/>
    <w:rsid w:val="00951514"/>
    <w:rsid w:val="009526FD"/>
    <w:rsid w:val="0095408D"/>
    <w:rsid w:val="0095664D"/>
    <w:rsid w:val="00957387"/>
    <w:rsid w:val="00962873"/>
    <w:rsid w:val="00963C5C"/>
    <w:rsid w:val="00964641"/>
    <w:rsid w:val="009656F2"/>
    <w:rsid w:val="00965A2C"/>
    <w:rsid w:val="0096662A"/>
    <w:rsid w:val="00966D45"/>
    <w:rsid w:val="009672B9"/>
    <w:rsid w:val="00967D69"/>
    <w:rsid w:val="00967E23"/>
    <w:rsid w:val="009716D7"/>
    <w:rsid w:val="00971FE4"/>
    <w:rsid w:val="00972845"/>
    <w:rsid w:val="009767C7"/>
    <w:rsid w:val="0097771C"/>
    <w:rsid w:val="00977A3A"/>
    <w:rsid w:val="00977E8B"/>
    <w:rsid w:val="00980BCD"/>
    <w:rsid w:val="00980F93"/>
    <w:rsid w:val="009812FE"/>
    <w:rsid w:val="00981C2F"/>
    <w:rsid w:val="00981EF8"/>
    <w:rsid w:val="00984018"/>
    <w:rsid w:val="00984D4A"/>
    <w:rsid w:val="009858C4"/>
    <w:rsid w:val="009869E6"/>
    <w:rsid w:val="00986A80"/>
    <w:rsid w:val="00987CBA"/>
    <w:rsid w:val="009905BC"/>
    <w:rsid w:val="009908DE"/>
    <w:rsid w:val="00990ECC"/>
    <w:rsid w:val="00991702"/>
    <w:rsid w:val="00991E91"/>
    <w:rsid w:val="00992825"/>
    <w:rsid w:val="00992B13"/>
    <w:rsid w:val="00992E35"/>
    <w:rsid w:val="00993661"/>
    <w:rsid w:val="009938BC"/>
    <w:rsid w:val="009951AF"/>
    <w:rsid w:val="0099553A"/>
    <w:rsid w:val="009957EF"/>
    <w:rsid w:val="0099581B"/>
    <w:rsid w:val="00995BB4"/>
    <w:rsid w:val="00997696"/>
    <w:rsid w:val="00997824"/>
    <w:rsid w:val="009A0B80"/>
    <w:rsid w:val="009A149A"/>
    <w:rsid w:val="009A33F4"/>
    <w:rsid w:val="009A34D1"/>
    <w:rsid w:val="009A4D2D"/>
    <w:rsid w:val="009A4E64"/>
    <w:rsid w:val="009A5041"/>
    <w:rsid w:val="009A5785"/>
    <w:rsid w:val="009A5E40"/>
    <w:rsid w:val="009A6F13"/>
    <w:rsid w:val="009B1A0E"/>
    <w:rsid w:val="009B21B0"/>
    <w:rsid w:val="009B3502"/>
    <w:rsid w:val="009B53F5"/>
    <w:rsid w:val="009B6F49"/>
    <w:rsid w:val="009B708D"/>
    <w:rsid w:val="009B790C"/>
    <w:rsid w:val="009C0448"/>
    <w:rsid w:val="009C0BEC"/>
    <w:rsid w:val="009C2191"/>
    <w:rsid w:val="009C49B1"/>
    <w:rsid w:val="009C5202"/>
    <w:rsid w:val="009C5AA7"/>
    <w:rsid w:val="009C747B"/>
    <w:rsid w:val="009C748A"/>
    <w:rsid w:val="009C7796"/>
    <w:rsid w:val="009C78BC"/>
    <w:rsid w:val="009C7950"/>
    <w:rsid w:val="009D06C8"/>
    <w:rsid w:val="009D0AFA"/>
    <w:rsid w:val="009D0D3A"/>
    <w:rsid w:val="009D1256"/>
    <w:rsid w:val="009D2387"/>
    <w:rsid w:val="009D256B"/>
    <w:rsid w:val="009D25B6"/>
    <w:rsid w:val="009D3787"/>
    <w:rsid w:val="009D38F3"/>
    <w:rsid w:val="009D4739"/>
    <w:rsid w:val="009D5E86"/>
    <w:rsid w:val="009D6985"/>
    <w:rsid w:val="009D6A66"/>
    <w:rsid w:val="009D6D30"/>
    <w:rsid w:val="009D7CBB"/>
    <w:rsid w:val="009E023C"/>
    <w:rsid w:val="009E0608"/>
    <w:rsid w:val="009E08BC"/>
    <w:rsid w:val="009E09DE"/>
    <w:rsid w:val="009E10AD"/>
    <w:rsid w:val="009E3273"/>
    <w:rsid w:val="009E397B"/>
    <w:rsid w:val="009E3FEC"/>
    <w:rsid w:val="009E412C"/>
    <w:rsid w:val="009E4786"/>
    <w:rsid w:val="009E4C39"/>
    <w:rsid w:val="009E4DD6"/>
    <w:rsid w:val="009E5259"/>
    <w:rsid w:val="009E536F"/>
    <w:rsid w:val="009E5DB6"/>
    <w:rsid w:val="009E60F6"/>
    <w:rsid w:val="009E6A50"/>
    <w:rsid w:val="009E78E0"/>
    <w:rsid w:val="009E7AAD"/>
    <w:rsid w:val="009F0303"/>
    <w:rsid w:val="009F0FD2"/>
    <w:rsid w:val="009F12BA"/>
    <w:rsid w:val="009F1AD8"/>
    <w:rsid w:val="009F2191"/>
    <w:rsid w:val="009F22EE"/>
    <w:rsid w:val="009F356C"/>
    <w:rsid w:val="009F469F"/>
    <w:rsid w:val="009F4B20"/>
    <w:rsid w:val="009F5350"/>
    <w:rsid w:val="009F5DFC"/>
    <w:rsid w:val="009F7A36"/>
    <w:rsid w:val="009F7A63"/>
    <w:rsid w:val="009F7B4A"/>
    <w:rsid w:val="009F7CA1"/>
    <w:rsid w:val="00A0034A"/>
    <w:rsid w:val="00A007A5"/>
    <w:rsid w:val="00A00EAE"/>
    <w:rsid w:val="00A01C3E"/>
    <w:rsid w:val="00A01C8C"/>
    <w:rsid w:val="00A01E76"/>
    <w:rsid w:val="00A02BDB"/>
    <w:rsid w:val="00A02D89"/>
    <w:rsid w:val="00A03071"/>
    <w:rsid w:val="00A04AF2"/>
    <w:rsid w:val="00A04D75"/>
    <w:rsid w:val="00A06928"/>
    <w:rsid w:val="00A0785F"/>
    <w:rsid w:val="00A1070D"/>
    <w:rsid w:val="00A127B7"/>
    <w:rsid w:val="00A1354E"/>
    <w:rsid w:val="00A13CA7"/>
    <w:rsid w:val="00A13E4D"/>
    <w:rsid w:val="00A14951"/>
    <w:rsid w:val="00A149B6"/>
    <w:rsid w:val="00A152AC"/>
    <w:rsid w:val="00A153A9"/>
    <w:rsid w:val="00A155B4"/>
    <w:rsid w:val="00A16082"/>
    <w:rsid w:val="00A16DBE"/>
    <w:rsid w:val="00A175FF"/>
    <w:rsid w:val="00A206CA"/>
    <w:rsid w:val="00A20BFA"/>
    <w:rsid w:val="00A213D0"/>
    <w:rsid w:val="00A220A6"/>
    <w:rsid w:val="00A2288E"/>
    <w:rsid w:val="00A22C87"/>
    <w:rsid w:val="00A241E3"/>
    <w:rsid w:val="00A244C7"/>
    <w:rsid w:val="00A249A7"/>
    <w:rsid w:val="00A25013"/>
    <w:rsid w:val="00A251E8"/>
    <w:rsid w:val="00A259EF"/>
    <w:rsid w:val="00A26080"/>
    <w:rsid w:val="00A30528"/>
    <w:rsid w:val="00A307C1"/>
    <w:rsid w:val="00A30A02"/>
    <w:rsid w:val="00A3106F"/>
    <w:rsid w:val="00A311B0"/>
    <w:rsid w:val="00A31DE0"/>
    <w:rsid w:val="00A327A9"/>
    <w:rsid w:val="00A327AE"/>
    <w:rsid w:val="00A331AA"/>
    <w:rsid w:val="00A336E2"/>
    <w:rsid w:val="00A33986"/>
    <w:rsid w:val="00A34098"/>
    <w:rsid w:val="00A344F3"/>
    <w:rsid w:val="00A34794"/>
    <w:rsid w:val="00A34D1B"/>
    <w:rsid w:val="00A359AC"/>
    <w:rsid w:val="00A35D20"/>
    <w:rsid w:val="00A36BA5"/>
    <w:rsid w:val="00A36DE6"/>
    <w:rsid w:val="00A377C8"/>
    <w:rsid w:val="00A3797A"/>
    <w:rsid w:val="00A37E94"/>
    <w:rsid w:val="00A40593"/>
    <w:rsid w:val="00A40AFE"/>
    <w:rsid w:val="00A40ED5"/>
    <w:rsid w:val="00A41707"/>
    <w:rsid w:val="00A41DDB"/>
    <w:rsid w:val="00A42994"/>
    <w:rsid w:val="00A42B4F"/>
    <w:rsid w:val="00A42BBB"/>
    <w:rsid w:val="00A43377"/>
    <w:rsid w:val="00A4371A"/>
    <w:rsid w:val="00A442A2"/>
    <w:rsid w:val="00A44D32"/>
    <w:rsid w:val="00A45D1C"/>
    <w:rsid w:val="00A45EC8"/>
    <w:rsid w:val="00A465C5"/>
    <w:rsid w:val="00A4707F"/>
    <w:rsid w:val="00A47660"/>
    <w:rsid w:val="00A47BE9"/>
    <w:rsid w:val="00A47CE3"/>
    <w:rsid w:val="00A51C2A"/>
    <w:rsid w:val="00A53608"/>
    <w:rsid w:val="00A53E29"/>
    <w:rsid w:val="00A53FB0"/>
    <w:rsid w:val="00A55391"/>
    <w:rsid w:val="00A55F21"/>
    <w:rsid w:val="00A5671F"/>
    <w:rsid w:val="00A6010F"/>
    <w:rsid w:val="00A60CC0"/>
    <w:rsid w:val="00A60F52"/>
    <w:rsid w:val="00A615AB"/>
    <w:rsid w:val="00A61871"/>
    <w:rsid w:val="00A61E60"/>
    <w:rsid w:val="00A639D7"/>
    <w:rsid w:val="00A6458C"/>
    <w:rsid w:val="00A67191"/>
    <w:rsid w:val="00A71AF4"/>
    <w:rsid w:val="00A72EA2"/>
    <w:rsid w:val="00A73D77"/>
    <w:rsid w:val="00A73DCA"/>
    <w:rsid w:val="00A740F1"/>
    <w:rsid w:val="00A7416C"/>
    <w:rsid w:val="00A74356"/>
    <w:rsid w:val="00A756F2"/>
    <w:rsid w:val="00A75A88"/>
    <w:rsid w:val="00A75BC2"/>
    <w:rsid w:val="00A75F04"/>
    <w:rsid w:val="00A75F9E"/>
    <w:rsid w:val="00A760CD"/>
    <w:rsid w:val="00A77181"/>
    <w:rsid w:val="00A807FC"/>
    <w:rsid w:val="00A80D60"/>
    <w:rsid w:val="00A82120"/>
    <w:rsid w:val="00A8248D"/>
    <w:rsid w:val="00A83425"/>
    <w:rsid w:val="00A83800"/>
    <w:rsid w:val="00A83F44"/>
    <w:rsid w:val="00A840EA"/>
    <w:rsid w:val="00A84632"/>
    <w:rsid w:val="00A84D91"/>
    <w:rsid w:val="00A85084"/>
    <w:rsid w:val="00A852A6"/>
    <w:rsid w:val="00A85E8B"/>
    <w:rsid w:val="00A860AF"/>
    <w:rsid w:val="00A860E9"/>
    <w:rsid w:val="00A861C2"/>
    <w:rsid w:val="00A87A0D"/>
    <w:rsid w:val="00A87ACE"/>
    <w:rsid w:val="00A87B98"/>
    <w:rsid w:val="00A90577"/>
    <w:rsid w:val="00A90C05"/>
    <w:rsid w:val="00A92511"/>
    <w:rsid w:val="00A92548"/>
    <w:rsid w:val="00A93167"/>
    <w:rsid w:val="00A93933"/>
    <w:rsid w:val="00A94F03"/>
    <w:rsid w:val="00A954F1"/>
    <w:rsid w:val="00A95735"/>
    <w:rsid w:val="00A95E72"/>
    <w:rsid w:val="00A95F5F"/>
    <w:rsid w:val="00A973B6"/>
    <w:rsid w:val="00A9740D"/>
    <w:rsid w:val="00A97A6F"/>
    <w:rsid w:val="00AA0435"/>
    <w:rsid w:val="00AA0BEB"/>
    <w:rsid w:val="00AA0C44"/>
    <w:rsid w:val="00AA0C5C"/>
    <w:rsid w:val="00AA1414"/>
    <w:rsid w:val="00AA27FE"/>
    <w:rsid w:val="00AA32DA"/>
    <w:rsid w:val="00AA373A"/>
    <w:rsid w:val="00AA385A"/>
    <w:rsid w:val="00AA404C"/>
    <w:rsid w:val="00AA4857"/>
    <w:rsid w:val="00AA5773"/>
    <w:rsid w:val="00AA58F3"/>
    <w:rsid w:val="00AA6786"/>
    <w:rsid w:val="00AA6BCA"/>
    <w:rsid w:val="00AA6F6D"/>
    <w:rsid w:val="00AA790C"/>
    <w:rsid w:val="00AA7CC8"/>
    <w:rsid w:val="00AB0EC5"/>
    <w:rsid w:val="00AB1478"/>
    <w:rsid w:val="00AB19C1"/>
    <w:rsid w:val="00AB29A0"/>
    <w:rsid w:val="00AB2E84"/>
    <w:rsid w:val="00AB4037"/>
    <w:rsid w:val="00AB6D78"/>
    <w:rsid w:val="00AB70E8"/>
    <w:rsid w:val="00AB7163"/>
    <w:rsid w:val="00AB73AD"/>
    <w:rsid w:val="00AC08C0"/>
    <w:rsid w:val="00AC0DE5"/>
    <w:rsid w:val="00AC16BC"/>
    <w:rsid w:val="00AC2514"/>
    <w:rsid w:val="00AC2624"/>
    <w:rsid w:val="00AC2E08"/>
    <w:rsid w:val="00AC3817"/>
    <w:rsid w:val="00AC387A"/>
    <w:rsid w:val="00AC4272"/>
    <w:rsid w:val="00AC4596"/>
    <w:rsid w:val="00AC6A46"/>
    <w:rsid w:val="00AC6BA4"/>
    <w:rsid w:val="00AC6BB9"/>
    <w:rsid w:val="00AC7294"/>
    <w:rsid w:val="00AD00D7"/>
    <w:rsid w:val="00AD06E2"/>
    <w:rsid w:val="00AD0AB7"/>
    <w:rsid w:val="00AD1A3E"/>
    <w:rsid w:val="00AD2FB2"/>
    <w:rsid w:val="00AD3243"/>
    <w:rsid w:val="00AD3483"/>
    <w:rsid w:val="00AD390F"/>
    <w:rsid w:val="00AD45E3"/>
    <w:rsid w:val="00AD5D43"/>
    <w:rsid w:val="00AD6CB8"/>
    <w:rsid w:val="00AD6CEA"/>
    <w:rsid w:val="00AD6FEB"/>
    <w:rsid w:val="00AE1542"/>
    <w:rsid w:val="00AE1A2A"/>
    <w:rsid w:val="00AE1D28"/>
    <w:rsid w:val="00AE1D44"/>
    <w:rsid w:val="00AE30AA"/>
    <w:rsid w:val="00AE3B19"/>
    <w:rsid w:val="00AE3CA8"/>
    <w:rsid w:val="00AE6099"/>
    <w:rsid w:val="00AE71EC"/>
    <w:rsid w:val="00AE7776"/>
    <w:rsid w:val="00AF22F5"/>
    <w:rsid w:val="00AF2D3D"/>
    <w:rsid w:val="00AF3D1D"/>
    <w:rsid w:val="00AF3F95"/>
    <w:rsid w:val="00AF51E2"/>
    <w:rsid w:val="00AF532E"/>
    <w:rsid w:val="00AF5A0F"/>
    <w:rsid w:val="00AF60B5"/>
    <w:rsid w:val="00AF700D"/>
    <w:rsid w:val="00AF7B0B"/>
    <w:rsid w:val="00B006EB"/>
    <w:rsid w:val="00B011C7"/>
    <w:rsid w:val="00B016A0"/>
    <w:rsid w:val="00B0317B"/>
    <w:rsid w:val="00B0327B"/>
    <w:rsid w:val="00B04406"/>
    <w:rsid w:val="00B04661"/>
    <w:rsid w:val="00B0487F"/>
    <w:rsid w:val="00B0562B"/>
    <w:rsid w:val="00B0597B"/>
    <w:rsid w:val="00B060C9"/>
    <w:rsid w:val="00B06C37"/>
    <w:rsid w:val="00B072B0"/>
    <w:rsid w:val="00B0798C"/>
    <w:rsid w:val="00B10808"/>
    <w:rsid w:val="00B10A77"/>
    <w:rsid w:val="00B11436"/>
    <w:rsid w:val="00B117A9"/>
    <w:rsid w:val="00B12569"/>
    <w:rsid w:val="00B1275E"/>
    <w:rsid w:val="00B1340A"/>
    <w:rsid w:val="00B1395B"/>
    <w:rsid w:val="00B13BAE"/>
    <w:rsid w:val="00B13E56"/>
    <w:rsid w:val="00B1492A"/>
    <w:rsid w:val="00B15687"/>
    <w:rsid w:val="00B15A4F"/>
    <w:rsid w:val="00B15C37"/>
    <w:rsid w:val="00B1740C"/>
    <w:rsid w:val="00B2126D"/>
    <w:rsid w:val="00B22014"/>
    <w:rsid w:val="00B22016"/>
    <w:rsid w:val="00B227DE"/>
    <w:rsid w:val="00B23F64"/>
    <w:rsid w:val="00B24099"/>
    <w:rsid w:val="00B250B7"/>
    <w:rsid w:val="00B25959"/>
    <w:rsid w:val="00B263E3"/>
    <w:rsid w:val="00B2712C"/>
    <w:rsid w:val="00B273E7"/>
    <w:rsid w:val="00B27BC4"/>
    <w:rsid w:val="00B30AD3"/>
    <w:rsid w:val="00B317BC"/>
    <w:rsid w:val="00B32656"/>
    <w:rsid w:val="00B32B3B"/>
    <w:rsid w:val="00B332DF"/>
    <w:rsid w:val="00B334BA"/>
    <w:rsid w:val="00B3357C"/>
    <w:rsid w:val="00B34E03"/>
    <w:rsid w:val="00B35C7C"/>
    <w:rsid w:val="00B36802"/>
    <w:rsid w:val="00B369A6"/>
    <w:rsid w:val="00B36DB8"/>
    <w:rsid w:val="00B3738D"/>
    <w:rsid w:val="00B373BE"/>
    <w:rsid w:val="00B373E4"/>
    <w:rsid w:val="00B37BBF"/>
    <w:rsid w:val="00B40EDC"/>
    <w:rsid w:val="00B41EE1"/>
    <w:rsid w:val="00B423A8"/>
    <w:rsid w:val="00B424CA"/>
    <w:rsid w:val="00B43023"/>
    <w:rsid w:val="00B45140"/>
    <w:rsid w:val="00B457DF"/>
    <w:rsid w:val="00B45AF1"/>
    <w:rsid w:val="00B460D8"/>
    <w:rsid w:val="00B46709"/>
    <w:rsid w:val="00B46728"/>
    <w:rsid w:val="00B46877"/>
    <w:rsid w:val="00B46B99"/>
    <w:rsid w:val="00B46E86"/>
    <w:rsid w:val="00B474DF"/>
    <w:rsid w:val="00B505BB"/>
    <w:rsid w:val="00B50B77"/>
    <w:rsid w:val="00B50E3D"/>
    <w:rsid w:val="00B50E7A"/>
    <w:rsid w:val="00B513D4"/>
    <w:rsid w:val="00B51A2B"/>
    <w:rsid w:val="00B51E88"/>
    <w:rsid w:val="00B51F0F"/>
    <w:rsid w:val="00B52390"/>
    <w:rsid w:val="00B5469E"/>
    <w:rsid w:val="00B548EA"/>
    <w:rsid w:val="00B56063"/>
    <w:rsid w:val="00B56DDA"/>
    <w:rsid w:val="00B605AA"/>
    <w:rsid w:val="00B617DE"/>
    <w:rsid w:val="00B622FE"/>
    <w:rsid w:val="00B62732"/>
    <w:rsid w:val="00B62D65"/>
    <w:rsid w:val="00B634A6"/>
    <w:rsid w:val="00B63755"/>
    <w:rsid w:val="00B6393F"/>
    <w:rsid w:val="00B643B4"/>
    <w:rsid w:val="00B64EF1"/>
    <w:rsid w:val="00B64F4B"/>
    <w:rsid w:val="00B64FE3"/>
    <w:rsid w:val="00B65D6E"/>
    <w:rsid w:val="00B660C3"/>
    <w:rsid w:val="00B668AD"/>
    <w:rsid w:val="00B703FE"/>
    <w:rsid w:val="00B71788"/>
    <w:rsid w:val="00B71A06"/>
    <w:rsid w:val="00B71C89"/>
    <w:rsid w:val="00B726C7"/>
    <w:rsid w:val="00B72C46"/>
    <w:rsid w:val="00B73748"/>
    <w:rsid w:val="00B73B44"/>
    <w:rsid w:val="00B73CD3"/>
    <w:rsid w:val="00B73D40"/>
    <w:rsid w:val="00B7404E"/>
    <w:rsid w:val="00B747A5"/>
    <w:rsid w:val="00B7484D"/>
    <w:rsid w:val="00B75511"/>
    <w:rsid w:val="00B75845"/>
    <w:rsid w:val="00B75D1D"/>
    <w:rsid w:val="00B7617C"/>
    <w:rsid w:val="00B777CB"/>
    <w:rsid w:val="00B803E3"/>
    <w:rsid w:val="00B80910"/>
    <w:rsid w:val="00B8261D"/>
    <w:rsid w:val="00B82B7B"/>
    <w:rsid w:val="00B83B24"/>
    <w:rsid w:val="00B84872"/>
    <w:rsid w:val="00B86471"/>
    <w:rsid w:val="00B87142"/>
    <w:rsid w:val="00B90E45"/>
    <w:rsid w:val="00B912D1"/>
    <w:rsid w:val="00B92237"/>
    <w:rsid w:val="00B93A52"/>
    <w:rsid w:val="00B93CF8"/>
    <w:rsid w:val="00B944B1"/>
    <w:rsid w:val="00B9476B"/>
    <w:rsid w:val="00B94F49"/>
    <w:rsid w:val="00B95572"/>
    <w:rsid w:val="00B97102"/>
    <w:rsid w:val="00BA0F4F"/>
    <w:rsid w:val="00BA27BB"/>
    <w:rsid w:val="00BA2853"/>
    <w:rsid w:val="00BA2BFE"/>
    <w:rsid w:val="00BA2D31"/>
    <w:rsid w:val="00BA426A"/>
    <w:rsid w:val="00BA5097"/>
    <w:rsid w:val="00BA70A4"/>
    <w:rsid w:val="00BA7857"/>
    <w:rsid w:val="00BB0D6E"/>
    <w:rsid w:val="00BB1760"/>
    <w:rsid w:val="00BB1946"/>
    <w:rsid w:val="00BB1D60"/>
    <w:rsid w:val="00BB2803"/>
    <w:rsid w:val="00BB2973"/>
    <w:rsid w:val="00BB2CF7"/>
    <w:rsid w:val="00BB369C"/>
    <w:rsid w:val="00BB370F"/>
    <w:rsid w:val="00BB434B"/>
    <w:rsid w:val="00BB4C8D"/>
    <w:rsid w:val="00BB5293"/>
    <w:rsid w:val="00BB565D"/>
    <w:rsid w:val="00BB56CF"/>
    <w:rsid w:val="00BB61F9"/>
    <w:rsid w:val="00BB67E1"/>
    <w:rsid w:val="00BB6F14"/>
    <w:rsid w:val="00BB70BF"/>
    <w:rsid w:val="00BB7C1D"/>
    <w:rsid w:val="00BC0298"/>
    <w:rsid w:val="00BC04C0"/>
    <w:rsid w:val="00BC073A"/>
    <w:rsid w:val="00BC0A75"/>
    <w:rsid w:val="00BC121E"/>
    <w:rsid w:val="00BC1AF4"/>
    <w:rsid w:val="00BC200F"/>
    <w:rsid w:val="00BC298D"/>
    <w:rsid w:val="00BC335E"/>
    <w:rsid w:val="00BC411A"/>
    <w:rsid w:val="00BC4812"/>
    <w:rsid w:val="00BC5731"/>
    <w:rsid w:val="00BC58D1"/>
    <w:rsid w:val="00BC5969"/>
    <w:rsid w:val="00BC6536"/>
    <w:rsid w:val="00BC77F8"/>
    <w:rsid w:val="00BC79F4"/>
    <w:rsid w:val="00BD2D6B"/>
    <w:rsid w:val="00BD3E43"/>
    <w:rsid w:val="00BD4897"/>
    <w:rsid w:val="00BD7B47"/>
    <w:rsid w:val="00BE05EE"/>
    <w:rsid w:val="00BE0F96"/>
    <w:rsid w:val="00BE1100"/>
    <w:rsid w:val="00BE13E1"/>
    <w:rsid w:val="00BE1480"/>
    <w:rsid w:val="00BE2B33"/>
    <w:rsid w:val="00BE31E8"/>
    <w:rsid w:val="00BE375F"/>
    <w:rsid w:val="00BE3DF1"/>
    <w:rsid w:val="00BE4142"/>
    <w:rsid w:val="00BE4EBF"/>
    <w:rsid w:val="00BE5261"/>
    <w:rsid w:val="00BE5EEC"/>
    <w:rsid w:val="00BE73DF"/>
    <w:rsid w:val="00BE777B"/>
    <w:rsid w:val="00BF053B"/>
    <w:rsid w:val="00BF06CC"/>
    <w:rsid w:val="00BF0A53"/>
    <w:rsid w:val="00BF1BF8"/>
    <w:rsid w:val="00BF2458"/>
    <w:rsid w:val="00BF2512"/>
    <w:rsid w:val="00BF2C4B"/>
    <w:rsid w:val="00BF2CA4"/>
    <w:rsid w:val="00BF380D"/>
    <w:rsid w:val="00BF42F8"/>
    <w:rsid w:val="00BF4544"/>
    <w:rsid w:val="00BF458D"/>
    <w:rsid w:val="00BF45AF"/>
    <w:rsid w:val="00BF46C9"/>
    <w:rsid w:val="00BF5746"/>
    <w:rsid w:val="00BF58D5"/>
    <w:rsid w:val="00BF595E"/>
    <w:rsid w:val="00BF623C"/>
    <w:rsid w:val="00BF63D1"/>
    <w:rsid w:val="00BF6F93"/>
    <w:rsid w:val="00BF72AE"/>
    <w:rsid w:val="00BF730C"/>
    <w:rsid w:val="00BF7D03"/>
    <w:rsid w:val="00C0032A"/>
    <w:rsid w:val="00C016EF"/>
    <w:rsid w:val="00C02210"/>
    <w:rsid w:val="00C03C62"/>
    <w:rsid w:val="00C03FB3"/>
    <w:rsid w:val="00C04D1E"/>
    <w:rsid w:val="00C050D5"/>
    <w:rsid w:val="00C05993"/>
    <w:rsid w:val="00C0617F"/>
    <w:rsid w:val="00C066C9"/>
    <w:rsid w:val="00C06B93"/>
    <w:rsid w:val="00C07780"/>
    <w:rsid w:val="00C078A0"/>
    <w:rsid w:val="00C07EDD"/>
    <w:rsid w:val="00C122E9"/>
    <w:rsid w:val="00C1231E"/>
    <w:rsid w:val="00C138D9"/>
    <w:rsid w:val="00C13BE7"/>
    <w:rsid w:val="00C14887"/>
    <w:rsid w:val="00C14FAD"/>
    <w:rsid w:val="00C15867"/>
    <w:rsid w:val="00C15C81"/>
    <w:rsid w:val="00C15D4B"/>
    <w:rsid w:val="00C16D10"/>
    <w:rsid w:val="00C1745B"/>
    <w:rsid w:val="00C177D0"/>
    <w:rsid w:val="00C21CAF"/>
    <w:rsid w:val="00C21D34"/>
    <w:rsid w:val="00C22195"/>
    <w:rsid w:val="00C23E86"/>
    <w:rsid w:val="00C240DB"/>
    <w:rsid w:val="00C24741"/>
    <w:rsid w:val="00C24E12"/>
    <w:rsid w:val="00C2647D"/>
    <w:rsid w:val="00C264F3"/>
    <w:rsid w:val="00C26867"/>
    <w:rsid w:val="00C26EF2"/>
    <w:rsid w:val="00C27E25"/>
    <w:rsid w:val="00C3031E"/>
    <w:rsid w:val="00C3111A"/>
    <w:rsid w:val="00C329E3"/>
    <w:rsid w:val="00C32AE7"/>
    <w:rsid w:val="00C336EA"/>
    <w:rsid w:val="00C3433A"/>
    <w:rsid w:val="00C34A94"/>
    <w:rsid w:val="00C34C01"/>
    <w:rsid w:val="00C3503D"/>
    <w:rsid w:val="00C35B54"/>
    <w:rsid w:val="00C35FE2"/>
    <w:rsid w:val="00C36CA5"/>
    <w:rsid w:val="00C36DA4"/>
    <w:rsid w:val="00C3787F"/>
    <w:rsid w:val="00C37E16"/>
    <w:rsid w:val="00C37FD1"/>
    <w:rsid w:val="00C4020C"/>
    <w:rsid w:val="00C410D0"/>
    <w:rsid w:val="00C41B0C"/>
    <w:rsid w:val="00C42B92"/>
    <w:rsid w:val="00C42DF8"/>
    <w:rsid w:val="00C4389D"/>
    <w:rsid w:val="00C43D96"/>
    <w:rsid w:val="00C444A1"/>
    <w:rsid w:val="00C4478B"/>
    <w:rsid w:val="00C45141"/>
    <w:rsid w:val="00C46548"/>
    <w:rsid w:val="00C46C27"/>
    <w:rsid w:val="00C47168"/>
    <w:rsid w:val="00C4760F"/>
    <w:rsid w:val="00C501EA"/>
    <w:rsid w:val="00C5050E"/>
    <w:rsid w:val="00C5053F"/>
    <w:rsid w:val="00C50710"/>
    <w:rsid w:val="00C51039"/>
    <w:rsid w:val="00C51688"/>
    <w:rsid w:val="00C525F9"/>
    <w:rsid w:val="00C53F61"/>
    <w:rsid w:val="00C544DA"/>
    <w:rsid w:val="00C5465D"/>
    <w:rsid w:val="00C54CAA"/>
    <w:rsid w:val="00C54CAF"/>
    <w:rsid w:val="00C557BF"/>
    <w:rsid w:val="00C5588E"/>
    <w:rsid w:val="00C56118"/>
    <w:rsid w:val="00C5660A"/>
    <w:rsid w:val="00C570AE"/>
    <w:rsid w:val="00C60CE2"/>
    <w:rsid w:val="00C61120"/>
    <w:rsid w:val="00C611E7"/>
    <w:rsid w:val="00C61C87"/>
    <w:rsid w:val="00C63831"/>
    <w:rsid w:val="00C65287"/>
    <w:rsid w:val="00C659B6"/>
    <w:rsid w:val="00C65E28"/>
    <w:rsid w:val="00C66297"/>
    <w:rsid w:val="00C67811"/>
    <w:rsid w:val="00C705D2"/>
    <w:rsid w:val="00C716CC"/>
    <w:rsid w:val="00C7219A"/>
    <w:rsid w:val="00C724CE"/>
    <w:rsid w:val="00C72A46"/>
    <w:rsid w:val="00C7466E"/>
    <w:rsid w:val="00C75C70"/>
    <w:rsid w:val="00C761F0"/>
    <w:rsid w:val="00C77B8C"/>
    <w:rsid w:val="00C8048D"/>
    <w:rsid w:val="00C8054F"/>
    <w:rsid w:val="00C81BEB"/>
    <w:rsid w:val="00C81D9A"/>
    <w:rsid w:val="00C81F77"/>
    <w:rsid w:val="00C822F6"/>
    <w:rsid w:val="00C82479"/>
    <w:rsid w:val="00C8309B"/>
    <w:rsid w:val="00C83140"/>
    <w:rsid w:val="00C84BC0"/>
    <w:rsid w:val="00C84E04"/>
    <w:rsid w:val="00C85093"/>
    <w:rsid w:val="00C855D2"/>
    <w:rsid w:val="00C86345"/>
    <w:rsid w:val="00C9074D"/>
    <w:rsid w:val="00C9147E"/>
    <w:rsid w:val="00C9202A"/>
    <w:rsid w:val="00C9275F"/>
    <w:rsid w:val="00C9287F"/>
    <w:rsid w:val="00C92AC0"/>
    <w:rsid w:val="00C93141"/>
    <w:rsid w:val="00C937D2"/>
    <w:rsid w:val="00C94896"/>
    <w:rsid w:val="00C95133"/>
    <w:rsid w:val="00C96AD4"/>
    <w:rsid w:val="00C96C47"/>
    <w:rsid w:val="00C973A8"/>
    <w:rsid w:val="00C97463"/>
    <w:rsid w:val="00C978DD"/>
    <w:rsid w:val="00CA0014"/>
    <w:rsid w:val="00CA15B7"/>
    <w:rsid w:val="00CA2773"/>
    <w:rsid w:val="00CA2F28"/>
    <w:rsid w:val="00CA370A"/>
    <w:rsid w:val="00CA48E9"/>
    <w:rsid w:val="00CA4E57"/>
    <w:rsid w:val="00CA52BA"/>
    <w:rsid w:val="00CA5C8F"/>
    <w:rsid w:val="00CA5DFA"/>
    <w:rsid w:val="00CA62DC"/>
    <w:rsid w:val="00CB05BD"/>
    <w:rsid w:val="00CB10E3"/>
    <w:rsid w:val="00CB199A"/>
    <w:rsid w:val="00CB275C"/>
    <w:rsid w:val="00CB3236"/>
    <w:rsid w:val="00CB35F2"/>
    <w:rsid w:val="00CB4189"/>
    <w:rsid w:val="00CB41D9"/>
    <w:rsid w:val="00CB575B"/>
    <w:rsid w:val="00CB6964"/>
    <w:rsid w:val="00CB6A10"/>
    <w:rsid w:val="00CB71D5"/>
    <w:rsid w:val="00CB73C9"/>
    <w:rsid w:val="00CB765D"/>
    <w:rsid w:val="00CC00D7"/>
    <w:rsid w:val="00CC0644"/>
    <w:rsid w:val="00CC07B7"/>
    <w:rsid w:val="00CC0D4A"/>
    <w:rsid w:val="00CC1F5A"/>
    <w:rsid w:val="00CC2E28"/>
    <w:rsid w:val="00CC3142"/>
    <w:rsid w:val="00CC32E8"/>
    <w:rsid w:val="00CC3809"/>
    <w:rsid w:val="00CC3D4B"/>
    <w:rsid w:val="00CC3DBC"/>
    <w:rsid w:val="00CC4355"/>
    <w:rsid w:val="00CC4C6D"/>
    <w:rsid w:val="00CC4D36"/>
    <w:rsid w:val="00CC4E16"/>
    <w:rsid w:val="00CC51B5"/>
    <w:rsid w:val="00CC60A1"/>
    <w:rsid w:val="00CC6548"/>
    <w:rsid w:val="00CC6637"/>
    <w:rsid w:val="00CC6A5A"/>
    <w:rsid w:val="00CC79C8"/>
    <w:rsid w:val="00CD0887"/>
    <w:rsid w:val="00CD27AB"/>
    <w:rsid w:val="00CD2B7A"/>
    <w:rsid w:val="00CD2FE3"/>
    <w:rsid w:val="00CD41DA"/>
    <w:rsid w:val="00CD432C"/>
    <w:rsid w:val="00CD47AB"/>
    <w:rsid w:val="00CD47D5"/>
    <w:rsid w:val="00CD5577"/>
    <w:rsid w:val="00CD60CD"/>
    <w:rsid w:val="00CD645A"/>
    <w:rsid w:val="00CD6AD2"/>
    <w:rsid w:val="00CD7494"/>
    <w:rsid w:val="00CD759D"/>
    <w:rsid w:val="00CE04AD"/>
    <w:rsid w:val="00CE0525"/>
    <w:rsid w:val="00CE0600"/>
    <w:rsid w:val="00CE149A"/>
    <w:rsid w:val="00CE1B7A"/>
    <w:rsid w:val="00CE1CF3"/>
    <w:rsid w:val="00CE2019"/>
    <w:rsid w:val="00CE28ED"/>
    <w:rsid w:val="00CE3D71"/>
    <w:rsid w:val="00CE496B"/>
    <w:rsid w:val="00CE71F9"/>
    <w:rsid w:val="00CE72C1"/>
    <w:rsid w:val="00CE74BE"/>
    <w:rsid w:val="00CF0234"/>
    <w:rsid w:val="00CF09CB"/>
    <w:rsid w:val="00CF12A2"/>
    <w:rsid w:val="00CF3B62"/>
    <w:rsid w:val="00CF3C7C"/>
    <w:rsid w:val="00CF429B"/>
    <w:rsid w:val="00CF4D7F"/>
    <w:rsid w:val="00CF5BB7"/>
    <w:rsid w:val="00CF7325"/>
    <w:rsid w:val="00CF7912"/>
    <w:rsid w:val="00CF7B30"/>
    <w:rsid w:val="00CF7BE2"/>
    <w:rsid w:val="00D0057A"/>
    <w:rsid w:val="00D01505"/>
    <w:rsid w:val="00D017A6"/>
    <w:rsid w:val="00D01B24"/>
    <w:rsid w:val="00D01D7E"/>
    <w:rsid w:val="00D02EE3"/>
    <w:rsid w:val="00D03641"/>
    <w:rsid w:val="00D071F3"/>
    <w:rsid w:val="00D075AE"/>
    <w:rsid w:val="00D0765C"/>
    <w:rsid w:val="00D07C14"/>
    <w:rsid w:val="00D1108E"/>
    <w:rsid w:val="00D12765"/>
    <w:rsid w:val="00D12969"/>
    <w:rsid w:val="00D12F1D"/>
    <w:rsid w:val="00D139AC"/>
    <w:rsid w:val="00D139B2"/>
    <w:rsid w:val="00D13BD0"/>
    <w:rsid w:val="00D1463A"/>
    <w:rsid w:val="00D14F6A"/>
    <w:rsid w:val="00D1525D"/>
    <w:rsid w:val="00D1531B"/>
    <w:rsid w:val="00D15D81"/>
    <w:rsid w:val="00D160CC"/>
    <w:rsid w:val="00D16251"/>
    <w:rsid w:val="00D162CA"/>
    <w:rsid w:val="00D16CBE"/>
    <w:rsid w:val="00D2093B"/>
    <w:rsid w:val="00D20E16"/>
    <w:rsid w:val="00D22C46"/>
    <w:rsid w:val="00D241E4"/>
    <w:rsid w:val="00D302EF"/>
    <w:rsid w:val="00D31191"/>
    <w:rsid w:val="00D31408"/>
    <w:rsid w:val="00D31728"/>
    <w:rsid w:val="00D33FC9"/>
    <w:rsid w:val="00D3415E"/>
    <w:rsid w:val="00D35880"/>
    <w:rsid w:val="00D35971"/>
    <w:rsid w:val="00D35C47"/>
    <w:rsid w:val="00D35CDB"/>
    <w:rsid w:val="00D37AEB"/>
    <w:rsid w:val="00D40AF9"/>
    <w:rsid w:val="00D40B9A"/>
    <w:rsid w:val="00D40E79"/>
    <w:rsid w:val="00D416F7"/>
    <w:rsid w:val="00D41D55"/>
    <w:rsid w:val="00D43DC5"/>
    <w:rsid w:val="00D445FE"/>
    <w:rsid w:val="00D44647"/>
    <w:rsid w:val="00D44C37"/>
    <w:rsid w:val="00D458D1"/>
    <w:rsid w:val="00D46739"/>
    <w:rsid w:val="00D4696B"/>
    <w:rsid w:val="00D46BBC"/>
    <w:rsid w:val="00D46E52"/>
    <w:rsid w:val="00D4774B"/>
    <w:rsid w:val="00D4799D"/>
    <w:rsid w:val="00D50649"/>
    <w:rsid w:val="00D50719"/>
    <w:rsid w:val="00D50F2C"/>
    <w:rsid w:val="00D51E5B"/>
    <w:rsid w:val="00D521C8"/>
    <w:rsid w:val="00D5243A"/>
    <w:rsid w:val="00D527C6"/>
    <w:rsid w:val="00D53025"/>
    <w:rsid w:val="00D53621"/>
    <w:rsid w:val="00D53B0F"/>
    <w:rsid w:val="00D5486E"/>
    <w:rsid w:val="00D548E8"/>
    <w:rsid w:val="00D549B8"/>
    <w:rsid w:val="00D54E1C"/>
    <w:rsid w:val="00D550E9"/>
    <w:rsid w:val="00D55F06"/>
    <w:rsid w:val="00D56C0E"/>
    <w:rsid w:val="00D56ED4"/>
    <w:rsid w:val="00D56F91"/>
    <w:rsid w:val="00D57004"/>
    <w:rsid w:val="00D5745B"/>
    <w:rsid w:val="00D57516"/>
    <w:rsid w:val="00D57A12"/>
    <w:rsid w:val="00D60D89"/>
    <w:rsid w:val="00D61E31"/>
    <w:rsid w:val="00D62CE9"/>
    <w:rsid w:val="00D63028"/>
    <w:rsid w:val="00D63F47"/>
    <w:rsid w:val="00D70633"/>
    <w:rsid w:val="00D70BC9"/>
    <w:rsid w:val="00D71482"/>
    <w:rsid w:val="00D717EC"/>
    <w:rsid w:val="00D71941"/>
    <w:rsid w:val="00D71B8C"/>
    <w:rsid w:val="00D71DB3"/>
    <w:rsid w:val="00D72FA4"/>
    <w:rsid w:val="00D73576"/>
    <w:rsid w:val="00D73B26"/>
    <w:rsid w:val="00D74EFF"/>
    <w:rsid w:val="00D75282"/>
    <w:rsid w:val="00D75C7A"/>
    <w:rsid w:val="00D76D78"/>
    <w:rsid w:val="00D7749B"/>
    <w:rsid w:val="00D77B0B"/>
    <w:rsid w:val="00D77DE4"/>
    <w:rsid w:val="00D77F8D"/>
    <w:rsid w:val="00D808EB"/>
    <w:rsid w:val="00D80DC5"/>
    <w:rsid w:val="00D81EEB"/>
    <w:rsid w:val="00D82A57"/>
    <w:rsid w:val="00D84DEE"/>
    <w:rsid w:val="00D8514B"/>
    <w:rsid w:val="00D851BD"/>
    <w:rsid w:val="00D8565C"/>
    <w:rsid w:val="00D858CA"/>
    <w:rsid w:val="00D86F06"/>
    <w:rsid w:val="00D870CC"/>
    <w:rsid w:val="00D87500"/>
    <w:rsid w:val="00D875A0"/>
    <w:rsid w:val="00D87FE5"/>
    <w:rsid w:val="00D90E9F"/>
    <w:rsid w:val="00D9134E"/>
    <w:rsid w:val="00D9212C"/>
    <w:rsid w:val="00D92398"/>
    <w:rsid w:val="00D92551"/>
    <w:rsid w:val="00D93364"/>
    <w:rsid w:val="00D93A6D"/>
    <w:rsid w:val="00D93D58"/>
    <w:rsid w:val="00D96106"/>
    <w:rsid w:val="00D9614F"/>
    <w:rsid w:val="00D97A80"/>
    <w:rsid w:val="00DA04CE"/>
    <w:rsid w:val="00DA1323"/>
    <w:rsid w:val="00DA256D"/>
    <w:rsid w:val="00DA265A"/>
    <w:rsid w:val="00DA268A"/>
    <w:rsid w:val="00DA2FA4"/>
    <w:rsid w:val="00DA3AE6"/>
    <w:rsid w:val="00DA3D5D"/>
    <w:rsid w:val="00DA3DEC"/>
    <w:rsid w:val="00DA40CF"/>
    <w:rsid w:val="00DA4483"/>
    <w:rsid w:val="00DA5217"/>
    <w:rsid w:val="00DA53BA"/>
    <w:rsid w:val="00DA554E"/>
    <w:rsid w:val="00DA65B3"/>
    <w:rsid w:val="00DA708A"/>
    <w:rsid w:val="00DA73DA"/>
    <w:rsid w:val="00DB0441"/>
    <w:rsid w:val="00DB0635"/>
    <w:rsid w:val="00DB20B7"/>
    <w:rsid w:val="00DB2118"/>
    <w:rsid w:val="00DB29D8"/>
    <w:rsid w:val="00DB3F97"/>
    <w:rsid w:val="00DB47E0"/>
    <w:rsid w:val="00DB4845"/>
    <w:rsid w:val="00DB60D3"/>
    <w:rsid w:val="00DB6230"/>
    <w:rsid w:val="00DB714F"/>
    <w:rsid w:val="00DB76E3"/>
    <w:rsid w:val="00DC0994"/>
    <w:rsid w:val="00DC0CA1"/>
    <w:rsid w:val="00DC189C"/>
    <w:rsid w:val="00DC2A27"/>
    <w:rsid w:val="00DC2DF9"/>
    <w:rsid w:val="00DC3072"/>
    <w:rsid w:val="00DC3E65"/>
    <w:rsid w:val="00DC5B33"/>
    <w:rsid w:val="00DC6FC4"/>
    <w:rsid w:val="00DD1A6E"/>
    <w:rsid w:val="00DD1A84"/>
    <w:rsid w:val="00DD1FBB"/>
    <w:rsid w:val="00DD1FD2"/>
    <w:rsid w:val="00DD2176"/>
    <w:rsid w:val="00DD23CD"/>
    <w:rsid w:val="00DD29A9"/>
    <w:rsid w:val="00DD33D3"/>
    <w:rsid w:val="00DD4E64"/>
    <w:rsid w:val="00DD6F9C"/>
    <w:rsid w:val="00DD7017"/>
    <w:rsid w:val="00DD70D0"/>
    <w:rsid w:val="00DD7578"/>
    <w:rsid w:val="00DD79E2"/>
    <w:rsid w:val="00DE0825"/>
    <w:rsid w:val="00DE23EF"/>
    <w:rsid w:val="00DE2697"/>
    <w:rsid w:val="00DE2FB4"/>
    <w:rsid w:val="00DE3B83"/>
    <w:rsid w:val="00DE4EB5"/>
    <w:rsid w:val="00DE71B4"/>
    <w:rsid w:val="00DE77C4"/>
    <w:rsid w:val="00DE7A99"/>
    <w:rsid w:val="00DF09EB"/>
    <w:rsid w:val="00DF09FB"/>
    <w:rsid w:val="00DF0F95"/>
    <w:rsid w:val="00DF1458"/>
    <w:rsid w:val="00DF1A0D"/>
    <w:rsid w:val="00DF2A8E"/>
    <w:rsid w:val="00DF3202"/>
    <w:rsid w:val="00DF3410"/>
    <w:rsid w:val="00DF3F6D"/>
    <w:rsid w:val="00DF3F9A"/>
    <w:rsid w:val="00DF44A9"/>
    <w:rsid w:val="00DF4B7A"/>
    <w:rsid w:val="00DF5199"/>
    <w:rsid w:val="00DF51CB"/>
    <w:rsid w:val="00DF57F1"/>
    <w:rsid w:val="00DF59C9"/>
    <w:rsid w:val="00DF5BCF"/>
    <w:rsid w:val="00DF6975"/>
    <w:rsid w:val="00E02981"/>
    <w:rsid w:val="00E02F28"/>
    <w:rsid w:val="00E03E03"/>
    <w:rsid w:val="00E0568D"/>
    <w:rsid w:val="00E0584F"/>
    <w:rsid w:val="00E05E66"/>
    <w:rsid w:val="00E06370"/>
    <w:rsid w:val="00E07975"/>
    <w:rsid w:val="00E07BF0"/>
    <w:rsid w:val="00E10486"/>
    <w:rsid w:val="00E10B44"/>
    <w:rsid w:val="00E10CAE"/>
    <w:rsid w:val="00E112CB"/>
    <w:rsid w:val="00E11C66"/>
    <w:rsid w:val="00E12C30"/>
    <w:rsid w:val="00E165FD"/>
    <w:rsid w:val="00E16805"/>
    <w:rsid w:val="00E16A91"/>
    <w:rsid w:val="00E16E34"/>
    <w:rsid w:val="00E171B8"/>
    <w:rsid w:val="00E17321"/>
    <w:rsid w:val="00E1739A"/>
    <w:rsid w:val="00E1751A"/>
    <w:rsid w:val="00E17627"/>
    <w:rsid w:val="00E17872"/>
    <w:rsid w:val="00E20561"/>
    <w:rsid w:val="00E20609"/>
    <w:rsid w:val="00E20653"/>
    <w:rsid w:val="00E206CC"/>
    <w:rsid w:val="00E20BA4"/>
    <w:rsid w:val="00E214F9"/>
    <w:rsid w:val="00E219D2"/>
    <w:rsid w:val="00E21E0D"/>
    <w:rsid w:val="00E223B2"/>
    <w:rsid w:val="00E22C55"/>
    <w:rsid w:val="00E2405A"/>
    <w:rsid w:val="00E24A07"/>
    <w:rsid w:val="00E24E62"/>
    <w:rsid w:val="00E253E8"/>
    <w:rsid w:val="00E261B7"/>
    <w:rsid w:val="00E268E6"/>
    <w:rsid w:val="00E26CFF"/>
    <w:rsid w:val="00E274A9"/>
    <w:rsid w:val="00E27DC6"/>
    <w:rsid w:val="00E300FC"/>
    <w:rsid w:val="00E307EF"/>
    <w:rsid w:val="00E3096B"/>
    <w:rsid w:val="00E30B68"/>
    <w:rsid w:val="00E30DE1"/>
    <w:rsid w:val="00E32EBE"/>
    <w:rsid w:val="00E3346A"/>
    <w:rsid w:val="00E33843"/>
    <w:rsid w:val="00E3388C"/>
    <w:rsid w:val="00E343B6"/>
    <w:rsid w:val="00E35613"/>
    <w:rsid w:val="00E36B5B"/>
    <w:rsid w:val="00E373E0"/>
    <w:rsid w:val="00E4150B"/>
    <w:rsid w:val="00E424F9"/>
    <w:rsid w:val="00E4312B"/>
    <w:rsid w:val="00E4367F"/>
    <w:rsid w:val="00E43BA8"/>
    <w:rsid w:val="00E445C1"/>
    <w:rsid w:val="00E448BE"/>
    <w:rsid w:val="00E4490B"/>
    <w:rsid w:val="00E44B61"/>
    <w:rsid w:val="00E44C05"/>
    <w:rsid w:val="00E4522A"/>
    <w:rsid w:val="00E47721"/>
    <w:rsid w:val="00E47FF7"/>
    <w:rsid w:val="00E509CB"/>
    <w:rsid w:val="00E51E7A"/>
    <w:rsid w:val="00E52C75"/>
    <w:rsid w:val="00E539BD"/>
    <w:rsid w:val="00E53C1F"/>
    <w:rsid w:val="00E53F00"/>
    <w:rsid w:val="00E54AF2"/>
    <w:rsid w:val="00E5622B"/>
    <w:rsid w:val="00E5626D"/>
    <w:rsid w:val="00E564B9"/>
    <w:rsid w:val="00E569A7"/>
    <w:rsid w:val="00E57513"/>
    <w:rsid w:val="00E60BDA"/>
    <w:rsid w:val="00E614DC"/>
    <w:rsid w:val="00E622A0"/>
    <w:rsid w:val="00E62912"/>
    <w:rsid w:val="00E62F11"/>
    <w:rsid w:val="00E63F64"/>
    <w:rsid w:val="00E6484D"/>
    <w:rsid w:val="00E64A8A"/>
    <w:rsid w:val="00E64E2E"/>
    <w:rsid w:val="00E64FF4"/>
    <w:rsid w:val="00E65AF8"/>
    <w:rsid w:val="00E66470"/>
    <w:rsid w:val="00E66CCF"/>
    <w:rsid w:val="00E66E53"/>
    <w:rsid w:val="00E67DF4"/>
    <w:rsid w:val="00E67F62"/>
    <w:rsid w:val="00E70144"/>
    <w:rsid w:val="00E70440"/>
    <w:rsid w:val="00E705B1"/>
    <w:rsid w:val="00E70BF5"/>
    <w:rsid w:val="00E70E7E"/>
    <w:rsid w:val="00E71574"/>
    <w:rsid w:val="00E71DC0"/>
    <w:rsid w:val="00E73648"/>
    <w:rsid w:val="00E73742"/>
    <w:rsid w:val="00E74695"/>
    <w:rsid w:val="00E77084"/>
    <w:rsid w:val="00E775ED"/>
    <w:rsid w:val="00E80061"/>
    <w:rsid w:val="00E81DD4"/>
    <w:rsid w:val="00E8309D"/>
    <w:rsid w:val="00E83364"/>
    <w:rsid w:val="00E835E9"/>
    <w:rsid w:val="00E8439F"/>
    <w:rsid w:val="00E8512E"/>
    <w:rsid w:val="00E854ED"/>
    <w:rsid w:val="00E863F3"/>
    <w:rsid w:val="00E87C75"/>
    <w:rsid w:val="00E9067A"/>
    <w:rsid w:val="00E910C8"/>
    <w:rsid w:val="00E914EA"/>
    <w:rsid w:val="00E91A82"/>
    <w:rsid w:val="00E930E0"/>
    <w:rsid w:val="00E9310C"/>
    <w:rsid w:val="00E935E2"/>
    <w:rsid w:val="00E93FBF"/>
    <w:rsid w:val="00E94062"/>
    <w:rsid w:val="00E9427B"/>
    <w:rsid w:val="00E94DFE"/>
    <w:rsid w:val="00E9637D"/>
    <w:rsid w:val="00E96E8E"/>
    <w:rsid w:val="00E971C8"/>
    <w:rsid w:val="00EA1D1C"/>
    <w:rsid w:val="00EA3156"/>
    <w:rsid w:val="00EA4441"/>
    <w:rsid w:val="00EA4E24"/>
    <w:rsid w:val="00EA53D7"/>
    <w:rsid w:val="00EA61D2"/>
    <w:rsid w:val="00EA687C"/>
    <w:rsid w:val="00EA695C"/>
    <w:rsid w:val="00EA7573"/>
    <w:rsid w:val="00EB2479"/>
    <w:rsid w:val="00EB2BF5"/>
    <w:rsid w:val="00EB3C1C"/>
    <w:rsid w:val="00EB4186"/>
    <w:rsid w:val="00EB4460"/>
    <w:rsid w:val="00EB4598"/>
    <w:rsid w:val="00EB5BF8"/>
    <w:rsid w:val="00EB6608"/>
    <w:rsid w:val="00EB7292"/>
    <w:rsid w:val="00EB7B1A"/>
    <w:rsid w:val="00EC0366"/>
    <w:rsid w:val="00EC13C9"/>
    <w:rsid w:val="00EC1480"/>
    <w:rsid w:val="00EC2762"/>
    <w:rsid w:val="00EC38D7"/>
    <w:rsid w:val="00EC3CA5"/>
    <w:rsid w:val="00EC3EE4"/>
    <w:rsid w:val="00EC6C32"/>
    <w:rsid w:val="00EC7008"/>
    <w:rsid w:val="00EC7681"/>
    <w:rsid w:val="00EC76FB"/>
    <w:rsid w:val="00EC7B96"/>
    <w:rsid w:val="00EC7F1E"/>
    <w:rsid w:val="00ED0587"/>
    <w:rsid w:val="00ED2664"/>
    <w:rsid w:val="00ED2F99"/>
    <w:rsid w:val="00ED2FF5"/>
    <w:rsid w:val="00ED32E6"/>
    <w:rsid w:val="00ED3E30"/>
    <w:rsid w:val="00ED4F33"/>
    <w:rsid w:val="00ED5C0C"/>
    <w:rsid w:val="00ED6837"/>
    <w:rsid w:val="00EE26D4"/>
    <w:rsid w:val="00EE2F3E"/>
    <w:rsid w:val="00EE34E3"/>
    <w:rsid w:val="00EE43F0"/>
    <w:rsid w:val="00EE494E"/>
    <w:rsid w:val="00EE4F7A"/>
    <w:rsid w:val="00EE51FA"/>
    <w:rsid w:val="00EE5B52"/>
    <w:rsid w:val="00EE5B9D"/>
    <w:rsid w:val="00EF24DE"/>
    <w:rsid w:val="00EF385F"/>
    <w:rsid w:val="00EF3D36"/>
    <w:rsid w:val="00EF460F"/>
    <w:rsid w:val="00EF47D9"/>
    <w:rsid w:val="00EF4980"/>
    <w:rsid w:val="00EF4A5D"/>
    <w:rsid w:val="00EF4D02"/>
    <w:rsid w:val="00EF5428"/>
    <w:rsid w:val="00EF6B1E"/>
    <w:rsid w:val="00EF778D"/>
    <w:rsid w:val="00EF7ABB"/>
    <w:rsid w:val="00EF7B22"/>
    <w:rsid w:val="00EF7FF8"/>
    <w:rsid w:val="00F003FE"/>
    <w:rsid w:val="00F00B34"/>
    <w:rsid w:val="00F00DF2"/>
    <w:rsid w:val="00F01B7C"/>
    <w:rsid w:val="00F01D7A"/>
    <w:rsid w:val="00F021F2"/>
    <w:rsid w:val="00F03330"/>
    <w:rsid w:val="00F03E86"/>
    <w:rsid w:val="00F04718"/>
    <w:rsid w:val="00F04BD9"/>
    <w:rsid w:val="00F0527F"/>
    <w:rsid w:val="00F05327"/>
    <w:rsid w:val="00F056CA"/>
    <w:rsid w:val="00F076A8"/>
    <w:rsid w:val="00F0794F"/>
    <w:rsid w:val="00F07CEB"/>
    <w:rsid w:val="00F07DFB"/>
    <w:rsid w:val="00F10243"/>
    <w:rsid w:val="00F10338"/>
    <w:rsid w:val="00F10390"/>
    <w:rsid w:val="00F1085A"/>
    <w:rsid w:val="00F10C86"/>
    <w:rsid w:val="00F1105F"/>
    <w:rsid w:val="00F116E5"/>
    <w:rsid w:val="00F13889"/>
    <w:rsid w:val="00F13A76"/>
    <w:rsid w:val="00F144F7"/>
    <w:rsid w:val="00F1512C"/>
    <w:rsid w:val="00F159B3"/>
    <w:rsid w:val="00F15F48"/>
    <w:rsid w:val="00F162CB"/>
    <w:rsid w:val="00F16400"/>
    <w:rsid w:val="00F16738"/>
    <w:rsid w:val="00F16C29"/>
    <w:rsid w:val="00F1731D"/>
    <w:rsid w:val="00F173AF"/>
    <w:rsid w:val="00F1742E"/>
    <w:rsid w:val="00F17610"/>
    <w:rsid w:val="00F20432"/>
    <w:rsid w:val="00F2047D"/>
    <w:rsid w:val="00F2105F"/>
    <w:rsid w:val="00F225E7"/>
    <w:rsid w:val="00F227EF"/>
    <w:rsid w:val="00F22C81"/>
    <w:rsid w:val="00F23158"/>
    <w:rsid w:val="00F23D25"/>
    <w:rsid w:val="00F25234"/>
    <w:rsid w:val="00F256A2"/>
    <w:rsid w:val="00F25C23"/>
    <w:rsid w:val="00F25F32"/>
    <w:rsid w:val="00F26779"/>
    <w:rsid w:val="00F267A1"/>
    <w:rsid w:val="00F26C71"/>
    <w:rsid w:val="00F26EDC"/>
    <w:rsid w:val="00F26F75"/>
    <w:rsid w:val="00F27CB8"/>
    <w:rsid w:val="00F27EF1"/>
    <w:rsid w:val="00F30077"/>
    <w:rsid w:val="00F3077E"/>
    <w:rsid w:val="00F30C38"/>
    <w:rsid w:val="00F31714"/>
    <w:rsid w:val="00F3240E"/>
    <w:rsid w:val="00F32FBD"/>
    <w:rsid w:val="00F3451E"/>
    <w:rsid w:val="00F35C43"/>
    <w:rsid w:val="00F35D0E"/>
    <w:rsid w:val="00F35ECC"/>
    <w:rsid w:val="00F360F5"/>
    <w:rsid w:val="00F363A1"/>
    <w:rsid w:val="00F363BC"/>
    <w:rsid w:val="00F40013"/>
    <w:rsid w:val="00F4011B"/>
    <w:rsid w:val="00F40BB0"/>
    <w:rsid w:val="00F418A0"/>
    <w:rsid w:val="00F4221A"/>
    <w:rsid w:val="00F42298"/>
    <w:rsid w:val="00F43A45"/>
    <w:rsid w:val="00F43EBE"/>
    <w:rsid w:val="00F4444C"/>
    <w:rsid w:val="00F44B73"/>
    <w:rsid w:val="00F4509E"/>
    <w:rsid w:val="00F455A8"/>
    <w:rsid w:val="00F458AB"/>
    <w:rsid w:val="00F4596C"/>
    <w:rsid w:val="00F45C1C"/>
    <w:rsid w:val="00F45C7D"/>
    <w:rsid w:val="00F4758C"/>
    <w:rsid w:val="00F4792E"/>
    <w:rsid w:val="00F50311"/>
    <w:rsid w:val="00F50516"/>
    <w:rsid w:val="00F50C15"/>
    <w:rsid w:val="00F518D6"/>
    <w:rsid w:val="00F51C4B"/>
    <w:rsid w:val="00F52039"/>
    <w:rsid w:val="00F526A2"/>
    <w:rsid w:val="00F52997"/>
    <w:rsid w:val="00F538AD"/>
    <w:rsid w:val="00F54BA3"/>
    <w:rsid w:val="00F54C7F"/>
    <w:rsid w:val="00F5532E"/>
    <w:rsid w:val="00F5595C"/>
    <w:rsid w:val="00F5659D"/>
    <w:rsid w:val="00F566A1"/>
    <w:rsid w:val="00F601AE"/>
    <w:rsid w:val="00F6038F"/>
    <w:rsid w:val="00F603F8"/>
    <w:rsid w:val="00F604AE"/>
    <w:rsid w:val="00F60D24"/>
    <w:rsid w:val="00F61ADC"/>
    <w:rsid w:val="00F61CEF"/>
    <w:rsid w:val="00F621DB"/>
    <w:rsid w:val="00F62351"/>
    <w:rsid w:val="00F6280F"/>
    <w:rsid w:val="00F63DD8"/>
    <w:rsid w:val="00F63DF8"/>
    <w:rsid w:val="00F6511F"/>
    <w:rsid w:val="00F6545B"/>
    <w:rsid w:val="00F66536"/>
    <w:rsid w:val="00F679F8"/>
    <w:rsid w:val="00F67CCC"/>
    <w:rsid w:val="00F67E31"/>
    <w:rsid w:val="00F67F8C"/>
    <w:rsid w:val="00F70335"/>
    <w:rsid w:val="00F71133"/>
    <w:rsid w:val="00F711B9"/>
    <w:rsid w:val="00F716CA"/>
    <w:rsid w:val="00F724F9"/>
    <w:rsid w:val="00F72ACD"/>
    <w:rsid w:val="00F73829"/>
    <w:rsid w:val="00F7390A"/>
    <w:rsid w:val="00F73A98"/>
    <w:rsid w:val="00F74DB0"/>
    <w:rsid w:val="00F75DC7"/>
    <w:rsid w:val="00F76DE6"/>
    <w:rsid w:val="00F77309"/>
    <w:rsid w:val="00F779A1"/>
    <w:rsid w:val="00F80341"/>
    <w:rsid w:val="00F81E6B"/>
    <w:rsid w:val="00F82CF3"/>
    <w:rsid w:val="00F84F9E"/>
    <w:rsid w:val="00F854E5"/>
    <w:rsid w:val="00F85642"/>
    <w:rsid w:val="00F876B9"/>
    <w:rsid w:val="00F90587"/>
    <w:rsid w:val="00F905B8"/>
    <w:rsid w:val="00F91E0D"/>
    <w:rsid w:val="00F91F6A"/>
    <w:rsid w:val="00F9348E"/>
    <w:rsid w:val="00F935B0"/>
    <w:rsid w:val="00F947D9"/>
    <w:rsid w:val="00F94BB7"/>
    <w:rsid w:val="00F94D95"/>
    <w:rsid w:val="00F950BF"/>
    <w:rsid w:val="00F9610C"/>
    <w:rsid w:val="00F961AF"/>
    <w:rsid w:val="00F96620"/>
    <w:rsid w:val="00F96A4B"/>
    <w:rsid w:val="00F971A2"/>
    <w:rsid w:val="00F979B4"/>
    <w:rsid w:val="00FA0085"/>
    <w:rsid w:val="00FA0F9C"/>
    <w:rsid w:val="00FA143B"/>
    <w:rsid w:val="00FA15DA"/>
    <w:rsid w:val="00FA19D6"/>
    <w:rsid w:val="00FA1EC6"/>
    <w:rsid w:val="00FA2001"/>
    <w:rsid w:val="00FA3814"/>
    <w:rsid w:val="00FA4525"/>
    <w:rsid w:val="00FA46CC"/>
    <w:rsid w:val="00FA56ED"/>
    <w:rsid w:val="00FA57D6"/>
    <w:rsid w:val="00FA727E"/>
    <w:rsid w:val="00FA74A7"/>
    <w:rsid w:val="00FB0082"/>
    <w:rsid w:val="00FB075E"/>
    <w:rsid w:val="00FB07A1"/>
    <w:rsid w:val="00FB0813"/>
    <w:rsid w:val="00FB0AC2"/>
    <w:rsid w:val="00FB158E"/>
    <w:rsid w:val="00FB2AD0"/>
    <w:rsid w:val="00FB2DDE"/>
    <w:rsid w:val="00FB3AFC"/>
    <w:rsid w:val="00FB4E59"/>
    <w:rsid w:val="00FB500D"/>
    <w:rsid w:val="00FB54BF"/>
    <w:rsid w:val="00FB63D6"/>
    <w:rsid w:val="00FB6ECB"/>
    <w:rsid w:val="00FB758C"/>
    <w:rsid w:val="00FB7619"/>
    <w:rsid w:val="00FB7B6D"/>
    <w:rsid w:val="00FB7C37"/>
    <w:rsid w:val="00FC0154"/>
    <w:rsid w:val="00FC060E"/>
    <w:rsid w:val="00FC185C"/>
    <w:rsid w:val="00FC1F7A"/>
    <w:rsid w:val="00FC21F4"/>
    <w:rsid w:val="00FC3A8F"/>
    <w:rsid w:val="00FC43BB"/>
    <w:rsid w:val="00FC5301"/>
    <w:rsid w:val="00FC5334"/>
    <w:rsid w:val="00FC536E"/>
    <w:rsid w:val="00FC585E"/>
    <w:rsid w:val="00FC5933"/>
    <w:rsid w:val="00FC5A1A"/>
    <w:rsid w:val="00FC5A2F"/>
    <w:rsid w:val="00FC5A45"/>
    <w:rsid w:val="00FC6E37"/>
    <w:rsid w:val="00FC7D4A"/>
    <w:rsid w:val="00FD071A"/>
    <w:rsid w:val="00FD0B7C"/>
    <w:rsid w:val="00FD11DD"/>
    <w:rsid w:val="00FD1D1C"/>
    <w:rsid w:val="00FD1D4B"/>
    <w:rsid w:val="00FD1EB7"/>
    <w:rsid w:val="00FD32D4"/>
    <w:rsid w:val="00FD3713"/>
    <w:rsid w:val="00FD4305"/>
    <w:rsid w:val="00FD4E9A"/>
    <w:rsid w:val="00FD629E"/>
    <w:rsid w:val="00FE0DA4"/>
    <w:rsid w:val="00FE13EF"/>
    <w:rsid w:val="00FE1527"/>
    <w:rsid w:val="00FE20C0"/>
    <w:rsid w:val="00FE2305"/>
    <w:rsid w:val="00FE295D"/>
    <w:rsid w:val="00FE2B65"/>
    <w:rsid w:val="00FE2B78"/>
    <w:rsid w:val="00FE2CF0"/>
    <w:rsid w:val="00FE3173"/>
    <w:rsid w:val="00FE3E9F"/>
    <w:rsid w:val="00FE43B9"/>
    <w:rsid w:val="00FE44F4"/>
    <w:rsid w:val="00FE4619"/>
    <w:rsid w:val="00FE47D3"/>
    <w:rsid w:val="00FE47FD"/>
    <w:rsid w:val="00FE4A00"/>
    <w:rsid w:val="00FE4C0E"/>
    <w:rsid w:val="00FE5CEA"/>
    <w:rsid w:val="00FE62FE"/>
    <w:rsid w:val="00FE6E2C"/>
    <w:rsid w:val="00FE7CB2"/>
    <w:rsid w:val="00FF018D"/>
    <w:rsid w:val="00FF113F"/>
    <w:rsid w:val="00FF1B94"/>
    <w:rsid w:val="00FF2953"/>
    <w:rsid w:val="00FF343D"/>
    <w:rsid w:val="00FF3FC4"/>
    <w:rsid w:val="00FF50A4"/>
    <w:rsid w:val="00FF54EB"/>
    <w:rsid w:val="00FF5C00"/>
    <w:rsid w:val="00FF61FA"/>
    <w:rsid w:val="00FF73E7"/>
    <w:rsid w:val="00FF7E33"/>
    <w:rsid w:val="0170F866"/>
    <w:rsid w:val="01967628"/>
    <w:rsid w:val="024E67FB"/>
    <w:rsid w:val="03300449"/>
    <w:rsid w:val="0357B0D3"/>
    <w:rsid w:val="040D9C1F"/>
    <w:rsid w:val="05216F1B"/>
    <w:rsid w:val="059D6EE8"/>
    <w:rsid w:val="0611F31D"/>
    <w:rsid w:val="072B4CA9"/>
    <w:rsid w:val="07327F4C"/>
    <w:rsid w:val="07544967"/>
    <w:rsid w:val="0911CF6B"/>
    <w:rsid w:val="09450B21"/>
    <w:rsid w:val="0A948FC5"/>
    <w:rsid w:val="0AD460BE"/>
    <w:rsid w:val="0B1726A9"/>
    <w:rsid w:val="0B3729BA"/>
    <w:rsid w:val="0B6B8097"/>
    <w:rsid w:val="0C6A1C6E"/>
    <w:rsid w:val="0C6B722F"/>
    <w:rsid w:val="0CEEF08B"/>
    <w:rsid w:val="0D3E674A"/>
    <w:rsid w:val="0E07E5CB"/>
    <w:rsid w:val="0E5A0FC4"/>
    <w:rsid w:val="0ED1F47D"/>
    <w:rsid w:val="0F0D4025"/>
    <w:rsid w:val="0F18C438"/>
    <w:rsid w:val="0F7D1667"/>
    <w:rsid w:val="100397B9"/>
    <w:rsid w:val="10B1C6A4"/>
    <w:rsid w:val="12187EBF"/>
    <w:rsid w:val="1341DA7C"/>
    <w:rsid w:val="135308BA"/>
    <w:rsid w:val="141C9D82"/>
    <w:rsid w:val="1433F00E"/>
    <w:rsid w:val="14811D24"/>
    <w:rsid w:val="15E78D7A"/>
    <w:rsid w:val="160DD70A"/>
    <w:rsid w:val="16BF73AD"/>
    <w:rsid w:val="16DD339C"/>
    <w:rsid w:val="17836DAA"/>
    <w:rsid w:val="181793CF"/>
    <w:rsid w:val="18FC0E0D"/>
    <w:rsid w:val="1A0E375F"/>
    <w:rsid w:val="1A700C32"/>
    <w:rsid w:val="1A77F639"/>
    <w:rsid w:val="1AA576C8"/>
    <w:rsid w:val="1C2E5BA3"/>
    <w:rsid w:val="1CCD00D2"/>
    <w:rsid w:val="1D0806E5"/>
    <w:rsid w:val="1D1A853C"/>
    <w:rsid w:val="213C5C51"/>
    <w:rsid w:val="21481EDE"/>
    <w:rsid w:val="22DE7DAF"/>
    <w:rsid w:val="22E8198F"/>
    <w:rsid w:val="23ED540F"/>
    <w:rsid w:val="242EF549"/>
    <w:rsid w:val="24A89CA4"/>
    <w:rsid w:val="2531875B"/>
    <w:rsid w:val="2637EFF9"/>
    <w:rsid w:val="267881D7"/>
    <w:rsid w:val="26E1E30B"/>
    <w:rsid w:val="2768EA2C"/>
    <w:rsid w:val="27742BDB"/>
    <w:rsid w:val="27A961DA"/>
    <w:rsid w:val="292C718E"/>
    <w:rsid w:val="2952B9CE"/>
    <w:rsid w:val="29C1CCD8"/>
    <w:rsid w:val="2A035A2C"/>
    <w:rsid w:val="2A4F6473"/>
    <w:rsid w:val="2AA58EF6"/>
    <w:rsid w:val="2AAF2214"/>
    <w:rsid w:val="2C05C3C0"/>
    <w:rsid w:val="2C50D080"/>
    <w:rsid w:val="2DC7E8BE"/>
    <w:rsid w:val="2DC85B18"/>
    <w:rsid w:val="2E8B9FFD"/>
    <w:rsid w:val="2F0DAB6F"/>
    <w:rsid w:val="2F403D09"/>
    <w:rsid w:val="30539BC2"/>
    <w:rsid w:val="30C5A4D1"/>
    <w:rsid w:val="314B98B3"/>
    <w:rsid w:val="3153C4B1"/>
    <w:rsid w:val="31CB4E3C"/>
    <w:rsid w:val="322225F7"/>
    <w:rsid w:val="32613592"/>
    <w:rsid w:val="32D6E276"/>
    <w:rsid w:val="35200DA6"/>
    <w:rsid w:val="3598242D"/>
    <w:rsid w:val="3620B5BB"/>
    <w:rsid w:val="36D1AEBA"/>
    <w:rsid w:val="380A5E9A"/>
    <w:rsid w:val="383BFA80"/>
    <w:rsid w:val="394894FE"/>
    <w:rsid w:val="398039D5"/>
    <w:rsid w:val="39A92FE6"/>
    <w:rsid w:val="39F6F24E"/>
    <w:rsid w:val="3A1672EB"/>
    <w:rsid w:val="3A34F7FC"/>
    <w:rsid w:val="3A4E9B5A"/>
    <w:rsid w:val="3A97D8F7"/>
    <w:rsid w:val="3B76FC60"/>
    <w:rsid w:val="3BE73C00"/>
    <w:rsid w:val="3C63A9BF"/>
    <w:rsid w:val="3C9E6599"/>
    <w:rsid w:val="3CBB8304"/>
    <w:rsid w:val="3D2D9BA4"/>
    <w:rsid w:val="3E37DEB4"/>
    <w:rsid w:val="3E6AB20B"/>
    <w:rsid w:val="3E99E910"/>
    <w:rsid w:val="3EDE0CDF"/>
    <w:rsid w:val="3F15EB33"/>
    <w:rsid w:val="3F1D076C"/>
    <w:rsid w:val="40D10A3F"/>
    <w:rsid w:val="40FD365E"/>
    <w:rsid w:val="41D32500"/>
    <w:rsid w:val="42499D03"/>
    <w:rsid w:val="43DF1DCD"/>
    <w:rsid w:val="448A8514"/>
    <w:rsid w:val="44C87828"/>
    <w:rsid w:val="4566DEBE"/>
    <w:rsid w:val="45B5085D"/>
    <w:rsid w:val="466FA10E"/>
    <w:rsid w:val="468729CA"/>
    <w:rsid w:val="46B91BA2"/>
    <w:rsid w:val="48870B08"/>
    <w:rsid w:val="4A8D332A"/>
    <w:rsid w:val="4C4E1B22"/>
    <w:rsid w:val="4D6AB84B"/>
    <w:rsid w:val="4DF5E904"/>
    <w:rsid w:val="4E0EBAFB"/>
    <w:rsid w:val="4E58AD78"/>
    <w:rsid w:val="4F095104"/>
    <w:rsid w:val="4FAB2233"/>
    <w:rsid w:val="4FB5AFB7"/>
    <w:rsid w:val="4FE14C3D"/>
    <w:rsid w:val="50F91B05"/>
    <w:rsid w:val="53A91090"/>
    <w:rsid w:val="54184E02"/>
    <w:rsid w:val="547D8117"/>
    <w:rsid w:val="54B5BDD0"/>
    <w:rsid w:val="54F682AA"/>
    <w:rsid w:val="554E7BBB"/>
    <w:rsid w:val="55DEA3A2"/>
    <w:rsid w:val="55F486C1"/>
    <w:rsid w:val="5718F0BF"/>
    <w:rsid w:val="574F91CE"/>
    <w:rsid w:val="57624BF2"/>
    <w:rsid w:val="57E416D3"/>
    <w:rsid w:val="57EC9ACA"/>
    <w:rsid w:val="583C3D78"/>
    <w:rsid w:val="58BCACCD"/>
    <w:rsid w:val="58C46738"/>
    <w:rsid w:val="59BB810E"/>
    <w:rsid w:val="5AAACA21"/>
    <w:rsid w:val="5BD89E84"/>
    <w:rsid w:val="5BDAA4AC"/>
    <w:rsid w:val="5DFDE1BD"/>
    <w:rsid w:val="5F0A8025"/>
    <w:rsid w:val="5F49395B"/>
    <w:rsid w:val="61119774"/>
    <w:rsid w:val="615B6BA5"/>
    <w:rsid w:val="61E3BDF2"/>
    <w:rsid w:val="63EF35AB"/>
    <w:rsid w:val="647886DA"/>
    <w:rsid w:val="6496F052"/>
    <w:rsid w:val="6558DA1C"/>
    <w:rsid w:val="657AA534"/>
    <w:rsid w:val="6697AA5B"/>
    <w:rsid w:val="67491FA8"/>
    <w:rsid w:val="684A179D"/>
    <w:rsid w:val="685288AB"/>
    <w:rsid w:val="6A2B306C"/>
    <w:rsid w:val="6A825F1F"/>
    <w:rsid w:val="6C473F6F"/>
    <w:rsid w:val="6D09F7BC"/>
    <w:rsid w:val="6D8E5C3F"/>
    <w:rsid w:val="6E93BE69"/>
    <w:rsid w:val="6EB6F775"/>
    <w:rsid w:val="6F9CF6AF"/>
    <w:rsid w:val="7015564B"/>
    <w:rsid w:val="7078409C"/>
    <w:rsid w:val="70ED428F"/>
    <w:rsid w:val="71107640"/>
    <w:rsid w:val="72650D95"/>
    <w:rsid w:val="72837871"/>
    <w:rsid w:val="72F31740"/>
    <w:rsid w:val="7331D734"/>
    <w:rsid w:val="733580E2"/>
    <w:rsid w:val="73C18BE9"/>
    <w:rsid w:val="742A4B41"/>
    <w:rsid w:val="757583E1"/>
    <w:rsid w:val="75CC944A"/>
    <w:rsid w:val="7627DA8A"/>
    <w:rsid w:val="763A2DBD"/>
    <w:rsid w:val="7642E465"/>
    <w:rsid w:val="771F9B23"/>
    <w:rsid w:val="7842F5C2"/>
    <w:rsid w:val="799A8104"/>
    <w:rsid w:val="79F58951"/>
    <w:rsid w:val="7A8685DD"/>
    <w:rsid w:val="7AB3FDF1"/>
    <w:rsid w:val="7AE3815F"/>
    <w:rsid w:val="7B65B4F2"/>
    <w:rsid w:val="7B7DC629"/>
    <w:rsid w:val="7D75A5A1"/>
    <w:rsid w:val="7E5721CD"/>
    <w:rsid w:val="7EB8B11A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EE401"/>
  <w15:chartTrackingRefBased/>
  <w15:docId w15:val="{6148051F-088C-4DF2-8152-EE6159B06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3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3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isaca.org/resources/cobit" TargetMode="External"/><Relationship Id="rId18" Type="http://schemas.openxmlformats.org/officeDocument/2006/relationships/hyperlink" Target="https://pesquisa.apps.tcu.gov.br/pesquisa/acordao-completo" TargetMode="External"/><Relationship Id="rId26" Type="http://schemas.openxmlformats.org/officeDocument/2006/relationships/hyperlink" Target="https://www.isaca.org/resources/cob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itil.com/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www.isaca.org/resources/cobit" TargetMode="External"/><Relationship Id="rId17" Type="http://schemas.openxmlformats.org/officeDocument/2006/relationships/hyperlink" Target="https://www.tcerj.tc.br/consulta-acordaos/app" TargetMode="External"/><Relationship Id="rId25" Type="http://schemas.openxmlformats.org/officeDocument/2006/relationships/hyperlink" Target="https://www.isaca.org/resources/cobit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isaca.org/resources/cobit" TargetMode="External"/><Relationship Id="rId20" Type="http://schemas.openxmlformats.org/officeDocument/2006/relationships/hyperlink" Target="https://www.isaca.org/resources/cobit" TargetMode="External"/><Relationship Id="rId29" Type="http://schemas.openxmlformats.org/officeDocument/2006/relationships/hyperlink" Target="https://www.isaca.org/resources/cobi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isaca.org/resources/cobit" TargetMode="External"/><Relationship Id="rId24" Type="http://schemas.openxmlformats.org/officeDocument/2006/relationships/hyperlink" Target="https://www.itil.com/" TargetMode="External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isaca.org/resources/cobit" TargetMode="External"/><Relationship Id="rId23" Type="http://schemas.openxmlformats.org/officeDocument/2006/relationships/hyperlink" Target="https://www.isaca.org/resources/cobit" TargetMode="External"/><Relationship Id="rId28" Type="http://schemas.openxmlformats.org/officeDocument/2006/relationships/hyperlink" Target="https://www.isaca.org/resources/cobit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itil.com/" TargetMode="External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isaca.org/resources/cobit" TargetMode="External"/><Relationship Id="rId22" Type="http://schemas.openxmlformats.org/officeDocument/2006/relationships/hyperlink" Target="https://www.itil.com/" TargetMode="External"/><Relationship Id="rId27" Type="http://schemas.openxmlformats.org/officeDocument/2006/relationships/hyperlink" Target="https://www.isaca.org/resources/cobit" TargetMode="External"/><Relationship Id="rId30" Type="http://schemas.openxmlformats.org/officeDocument/2006/relationships/hyperlink" Target="https://www.isaca.org/resources/cobit" TargetMode="Externa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</ds:schemaRefs>
</ds:datastoreItem>
</file>

<file path=customXml/itemProps2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460D41C-4D86-48AB-A742-517920900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5778</TotalTime>
  <Pages>7</Pages>
  <Words>3774</Words>
  <Characters>21667</Characters>
  <Application>Microsoft Office Word</Application>
  <DocSecurity>0</DocSecurity>
  <Lines>481</Lines>
  <Paragraphs>208</Paragraphs>
  <ScaleCrop>false</ScaleCrop>
  <Company/>
  <LinksUpToDate>false</LinksUpToDate>
  <CharactersWithSpaces>25233</CharactersWithSpaces>
  <SharedDoc>false</SharedDoc>
  <HLinks>
    <vt:vector size="120" baseType="variant">
      <vt:variant>
        <vt:i4>2031684</vt:i4>
      </vt:variant>
      <vt:variant>
        <vt:i4>57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54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51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48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45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42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39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2031684</vt:i4>
      </vt:variant>
      <vt:variant>
        <vt:i4>36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33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6160385</vt:i4>
      </vt:variant>
      <vt:variant>
        <vt:i4>30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2031684</vt:i4>
      </vt:variant>
      <vt:variant>
        <vt:i4>27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24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3014714</vt:i4>
      </vt:variant>
      <vt:variant>
        <vt:i4>21</vt:i4>
      </vt:variant>
      <vt:variant>
        <vt:i4>0</vt:i4>
      </vt:variant>
      <vt:variant>
        <vt:i4>5</vt:i4>
      </vt:variant>
      <vt:variant>
        <vt:lpwstr>https://pesquisa.apps.tcu.gov.br/pesquisa/acordao-completo</vt:lpwstr>
      </vt:variant>
      <vt:variant>
        <vt:lpwstr/>
      </vt:variant>
      <vt:variant>
        <vt:i4>1179728</vt:i4>
      </vt:variant>
      <vt:variant>
        <vt:i4>18</vt:i4>
      </vt:variant>
      <vt:variant>
        <vt:i4>0</vt:i4>
      </vt:variant>
      <vt:variant>
        <vt:i4>5</vt:i4>
      </vt:variant>
      <vt:variant>
        <vt:lpwstr>https://www.tcerj.tc.br/consulta-acordaos/app</vt:lpwstr>
      </vt:variant>
      <vt:variant>
        <vt:lpwstr/>
      </vt:variant>
      <vt:variant>
        <vt:i4>2031684</vt:i4>
      </vt:variant>
      <vt:variant>
        <vt:i4>15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12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9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6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3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0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João Paulo de Freitas Ramirez</cp:lastModifiedBy>
  <cp:revision>3056</cp:revision>
  <cp:lastPrinted>2025-04-16T22:34:00Z</cp:lastPrinted>
  <dcterms:created xsi:type="dcterms:W3CDTF">2023-08-10T03:29:00Z</dcterms:created>
  <dcterms:modified xsi:type="dcterms:W3CDTF">2026-05-06T18:47:00Z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