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ANEXO - Impacto da Avaliação de Evidências</w:t>
      </w:r>
    </w:p>
    <w:bookmarkStart w:id="17" w:name="objetivo"/>
    <w:p>
      <w:pPr>
        <w:pStyle w:val="Ttulo1"/>
      </w:pPr>
      <w:r>
        <w:t xml:space="preserve">1. Objetivo</w:t>
      </w:r>
    </w:p>
    <w:p>
      <w:pPr>
        <w:pStyle w:val="FirstParagraph"/>
      </w:pPr>
      <w:r>
        <w:t xml:space="preserve">Este anexo apresenta a análise do impacto da avaliação de evidências sobre as respostas ao questionário iGovTI 2026 e, consequentemente, sobre o cálculo do índice. A análise busca distinguir o resultado que seria obtido apenas com os ajustes iniciais de saneamento das respostas daquele efetivamente apurado após a verificação das evidências apresentadas pelos auditados.</w:t>
      </w:r>
    </w:p>
    <w:p>
      <w:pPr>
        <w:pStyle w:val="Corpodetexto"/>
      </w:pPr>
      <w:r>
        <w:t xml:space="preserve">A comparação é relevante porque o iGovTI 2026 não se limitou à autodeclaração dos respondentes. As respostas afirmativas que exigiam comprovação foram submetidas a avaliação de evidências, e as situações em que a evidência não confirmou a prática declarada foram ajustadas na base de respostas. Assim, o cenário pós-evidência reflete, em maior medida, práticas demonstradas documentalmente, e não apenas práticas declaradas.</w:t>
      </w:r>
    </w:p>
    <w:bookmarkEnd w:id="17"/>
    <w:bookmarkStart w:id="18" w:name="metodologia-da-comparação"/>
    <w:p>
      <w:pPr>
        <w:pStyle w:val="Ttulo1"/>
      </w:pPr>
      <w:r>
        <w:t xml:space="preserve">2. Metodologia da comparação</w:t>
      </w:r>
    </w:p>
    <w:p>
      <w:pPr>
        <w:pStyle w:val="FirstParagraph"/>
      </w:pPr>
      <w:r>
        <w:t xml:space="preserve">Foram considerados dois cenários:</w:t>
      </w:r>
    </w:p>
    <w:p>
      <w:pPr>
        <w:pStyle w:val="Compact"/>
        <w:numPr>
          <w:ilvl w:val="0"/>
          <w:numId w:val="1001"/>
        </w:numPr>
      </w:pPr>
      <w:r>
        <w:rPr>
          <w:b/>
          <w:bCs/>
        </w:rPr>
        <w:t xml:space="preserve">Cenário com ajuste inicial</w:t>
      </w:r>
      <w:r>
        <w:t xml:space="preserve">: base de respostas brutas do LimeSurvey, com aplicação exclusiva do arquivo</w:t>
      </w:r>
      <w:r>
        <w:t xml:space="preserve"> </w:t>
      </w:r>
      <w:r>
        <w:rPr>
          <w:rStyle w:val="VerbatimChar"/>
        </w:rPr>
        <w:t xml:space="preserve">ajustes_respostas_questionario_inicial.xlsx</w:t>
      </w:r>
      <w:r>
        <w:t xml:space="preserve">;</w:t>
      </w:r>
    </w:p>
    <w:p>
      <w:pPr>
        <w:pStyle w:val="Compact"/>
        <w:numPr>
          <w:ilvl w:val="0"/>
          <w:numId w:val="1001"/>
        </w:numPr>
      </w:pPr>
      <w:r>
        <w:rPr>
          <w:b/>
          <w:bCs/>
        </w:rPr>
        <w:t xml:space="preserve">Cenário pós-evidência</w:t>
      </w:r>
      <w:r>
        <w:t xml:space="preserve">: resultado intermediário do iGovTI 2026, calculado após os ajustes decorrentes da avaliação de evidências e antes dos ajustes provenientes dos comentários do gestor.</w:t>
      </w:r>
    </w:p>
    <w:p>
      <w:pPr>
        <w:pStyle w:val="FirstParagraph"/>
      </w:pPr>
      <w:r>
        <w:t xml:space="preserve">O primeiro cenário foi gerado a partir da aplicação do ajuste inicial sobre a base bruta de respostas. Em seguida, o iGovTI foi recalculado com a mesma metodologia aplicada ao cenário pós-evidência. Como validação, aplicou-se também o ajuste pós-evidência sobre o cenário inicial e recalculou-se o índice; o resultado reproduziu exatamente o cenário pós-evidência, tanto nos valores dos indicadores quanto nos níveis de maturidade.</w:t>
      </w:r>
    </w:p>
    <w:p>
      <w:pPr>
        <w:pStyle w:val="Corpodetexto"/>
      </w:pPr>
      <w:r>
        <w:t xml:space="preserve">Os valores apresentados neste anexo utilizam a diferença</w:t>
      </w:r>
      <w:r>
        <w:t xml:space="preserve"> </w:t>
      </w:r>
      <w:r>
        <w:rPr>
          <w:b/>
          <w:bCs/>
        </w:rPr>
        <w:t xml:space="preserve">resultado pós-evidência menos resultado com ajuste inicial</w:t>
      </w:r>
      <w:r>
        <w:t xml:space="preserve">. Portanto, diferenças negativas indicam redução de pontuação após a avaliação das evidências.</w:t>
      </w:r>
    </w:p>
    <w:p>
      <w:pPr>
        <w:pStyle w:val="Corpodetexto"/>
      </w:pPr>
      <w:r>
        <w:t xml:space="preserve">Para avaliar o efeito da avaliação de evidências também sobre os achados e situações inconformes, a rotina de execução dos procedimentos de auditoria foi executada em dois cenários. No primeiro, utilizou-se a base de respostas brutas com os ajustes iniciais e apenas a fonte de informação do questionário. Nesse cenário, as ações de verificação originalmente dependentes do painel de avaliação de evidências foram neutralizadas em mapa temporário, utilizado apenas para a execução comparativa, para que não produzissem inconformidade sem a respectiva fonte probatória. No segundo, utilizou-se a base pós-evidência, com a fonte de respostas ajustadas e o painel consolidado de avaliação de evidências. Desse modo, a comparação reflete o acréscimo produzido pela etapa de avaliação de evidências na execução dos procedimentos de auditoria.</w:t>
      </w:r>
    </w:p>
    <w:p>
      <w:pPr>
        <w:pStyle w:val="TableCaption"/>
      </w:pPr>
      <w:r>
        <w:t xml:space="preserve">Síntese da base comparada {#tbl:impacto_evidencias_base#}</w:t>
      </w:r>
    </w:p>
    <w:tbl>
      <w:tblPr>
        <w:tblStyle w:val="Table"/>
        <w:tblW w:type="auto" w:w="0"/>
        <w:tblLook w:firstRow="1" w:lastRow="0" w:firstColumn="0" w:lastColumn="0" w:noHBand="0" w:noVBand="0" w:val="0020"/>
        <w:tblCaption w:val="Síntese da base comparada {#tbl:impacto_evidencias_base#}"/>
      </w:tblPr>
      <w:tblGrid>
        <w:gridCol w:w="3960"/>
        <w:gridCol w:w="3960"/>
      </w:tblGrid>
      <w:tr>
        <w:trPr>
          <w:tblHeader w:val="on"/>
        </w:trPr>
        <w:tc>
          <w:tcPr/>
          <w:p>
            <w:pPr>
              <w:pStyle w:val="Compact"/>
            </w:pPr>
            <w:r>
              <w:t xml:space="preserve">Elemento analisado</w:t>
            </w:r>
          </w:p>
        </w:tc>
        <w:tc>
          <w:tcPr/>
          <w:p>
            <w:pPr>
              <w:pStyle w:val="Compact"/>
              <w:jc w:val="right"/>
            </w:pPr>
            <w:r>
              <w:t xml:space="preserve">Resultado</w:t>
            </w:r>
          </w:p>
        </w:tc>
      </w:tr>
      <w:tr>
        <w:tc>
          <w:tcPr/>
          <w:p>
            <w:pPr>
              <w:pStyle w:val="Compact"/>
            </w:pPr>
            <w:r>
              <w:t xml:space="preserve">Organizações no cenário com ajuste inicial</w:t>
            </w:r>
          </w:p>
        </w:tc>
        <w:tc>
          <w:tcPr/>
          <w:p>
            <w:pPr>
              <w:pStyle w:val="Compact"/>
              <w:jc w:val="right"/>
            </w:pPr>
            <w:r>
              <w:t xml:space="preserve">113</w:t>
            </w:r>
          </w:p>
        </w:tc>
      </w:tr>
      <w:tr>
        <w:tc>
          <w:tcPr/>
          <w:p>
            <w:pPr>
              <w:pStyle w:val="Compact"/>
            </w:pPr>
            <w:r>
              <w:t xml:space="preserve">Organizações no cenário pós-evidência</w:t>
            </w:r>
          </w:p>
        </w:tc>
        <w:tc>
          <w:tcPr/>
          <w:p>
            <w:pPr>
              <w:pStyle w:val="Compact"/>
              <w:jc w:val="right"/>
            </w:pPr>
            <w:r>
              <w:t xml:space="preserve">113</w:t>
            </w:r>
          </w:p>
        </w:tc>
      </w:tr>
      <w:tr>
        <w:tc>
          <w:tcPr/>
          <w:p>
            <w:pPr>
              <w:pStyle w:val="Compact"/>
            </w:pPr>
            <w:r>
              <w:t xml:space="preserve">Registros de não conformidade no arquivo pós-evidência</w:t>
            </w:r>
          </w:p>
        </w:tc>
        <w:tc>
          <w:tcPr/>
          <w:p>
            <w:pPr>
              <w:pStyle w:val="Compact"/>
              <w:jc w:val="right"/>
            </w:pPr>
            <w:r>
              <w:t xml:space="preserve">1.966</w:t>
            </w:r>
          </w:p>
        </w:tc>
      </w:tr>
      <w:tr>
        <w:tc>
          <w:tcPr/>
          <w:p>
            <w:pPr>
              <w:pStyle w:val="Compact"/>
            </w:pPr>
            <w:r>
              <w:t xml:space="preserve">Células efetivamente alteradas pelo ajuste pós-evidência</w:t>
            </w:r>
          </w:p>
        </w:tc>
        <w:tc>
          <w:tcPr/>
          <w:p>
            <w:pPr>
              <w:pStyle w:val="Compact"/>
              <w:jc w:val="right"/>
            </w:pPr>
            <w:r>
              <w:t xml:space="preserve">1.964</w:t>
            </w:r>
          </w:p>
        </w:tc>
      </w:tr>
      <w:tr>
        <w:tc>
          <w:tcPr/>
          <w:p>
            <w:pPr>
              <w:pStyle w:val="Compact"/>
            </w:pPr>
            <w:r>
              <w:t xml:space="preserve">Organizações com pelo menos uma célula alterada</w:t>
            </w:r>
          </w:p>
        </w:tc>
        <w:tc>
          <w:tcPr/>
          <w:p>
            <w:pPr>
              <w:pStyle w:val="Compact"/>
              <w:jc w:val="right"/>
            </w:pPr>
            <w:r>
              <w:t xml:space="preserve">103</w:t>
            </w:r>
          </w:p>
        </w:tc>
      </w:tr>
      <w:tr>
        <w:tc>
          <w:tcPr/>
          <w:p>
            <w:pPr>
              <w:pStyle w:val="Compact"/>
            </w:pPr>
            <w:r>
              <w:t xml:space="preserve">Organizações com redução no iGovTI</w:t>
            </w:r>
          </w:p>
        </w:tc>
        <w:tc>
          <w:tcPr/>
          <w:p>
            <w:pPr>
              <w:pStyle w:val="Compact"/>
              <w:jc w:val="right"/>
            </w:pPr>
            <w:r>
              <w:t xml:space="preserve">90</w:t>
            </w:r>
          </w:p>
        </w:tc>
      </w:tr>
      <w:tr>
        <w:tc>
          <w:tcPr/>
          <w:p>
            <w:pPr>
              <w:pStyle w:val="Compact"/>
            </w:pPr>
            <w:r>
              <w:t xml:space="preserve">Organizações sem variação no iGovTI</w:t>
            </w:r>
          </w:p>
        </w:tc>
        <w:tc>
          <w:tcPr/>
          <w:p>
            <w:pPr>
              <w:pStyle w:val="Compact"/>
              <w:jc w:val="right"/>
            </w:pPr>
            <w:r>
              <w:t xml:space="preserve">23</w:t>
            </w:r>
          </w:p>
        </w:tc>
      </w:tr>
      <w:tr>
        <w:tc>
          <w:tcPr/>
          <w:p>
            <w:pPr>
              <w:pStyle w:val="Compact"/>
            </w:pPr>
            <w:r>
              <w:t xml:space="preserve">Organizações com aumento no iGovTI</w:t>
            </w:r>
          </w:p>
        </w:tc>
        <w:tc>
          <w:tcPr/>
          <w:p>
            <w:pPr>
              <w:pStyle w:val="Compact"/>
              <w:jc w:val="right"/>
            </w:pPr>
            <w:r>
              <w:t xml:space="preserve">0</w:t>
            </w:r>
          </w:p>
        </w:tc>
      </w:tr>
    </w:tbl>
    <w:p>
      <w:pPr>
        <w:pStyle w:val="FonteImagem"/>
      </w:pPr>
      <w:r>
        <w:t xml:space="preserve">(Fonte: elaboração própria, com base nas respostas ao questionário iGovTI 2026 e nos ajustes decorrentes da avaliação de evidências)</w:t>
      </w:r>
    </w:p>
    <w:bookmarkEnd w:id="18"/>
    <w:bookmarkStart w:id="19" w:name="impacto-agregado-no-igovti"/>
    <w:p>
      <w:pPr>
        <w:pStyle w:val="Ttulo1"/>
      </w:pPr>
      <w:r>
        <w:t xml:space="preserve">3. Impacto agregado no iGovTI</w:t>
      </w:r>
    </w:p>
    <w:p>
      <w:pPr>
        <w:pStyle w:val="FirstParagraph"/>
      </w:pPr>
      <w:r>
        <w:t xml:space="preserve">A avaliação de evidências teve impacto material sobre o resultado agregado do iGovTI 2026. A média do índice passou de</w:t>
      </w:r>
      <w:r>
        <w:t xml:space="preserve"> </w:t>
      </w:r>
      <w:r>
        <w:rPr>
          <w:b/>
          <w:bCs/>
        </w:rPr>
        <w:t xml:space="preserve">0,235</w:t>
      </w:r>
      <w:r>
        <w:t xml:space="preserve">, no cenário com apenas o ajuste inicial, para</w:t>
      </w:r>
      <w:r>
        <w:t xml:space="preserve"> </w:t>
      </w:r>
      <w:r>
        <w:rPr>
          <w:b/>
          <w:bCs/>
        </w:rPr>
        <w:t xml:space="preserve">0,184</w:t>
      </w:r>
      <w:r>
        <w:t xml:space="preserve">, no cenário pós-evidência, redução média de</w:t>
      </w:r>
      <w:r>
        <w:t xml:space="preserve"> </w:t>
      </w:r>
      <w:r>
        <w:rPr>
          <w:b/>
          <w:bCs/>
        </w:rPr>
        <w:t xml:space="preserve">0,051 ponto</w:t>
      </w:r>
      <w:r>
        <w:t xml:space="preserve">. A mediana passou de</w:t>
      </w:r>
      <w:r>
        <w:t xml:space="preserve"> </w:t>
      </w:r>
      <w:r>
        <w:rPr>
          <w:b/>
          <w:bCs/>
        </w:rPr>
        <w:t xml:space="preserve">0,175</w:t>
      </w:r>
      <w:r>
        <w:t xml:space="preserve"> </w:t>
      </w:r>
      <w:r>
        <w:t xml:space="preserve">para</w:t>
      </w:r>
      <w:r>
        <w:t xml:space="preserve"> </w:t>
      </w:r>
      <w:r>
        <w:rPr>
          <w:b/>
          <w:bCs/>
        </w:rPr>
        <w:t xml:space="preserve">0,134</w:t>
      </w:r>
      <w:r>
        <w:t xml:space="preserve">, redução de</w:t>
      </w:r>
      <w:r>
        <w:t xml:space="preserve"> </w:t>
      </w:r>
      <w:r>
        <w:rPr>
          <w:b/>
          <w:bCs/>
        </w:rPr>
        <w:t xml:space="preserve">0,041 ponto</w:t>
      </w:r>
      <w:r>
        <w:t xml:space="preserve">.</w:t>
      </w:r>
    </w:p>
    <w:p>
      <w:pPr>
        <w:pStyle w:val="Corpodetexto"/>
      </w:pPr>
      <w:r>
        <w:t xml:space="preserve">Esse comportamento indica que a avaliação de evidências não produziu efeito pontual restrito a poucos auditados. Ao contrário, houve redução no iGovTI de</w:t>
      </w:r>
      <w:r>
        <w:t xml:space="preserve"> </w:t>
      </w:r>
      <w:r>
        <w:rPr>
          <w:b/>
          <w:bCs/>
        </w:rPr>
        <w:t xml:space="preserve">90 das 113 organizações</w:t>
      </w:r>
      <w:r>
        <w:t xml:space="preserve">, equivalentes a</w:t>
      </w:r>
      <w:r>
        <w:t xml:space="preserve"> </w:t>
      </w:r>
      <w:r>
        <w:rPr>
          <w:b/>
          <w:bCs/>
        </w:rPr>
        <w:t xml:space="preserve">79,6%</w:t>
      </w:r>
      <w:r>
        <w:t xml:space="preserve"> </w:t>
      </w:r>
      <w:r>
        <w:t xml:space="preserve">do universo avaliado. Nenhuma organização apresentou aumento no índice em razão dos ajustes pós-evidência.</w:t>
      </w:r>
    </w:p>
    <w:p>
      <w:pPr>
        <w:pStyle w:val="TableCaption"/>
      </w:pPr>
      <w:r>
        <w:t xml:space="preserve">Impacto agregado por indicador {#tbl:impacto_evidencias_indicadores#}</w:t>
      </w:r>
    </w:p>
    <w:tbl>
      <w:tblPr>
        <w:tblStyle w:val="Table"/>
        <w:tblW w:type="pct" w:w="5000"/>
        <w:tblLayout w:type="fixed"/>
        <w:tblLook w:firstRow="1" w:lastRow="0" w:firstColumn="0" w:lastColumn="0" w:noHBand="0" w:noVBand="0" w:val="0020"/>
        <w:tblCaption w:val="Impacto agregado por indicador {#tbl:impacto_evidencias_indicadores#}"/>
      </w:tblPr>
      <w:tblGrid>
        <w:gridCol w:w="1250"/>
        <w:gridCol w:w="1667"/>
        <w:gridCol w:w="1667"/>
        <w:gridCol w:w="1667"/>
        <w:gridCol w:w="1667"/>
      </w:tblGrid>
      <w:tr>
        <w:trPr>
          <w:tblHeader w:val="on"/>
        </w:trPr>
        <w:tc>
          <w:tcPr/>
          <w:p>
            <w:pPr>
              <w:pStyle w:val="Compact"/>
            </w:pPr>
            <w:r>
              <w:t xml:space="preserve">Indicador</w:t>
            </w:r>
          </w:p>
        </w:tc>
        <w:tc>
          <w:tcPr/>
          <w:p>
            <w:pPr>
              <w:pStyle w:val="Compact"/>
              <w:jc w:val="right"/>
            </w:pPr>
            <w:r>
              <w:t xml:space="preserve">Média com ajuste inicial</w:t>
            </w:r>
          </w:p>
        </w:tc>
        <w:tc>
          <w:tcPr/>
          <w:p>
            <w:pPr>
              <w:pStyle w:val="Compact"/>
              <w:jc w:val="right"/>
            </w:pPr>
            <w:r>
              <w:t xml:space="preserve">Média pós-evidência</w:t>
            </w:r>
          </w:p>
        </w:tc>
        <w:tc>
          <w:tcPr/>
          <w:p>
            <w:pPr>
              <w:pStyle w:val="Compact"/>
              <w:jc w:val="right"/>
            </w:pPr>
            <w:r>
              <w:t xml:space="preserve">Redução média</w:t>
            </w:r>
          </w:p>
        </w:tc>
        <w:tc>
          <w:tcPr/>
          <w:p>
            <w:pPr>
              <w:pStyle w:val="Compact"/>
              <w:jc w:val="right"/>
            </w:pPr>
            <w:r>
              <w:t xml:space="preserve">Organizações com redução</w:t>
            </w:r>
          </w:p>
        </w:tc>
      </w:tr>
      <w:tr>
        <w:tc>
          <w:tcPr/>
          <w:p>
            <w:pPr>
              <w:pStyle w:val="Compact"/>
            </w:pPr>
            <w:r>
              <w:t xml:space="preserve">iGovTI</w:t>
            </w:r>
          </w:p>
        </w:tc>
        <w:tc>
          <w:tcPr/>
          <w:p>
            <w:pPr>
              <w:pStyle w:val="Compact"/>
              <w:jc w:val="right"/>
            </w:pPr>
            <w:r>
              <w:t xml:space="preserve">0,235</w:t>
            </w:r>
          </w:p>
        </w:tc>
        <w:tc>
          <w:tcPr/>
          <w:p>
            <w:pPr>
              <w:pStyle w:val="Compact"/>
              <w:jc w:val="right"/>
            </w:pPr>
            <w:r>
              <w:t xml:space="preserve">0,184</w:t>
            </w:r>
          </w:p>
        </w:tc>
        <w:tc>
          <w:tcPr/>
          <w:p>
            <w:pPr>
              <w:pStyle w:val="Compact"/>
              <w:jc w:val="right"/>
            </w:pPr>
            <w:r>
              <w:t xml:space="preserve">-0,051</w:t>
            </w:r>
          </w:p>
        </w:tc>
        <w:tc>
          <w:tcPr/>
          <w:p>
            <w:pPr>
              <w:pStyle w:val="Compact"/>
              <w:jc w:val="right"/>
            </w:pPr>
            <w:r>
              <w:t xml:space="preserve">90</w:t>
            </w:r>
          </w:p>
        </w:tc>
      </w:tr>
      <w:tr>
        <w:tc>
          <w:tcPr/>
          <w:p>
            <w:pPr>
              <w:pStyle w:val="Compact"/>
            </w:pPr>
            <w:r>
              <w:t xml:space="preserve">Governança de TI</w:t>
            </w:r>
          </w:p>
        </w:tc>
        <w:tc>
          <w:tcPr/>
          <w:p>
            <w:pPr>
              <w:pStyle w:val="Compact"/>
              <w:jc w:val="right"/>
            </w:pPr>
            <w:r>
              <w:t xml:space="preserve">0,208</w:t>
            </w:r>
          </w:p>
        </w:tc>
        <w:tc>
          <w:tcPr/>
          <w:p>
            <w:pPr>
              <w:pStyle w:val="Compact"/>
              <w:jc w:val="right"/>
            </w:pPr>
            <w:r>
              <w:t xml:space="preserve">0,161</w:t>
            </w:r>
          </w:p>
        </w:tc>
        <w:tc>
          <w:tcPr/>
          <w:p>
            <w:pPr>
              <w:pStyle w:val="Compact"/>
              <w:jc w:val="right"/>
            </w:pPr>
            <w:r>
              <w:t xml:space="preserve">-0,047</w:t>
            </w:r>
          </w:p>
        </w:tc>
        <w:tc>
          <w:tcPr/>
          <w:p>
            <w:pPr>
              <w:pStyle w:val="Compact"/>
              <w:jc w:val="right"/>
            </w:pPr>
            <w:r>
              <w:t xml:space="preserve">42</w:t>
            </w:r>
          </w:p>
        </w:tc>
      </w:tr>
      <w:tr>
        <w:tc>
          <w:tcPr/>
          <w:p>
            <w:pPr>
              <w:pStyle w:val="Compact"/>
            </w:pPr>
            <w:r>
              <w:t xml:space="preserve">Gestão de TI</w:t>
            </w:r>
          </w:p>
        </w:tc>
        <w:tc>
          <w:tcPr/>
          <w:p>
            <w:pPr>
              <w:pStyle w:val="Compact"/>
              <w:jc w:val="right"/>
            </w:pPr>
            <w:r>
              <w:t xml:space="preserve">0,259</w:t>
            </w:r>
          </w:p>
        </w:tc>
        <w:tc>
          <w:tcPr/>
          <w:p>
            <w:pPr>
              <w:pStyle w:val="Compact"/>
              <w:jc w:val="right"/>
            </w:pPr>
            <w:r>
              <w:t xml:space="preserve">0,205</w:t>
            </w:r>
          </w:p>
        </w:tc>
        <w:tc>
          <w:tcPr/>
          <w:p>
            <w:pPr>
              <w:pStyle w:val="Compact"/>
              <w:jc w:val="right"/>
            </w:pPr>
            <w:r>
              <w:t xml:space="preserve">-0,054</w:t>
            </w:r>
          </w:p>
        </w:tc>
        <w:tc>
          <w:tcPr/>
          <w:p>
            <w:pPr>
              <w:pStyle w:val="Compact"/>
              <w:jc w:val="right"/>
            </w:pPr>
            <w:r>
              <w:t xml:space="preserve">87</w:t>
            </w:r>
          </w:p>
        </w:tc>
      </w:tr>
      <w:tr>
        <w:tc>
          <w:tcPr/>
          <w:p>
            <w:pPr>
              <w:pStyle w:val="Compact"/>
            </w:pPr>
            <w:r>
              <w:t xml:space="preserve">Planejamento de TI</w:t>
            </w:r>
          </w:p>
        </w:tc>
        <w:tc>
          <w:tcPr/>
          <w:p>
            <w:pPr>
              <w:pStyle w:val="Compact"/>
              <w:jc w:val="right"/>
            </w:pPr>
            <w:r>
              <w:t xml:space="preserve">0,381</w:t>
            </w:r>
          </w:p>
        </w:tc>
        <w:tc>
          <w:tcPr/>
          <w:p>
            <w:pPr>
              <w:pStyle w:val="Compact"/>
              <w:jc w:val="right"/>
            </w:pPr>
            <w:r>
              <w:t xml:space="preserve">0,291</w:t>
            </w:r>
          </w:p>
        </w:tc>
        <w:tc>
          <w:tcPr/>
          <w:p>
            <w:pPr>
              <w:pStyle w:val="Compact"/>
              <w:jc w:val="right"/>
            </w:pPr>
            <w:r>
              <w:t xml:space="preserve">-0,091</w:t>
            </w:r>
          </w:p>
        </w:tc>
        <w:tc>
          <w:tcPr/>
          <w:p>
            <w:pPr>
              <w:pStyle w:val="Compact"/>
              <w:jc w:val="right"/>
            </w:pPr>
            <w:r>
              <w:t xml:space="preserve">44</w:t>
            </w:r>
          </w:p>
        </w:tc>
      </w:tr>
      <w:tr>
        <w:tc>
          <w:tcPr/>
          <w:p>
            <w:pPr>
              <w:pStyle w:val="Compact"/>
            </w:pPr>
            <w:r>
              <w:t xml:space="preserve">Serviços de TI</w:t>
            </w:r>
          </w:p>
        </w:tc>
        <w:tc>
          <w:tcPr/>
          <w:p>
            <w:pPr>
              <w:pStyle w:val="Compact"/>
              <w:jc w:val="right"/>
            </w:pPr>
            <w:r>
              <w:t xml:space="preserve">0,234</w:t>
            </w:r>
          </w:p>
        </w:tc>
        <w:tc>
          <w:tcPr/>
          <w:p>
            <w:pPr>
              <w:pStyle w:val="Compact"/>
              <w:jc w:val="right"/>
            </w:pPr>
            <w:r>
              <w:t xml:space="preserve">0,140</w:t>
            </w:r>
          </w:p>
        </w:tc>
        <w:tc>
          <w:tcPr/>
          <w:p>
            <w:pPr>
              <w:pStyle w:val="Compact"/>
              <w:jc w:val="right"/>
            </w:pPr>
            <w:r>
              <w:t xml:space="preserve">-0,094</w:t>
            </w:r>
          </w:p>
        </w:tc>
        <w:tc>
          <w:tcPr/>
          <w:p>
            <w:pPr>
              <w:pStyle w:val="Compact"/>
              <w:jc w:val="right"/>
            </w:pPr>
            <w:r>
              <w:t xml:space="preserve">53</w:t>
            </w:r>
          </w:p>
        </w:tc>
      </w:tr>
      <w:tr>
        <w:tc>
          <w:tcPr/>
          <w:p>
            <w:pPr>
              <w:pStyle w:val="Compact"/>
            </w:pPr>
            <w:r>
              <w:t xml:space="preserve">Gestão de riscos de TI e segurança da informação</w:t>
            </w:r>
          </w:p>
        </w:tc>
        <w:tc>
          <w:tcPr/>
          <w:p>
            <w:pPr>
              <w:pStyle w:val="Compact"/>
              <w:jc w:val="right"/>
            </w:pPr>
            <w:r>
              <w:t xml:space="preserve">0,187</w:t>
            </w:r>
          </w:p>
        </w:tc>
        <w:tc>
          <w:tcPr/>
          <w:p>
            <w:pPr>
              <w:pStyle w:val="Compact"/>
              <w:jc w:val="right"/>
            </w:pPr>
            <w:r>
              <w:t xml:space="preserve">0,165</w:t>
            </w:r>
          </w:p>
        </w:tc>
        <w:tc>
          <w:tcPr/>
          <w:p>
            <w:pPr>
              <w:pStyle w:val="Compact"/>
              <w:jc w:val="right"/>
            </w:pPr>
            <w:r>
              <w:t xml:space="preserve">-0,022</w:t>
            </w:r>
          </w:p>
        </w:tc>
        <w:tc>
          <w:tcPr/>
          <w:p>
            <w:pPr>
              <w:pStyle w:val="Compact"/>
              <w:jc w:val="right"/>
            </w:pPr>
            <w:r>
              <w:t xml:space="preserve">10</w:t>
            </w:r>
          </w:p>
        </w:tc>
      </w:tr>
      <w:tr>
        <w:tc>
          <w:tcPr/>
          <w:p>
            <w:pPr>
              <w:pStyle w:val="Compact"/>
            </w:pPr>
            <w:r>
              <w:t xml:space="preserve">Estrutura de segurança da informação</w:t>
            </w:r>
          </w:p>
        </w:tc>
        <w:tc>
          <w:tcPr/>
          <w:p>
            <w:pPr>
              <w:pStyle w:val="Compact"/>
              <w:jc w:val="right"/>
            </w:pPr>
            <w:r>
              <w:t xml:space="preserve">0,275</w:t>
            </w:r>
          </w:p>
        </w:tc>
        <w:tc>
          <w:tcPr/>
          <w:p>
            <w:pPr>
              <w:pStyle w:val="Compact"/>
              <w:jc w:val="right"/>
            </w:pPr>
            <w:r>
              <w:t xml:space="preserve">0,258</w:t>
            </w:r>
          </w:p>
        </w:tc>
        <w:tc>
          <w:tcPr/>
          <w:p>
            <w:pPr>
              <w:pStyle w:val="Compact"/>
              <w:jc w:val="right"/>
            </w:pPr>
            <w:r>
              <w:t xml:space="preserve">-0,017</w:t>
            </w:r>
          </w:p>
        </w:tc>
        <w:tc>
          <w:tcPr/>
          <w:p>
            <w:pPr>
              <w:pStyle w:val="Compact"/>
              <w:jc w:val="right"/>
            </w:pPr>
            <w:r>
              <w:t xml:space="preserve">11</w:t>
            </w:r>
          </w:p>
        </w:tc>
      </w:tr>
      <w:tr>
        <w:tc>
          <w:tcPr/>
          <w:p>
            <w:pPr>
              <w:pStyle w:val="Compact"/>
            </w:pPr>
            <w:r>
              <w:t xml:space="preserve">Processos de segurança da informação</w:t>
            </w:r>
          </w:p>
        </w:tc>
        <w:tc>
          <w:tcPr/>
          <w:p>
            <w:pPr>
              <w:pStyle w:val="Compact"/>
              <w:jc w:val="right"/>
            </w:pPr>
            <w:r>
              <w:t xml:space="preserve">0,274</w:t>
            </w:r>
          </w:p>
        </w:tc>
        <w:tc>
          <w:tcPr/>
          <w:p>
            <w:pPr>
              <w:pStyle w:val="Compact"/>
              <w:jc w:val="right"/>
            </w:pPr>
            <w:r>
              <w:t xml:space="preserve">0,200</w:t>
            </w:r>
          </w:p>
        </w:tc>
        <w:tc>
          <w:tcPr/>
          <w:p>
            <w:pPr>
              <w:pStyle w:val="Compact"/>
              <w:jc w:val="right"/>
            </w:pPr>
            <w:r>
              <w:t xml:space="preserve">-0,075</w:t>
            </w:r>
          </w:p>
        </w:tc>
        <w:tc>
          <w:tcPr/>
          <w:p>
            <w:pPr>
              <w:pStyle w:val="Compact"/>
              <w:jc w:val="right"/>
            </w:pPr>
            <w:r>
              <w:t xml:space="preserve">62</w:t>
            </w:r>
          </w:p>
        </w:tc>
      </w:tr>
      <w:tr>
        <w:tc>
          <w:tcPr/>
          <w:p>
            <w:pPr>
              <w:pStyle w:val="Compact"/>
            </w:pPr>
            <w:r>
              <w:t xml:space="preserve">Gestão de soluções de TI</w:t>
            </w:r>
          </w:p>
        </w:tc>
        <w:tc>
          <w:tcPr/>
          <w:p>
            <w:pPr>
              <w:pStyle w:val="Compact"/>
              <w:jc w:val="right"/>
            </w:pPr>
            <w:r>
              <w:t xml:space="preserve">0,213</w:t>
            </w:r>
          </w:p>
        </w:tc>
        <w:tc>
          <w:tcPr/>
          <w:p>
            <w:pPr>
              <w:pStyle w:val="Compact"/>
              <w:jc w:val="right"/>
            </w:pPr>
            <w:r>
              <w:t xml:space="preserve">0,193</w:t>
            </w:r>
          </w:p>
        </w:tc>
        <w:tc>
          <w:tcPr/>
          <w:p>
            <w:pPr>
              <w:pStyle w:val="Compact"/>
              <w:jc w:val="right"/>
            </w:pPr>
            <w:r>
              <w:t xml:space="preserve">-0,020</w:t>
            </w:r>
          </w:p>
        </w:tc>
        <w:tc>
          <w:tcPr/>
          <w:p>
            <w:pPr>
              <w:pStyle w:val="Compact"/>
              <w:jc w:val="right"/>
            </w:pPr>
            <w:r>
              <w:t xml:space="preserve">12</w:t>
            </w:r>
          </w:p>
        </w:tc>
      </w:tr>
    </w:tbl>
    <w:p>
      <w:pPr>
        <w:pStyle w:val="FonteImagem"/>
      </w:pPr>
      <w:r>
        <w:t xml:space="preserve">(Fonte: elaboração própria, com base na memória de cálculo do iGovTI 2026)</w:t>
      </w:r>
    </w:p>
    <w:p>
      <w:pPr>
        <w:pStyle w:val="Corpodetexto"/>
      </w:pPr>
      <w:r>
        <w:t xml:space="preserve">Os maiores efeitos médios ocorreram em</w:t>
      </w:r>
      <w:r>
        <w:t xml:space="preserve"> </w:t>
      </w:r>
      <w:r>
        <w:rPr>
          <w:b/>
          <w:bCs/>
        </w:rPr>
        <w:t xml:space="preserve">Serviços de TI</w:t>
      </w:r>
      <w:r>
        <w:t xml:space="preserve">,</w:t>
      </w:r>
      <w:r>
        <w:t xml:space="preserve"> </w:t>
      </w:r>
      <w:r>
        <w:rPr>
          <w:b/>
          <w:bCs/>
        </w:rPr>
        <w:t xml:space="preserve">Planejamento de TI</w:t>
      </w:r>
      <w:r>
        <w:t xml:space="preserve"> </w:t>
      </w:r>
      <w:r>
        <w:t xml:space="preserve">e</w:t>
      </w:r>
      <w:r>
        <w:t xml:space="preserve"> </w:t>
      </w:r>
      <w:r>
        <w:rPr>
          <w:b/>
          <w:bCs/>
        </w:rPr>
        <w:t xml:space="preserve">Processos de segurança da informação</w:t>
      </w:r>
      <w:r>
        <w:t xml:space="preserve">. Esse resultado sugere que, nesses domínios, parte relevante das práticas declaradas dependia de evidências formais que não foram apresentadas ou não demonstraram suficientemente a adoção informada no questionário.</w:t>
      </w:r>
    </w:p>
    <w:p>
      <w:pPr>
        <w:pStyle w:val="Corpodetexto"/>
      </w:pPr>
      <w:r>
        <w:t xml:space="preserve">O impacto foi menor nas dimensões</w:t>
      </w:r>
      <w:r>
        <w:t xml:space="preserve"> </w:t>
      </w:r>
      <w:r>
        <w:rPr>
          <w:b/>
          <w:bCs/>
        </w:rPr>
        <w:t xml:space="preserve">Estrutura de segurança da informação</w:t>
      </w:r>
      <w:r>
        <w:t xml:space="preserve">,</w:t>
      </w:r>
      <w:r>
        <w:t xml:space="preserve"> </w:t>
      </w:r>
      <w:r>
        <w:rPr>
          <w:b/>
          <w:bCs/>
        </w:rPr>
        <w:t xml:space="preserve">Gestão de soluções de TI</w:t>
      </w:r>
      <w:r>
        <w:t xml:space="preserve"> </w:t>
      </w:r>
      <w:r>
        <w:t xml:space="preserve">e</w:t>
      </w:r>
      <w:r>
        <w:t xml:space="preserve"> </w:t>
      </w:r>
      <w:r>
        <w:rPr>
          <w:b/>
          <w:bCs/>
        </w:rPr>
        <w:t xml:space="preserve">Gestão de riscos de TI e segurança da informação</w:t>
      </w:r>
      <w:r>
        <w:t xml:space="preserve">. Essa menor redução não significa, necessariamente, melhor qualidade das evidências nessas dimensões; pode refletir menor quantidade de respostas afirmativas sujeitas a ajuste, menor peso relativo dos itens afetados ou concentração dos ajustes em grupos específicos de auditados.</w:t>
      </w:r>
    </w:p>
    <w:bookmarkEnd w:id="19"/>
    <w:bookmarkStart w:id="20" w:name="efeito-nos-níveis-de-maturidade"/>
    <w:p>
      <w:pPr>
        <w:pStyle w:val="Ttulo1"/>
      </w:pPr>
      <w:r>
        <w:t xml:space="preserve">4. Efeito nos níveis de maturidade</w:t>
      </w:r>
    </w:p>
    <w:p>
      <w:pPr>
        <w:pStyle w:val="FirstParagraph"/>
      </w:pPr>
      <w:r>
        <w:t xml:space="preserve">A avaliação de evidências também alterou a distribuição dos níveis de maturidade. No cenário com ajuste inicial, havia</w:t>
      </w:r>
      <w:r>
        <w:t xml:space="preserve"> </w:t>
      </w:r>
      <w:r>
        <w:rPr>
          <w:b/>
          <w:bCs/>
        </w:rPr>
        <w:t xml:space="preserve">50 organizações</w:t>
      </w:r>
      <w:r>
        <w:t xml:space="preserve"> </w:t>
      </w:r>
      <w:r>
        <w:t xml:space="preserve">no nível</w:t>
      </w:r>
      <w:r>
        <w:t xml:space="preserve"> </w:t>
      </w:r>
      <w:r>
        <w:t xml:space="preserve">“Inexpressivo”</w:t>
      </w:r>
      <w:r>
        <w:t xml:space="preserve">; no cenário pós-evidência, esse quantitativo subiu para</w:t>
      </w:r>
      <w:r>
        <w:t xml:space="preserve"> </w:t>
      </w:r>
      <w:r>
        <w:rPr>
          <w:b/>
          <w:bCs/>
        </w:rPr>
        <w:t xml:space="preserve">61 organizações</w:t>
      </w:r>
      <w:r>
        <w:t xml:space="preserve">. O número de organizações em níveis iguais ou superiores a</w:t>
      </w:r>
      <w:r>
        <w:t xml:space="preserve"> </w:t>
      </w:r>
      <w:r>
        <w:t xml:space="preserve">“Intermediário”</w:t>
      </w:r>
      <w:r>
        <w:t xml:space="preserve"> </w:t>
      </w:r>
      <w:r>
        <w:t xml:space="preserve">caiu de</w:t>
      </w:r>
      <w:r>
        <w:t xml:space="preserve"> </w:t>
      </w:r>
      <w:r>
        <w:rPr>
          <w:b/>
          <w:bCs/>
        </w:rPr>
        <w:t xml:space="preserve">20</w:t>
      </w:r>
      <w:r>
        <w:t xml:space="preserve"> </w:t>
      </w:r>
      <w:r>
        <w:t xml:space="preserve">para</w:t>
      </w:r>
      <w:r>
        <w:t xml:space="preserve"> </w:t>
      </w:r>
      <w:r>
        <w:rPr>
          <w:b/>
          <w:bCs/>
        </w:rPr>
        <w:t xml:space="preserve">13</w:t>
      </w:r>
      <w:r>
        <w:t xml:space="preserve">.</w:t>
      </w:r>
    </w:p>
    <w:p>
      <w:pPr>
        <w:pStyle w:val="TableCaption"/>
      </w:pPr>
      <w:r>
        <w:t xml:space="preserve">Distribuição dos níveis de maturidade {#tbl:impacto_evidencias_maturidade#}</w:t>
      </w:r>
    </w:p>
    <w:tbl>
      <w:tblPr>
        <w:tblStyle w:val="Table"/>
        <w:tblW w:type="pct" w:w="5000"/>
        <w:tblLayout w:type="fixed"/>
        <w:tblLook w:firstRow="1" w:lastRow="0" w:firstColumn="0" w:lastColumn="0" w:noHBand="0" w:noVBand="0" w:val="0020"/>
        <w:tblCaption w:val="Distribuição dos níveis de maturidade {#tbl:impacto_evidencias_maturidade#}"/>
      </w:tblPr>
      <w:tblGrid>
        <w:gridCol w:w="1584"/>
        <w:gridCol w:w="2112"/>
        <w:gridCol w:w="2112"/>
        <w:gridCol w:w="2112"/>
      </w:tblGrid>
      <w:tr>
        <w:trPr>
          <w:tblHeader w:val="on"/>
        </w:trPr>
        <w:tc>
          <w:tcPr/>
          <w:p>
            <w:pPr>
              <w:pStyle w:val="Compact"/>
            </w:pPr>
            <w:r>
              <w:t xml:space="preserve">Nível de maturidade</w:t>
            </w:r>
          </w:p>
        </w:tc>
        <w:tc>
          <w:tcPr/>
          <w:p>
            <w:pPr>
              <w:pStyle w:val="Compact"/>
              <w:jc w:val="right"/>
            </w:pPr>
            <w:r>
              <w:t xml:space="preserve">Cenário com ajuste inicial</w:t>
            </w:r>
          </w:p>
        </w:tc>
        <w:tc>
          <w:tcPr/>
          <w:p>
            <w:pPr>
              <w:pStyle w:val="Compact"/>
              <w:jc w:val="right"/>
            </w:pPr>
            <w:r>
              <w:t xml:space="preserve">Cenário pós-evidência</w:t>
            </w:r>
          </w:p>
        </w:tc>
        <w:tc>
          <w:tcPr/>
          <w:p>
            <w:pPr>
              <w:pStyle w:val="Compact"/>
              <w:jc w:val="right"/>
            </w:pPr>
            <w:r>
              <w:t xml:space="preserve">Variação</w:t>
            </w:r>
          </w:p>
        </w:tc>
      </w:tr>
      <w:tr>
        <w:tc>
          <w:tcPr/>
          <w:p>
            <w:pPr>
              <w:pStyle w:val="Compact"/>
            </w:pPr>
            <w:r>
              <w:t xml:space="preserve">Inexpressivo</w:t>
            </w:r>
          </w:p>
        </w:tc>
        <w:tc>
          <w:tcPr/>
          <w:p>
            <w:pPr>
              <w:pStyle w:val="Compact"/>
              <w:jc w:val="right"/>
            </w:pPr>
            <w:r>
              <w:t xml:space="preserve">50</w:t>
            </w:r>
          </w:p>
        </w:tc>
        <w:tc>
          <w:tcPr/>
          <w:p>
            <w:pPr>
              <w:pStyle w:val="Compact"/>
              <w:jc w:val="right"/>
            </w:pPr>
            <w:r>
              <w:t xml:space="preserve">61</w:t>
            </w:r>
          </w:p>
        </w:tc>
        <w:tc>
          <w:tcPr/>
          <w:p>
            <w:pPr>
              <w:pStyle w:val="Compact"/>
              <w:jc w:val="right"/>
            </w:pPr>
            <w:r>
              <w:t xml:space="preserve">+11</w:t>
            </w:r>
          </w:p>
        </w:tc>
      </w:tr>
      <w:tr>
        <w:tc>
          <w:tcPr/>
          <w:p>
            <w:pPr>
              <w:pStyle w:val="Compact"/>
            </w:pPr>
            <w:r>
              <w:t xml:space="preserve">Iniciando</w:t>
            </w:r>
          </w:p>
        </w:tc>
        <w:tc>
          <w:tcPr/>
          <w:p>
            <w:pPr>
              <w:pStyle w:val="Compact"/>
              <w:jc w:val="right"/>
            </w:pPr>
            <w:r>
              <w:t xml:space="preserve">43</w:t>
            </w:r>
          </w:p>
        </w:tc>
        <w:tc>
          <w:tcPr/>
          <w:p>
            <w:pPr>
              <w:pStyle w:val="Compact"/>
              <w:jc w:val="right"/>
            </w:pPr>
            <w:r>
              <w:t xml:space="preserve">39</w:t>
            </w:r>
          </w:p>
        </w:tc>
        <w:tc>
          <w:tcPr/>
          <w:p>
            <w:pPr>
              <w:pStyle w:val="Compact"/>
              <w:jc w:val="right"/>
            </w:pPr>
            <w:r>
              <w:t xml:space="preserve">-4</w:t>
            </w:r>
          </w:p>
        </w:tc>
      </w:tr>
      <w:tr>
        <w:tc>
          <w:tcPr/>
          <w:p>
            <w:pPr>
              <w:pStyle w:val="Compact"/>
            </w:pPr>
            <w:r>
              <w:t xml:space="preserve">Intermediário</w:t>
            </w:r>
          </w:p>
        </w:tc>
        <w:tc>
          <w:tcPr/>
          <w:p>
            <w:pPr>
              <w:pStyle w:val="Compact"/>
              <w:jc w:val="right"/>
            </w:pPr>
            <w:r>
              <w:t xml:space="preserve">14</w:t>
            </w:r>
          </w:p>
        </w:tc>
        <w:tc>
          <w:tcPr/>
          <w:p>
            <w:pPr>
              <w:pStyle w:val="Compact"/>
              <w:jc w:val="right"/>
            </w:pPr>
            <w:r>
              <w:t xml:space="preserve">9</w:t>
            </w:r>
          </w:p>
        </w:tc>
        <w:tc>
          <w:tcPr/>
          <w:p>
            <w:pPr>
              <w:pStyle w:val="Compact"/>
              <w:jc w:val="right"/>
            </w:pPr>
            <w:r>
              <w:t xml:space="preserve">-5</w:t>
            </w:r>
          </w:p>
        </w:tc>
      </w:tr>
      <w:tr>
        <w:tc>
          <w:tcPr/>
          <w:p>
            <w:pPr>
              <w:pStyle w:val="Compact"/>
            </w:pPr>
            <w:r>
              <w:t xml:space="preserve">Aprimorado</w:t>
            </w:r>
          </w:p>
        </w:tc>
        <w:tc>
          <w:tcPr/>
          <w:p>
            <w:pPr>
              <w:pStyle w:val="Compact"/>
              <w:jc w:val="right"/>
            </w:pPr>
            <w:r>
              <w:t xml:space="preserve">6</w:t>
            </w:r>
          </w:p>
        </w:tc>
        <w:tc>
          <w:tcPr/>
          <w:p>
            <w:pPr>
              <w:pStyle w:val="Compact"/>
              <w:jc w:val="right"/>
            </w:pPr>
            <w:r>
              <w:t xml:space="preserve">4</w:t>
            </w:r>
          </w:p>
        </w:tc>
        <w:tc>
          <w:tcPr/>
          <w:p>
            <w:pPr>
              <w:pStyle w:val="Compact"/>
              <w:jc w:val="right"/>
            </w:pPr>
            <w:r>
              <w:t xml:space="preserve">-2</w:t>
            </w:r>
          </w:p>
        </w:tc>
      </w:tr>
    </w:tbl>
    <w:p>
      <w:pPr>
        <w:pStyle w:val="FonteImagem"/>
      </w:pPr>
      <w:r>
        <w:t xml:space="preserve">(Fonte: elaboração própria, com base na memória de cálculo do iGovTI 2026)</w:t>
      </w:r>
    </w:p>
    <w:p>
      <w:pPr>
        <w:pStyle w:val="Corpodetexto"/>
      </w:pPr>
      <w:r>
        <w:t xml:space="preserve">Ao todo,</w:t>
      </w:r>
      <w:r>
        <w:t xml:space="preserve"> </w:t>
      </w:r>
      <w:r>
        <w:rPr>
          <w:b/>
          <w:bCs/>
        </w:rPr>
        <w:t xml:space="preserve">18 organizações</w:t>
      </w:r>
      <w:r>
        <w:t xml:space="preserve"> </w:t>
      </w:r>
      <w:r>
        <w:t xml:space="preserve">foram reclassificadas para nível inferior após a avaliação de evidências. A mudança mais frequente foi de</w:t>
      </w:r>
      <w:r>
        <w:t xml:space="preserve"> </w:t>
      </w:r>
      <w:r>
        <w:t xml:space="preserve">“Iniciando”</w:t>
      </w:r>
      <w:r>
        <w:t xml:space="preserve"> </w:t>
      </w:r>
      <w:r>
        <w:t xml:space="preserve">para</w:t>
      </w:r>
      <w:r>
        <w:t xml:space="preserve"> </w:t>
      </w:r>
      <w:r>
        <w:t xml:space="preserve">“Inexpressivo”</w:t>
      </w:r>
      <w:r>
        <w:t xml:space="preserve">, com</w:t>
      </w:r>
      <w:r>
        <w:t xml:space="preserve"> </w:t>
      </w:r>
      <w:r>
        <w:rPr>
          <w:b/>
          <w:bCs/>
        </w:rPr>
        <w:t xml:space="preserve">10 organizações</w:t>
      </w:r>
      <w:r>
        <w:t xml:space="preserve">. Também houve</w:t>
      </w:r>
      <w:r>
        <w:t xml:space="preserve"> </w:t>
      </w:r>
      <w:r>
        <w:rPr>
          <w:b/>
          <w:bCs/>
        </w:rPr>
        <w:t xml:space="preserve">6 organizações</w:t>
      </w:r>
      <w:r>
        <w:t xml:space="preserve"> </w:t>
      </w:r>
      <w:r>
        <w:t xml:space="preserve">que passaram de</w:t>
      </w:r>
      <w:r>
        <w:t xml:space="preserve"> </w:t>
      </w:r>
      <w:r>
        <w:t xml:space="preserve">“Intermediário”</w:t>
      </w:r>
      <w:r>
        <w:t xml:space="preserve"> </w:t>
      </w:r>
      <w:r>
        <w:t xml:space="preserve">para</w:t>
      </w:r>
      <w:r>
        <w:t xml:space="preserve"> </w:t>
      </w:r>
      <w:r>
        <w:t xml:space="preserve">“Iniciando”</w:t>
      </w:r>
      <w:r>
        <w:t xml:space="preserve">, uma organização que passou de</w:t>
      </w:r>
      <w:r>
        <w:t xml:space="preserve"> </w:t>
      </w:r>
      <w:r>
        <w:t xml:space="preserve">“Aprimorado”</w:t>
      </w:r>
      <w:r>
        <w:t xml:space="preserve"> </w:t>
      </w:r>
      <w:r>
        <w:t xml:space="preserve">para</w:t>
      </w:r>
      <w:r>
        <w:t xml:space="preserve"> </w:t>
      </w:r>
      <w:r>
        <w:t xml:space="preserve">“Intermediário”</w:t>
      </w:r>
      <w:r>
        <w:t xml:space="preserve"> </w:t>
      </w:r>
      <w:r>
        <w:t xml:space="preserve">e uma organização que passou de</w:t>
      </w:r>
      <w:r>
        <w:t xml:space="preserve"> </w:t>
      </w:r>
      <w:r>
        <w:t xml:space="preserve">“Aprimorado”</w:t>
      </w:r>
      <w:r>
        <w:t xml:space="preserve"> </w:t>
      </w:r>
      <w:r>
        <w:t xml:space="preserve">diretamente para</w:t>
      </w:r>
      <w:r>
        <w:t xml:space="preserve"> </w:t>
      </w:r>
      <w:r>
        <w:t xml:space="preserve">“Inexpressivo”</w:t>
      </w:r>
      <w:r>
        <w:t xml:space="preserve">.</w:t>
      </w:r>
    </w:p>
    <w:p>
      <w:pPr>
        <w:pStyle w:val="Corpodetexto"/>
      </w:pPr>
      <w:r>
        <w:t xml:space="preserve">Esse deslocamento reforça a conclusão de que a avaliação documental afetou não apenas a pontuação numérica, mas a leitura qualitativa do estágio de maturidade. Em termos práticos, parte das organizações que, pela autodeclaração saneada, aparentava estar em estágio mais elevado não manteve esse posicionamento quando exigida a comprovação documental das práticas.</w:t>
      </w:r>
    </w:p>
    <w:bookmarkEnd w:id="20"/>
    <w:bookmarkStart w:id="21" w:name="Xf1ed422568ec89be8d7822ae0107dba071feda4"/>
    <w:p>
      <w:pPr>
        <w:pStyle w:val="Ttulo1"/>
      </w:pPr>
      <w:r>
        <w:t xml:space="preserve">5. Organizações com maiores reduções de pontuação</w:t>
      </w:r>
    </w:p>
    <w:p>
      <w:pPr>
        <w:pStyle w:val="FirstParagraph"/>
      </w:pPr>
      <w:r>
        <w:t xml:space="preserve">As maiores reduções concentraram-se em organizações que apresentavam pontuação inicial relativamente alta e tiveram quantidade expressiva de respostas ajustadas após a avaliação de evidências. A redução mais acentuada ocorreu no DETRAN, cujo iGovTI passou de</w:t>
      </w:r>
      <w:r>
        <w:t xml:space="preserve"> </w:t>
      </w:r>
      <w:r>
        <w:rPr>
          <w:b/>
          <w:bCs/>
        </w:rPr>
        <w:t xml:space="preserve">0,843</w:t>
      </w:r>
      <w:r>
        <w:t xml:space="preserve"> </w:t>
      </w:r>
      <w:r>
        <w:t xml:space="preserve">para</w:t>
      </w:r>
      <w:r>
        <w:t xml:space="preserve"> </w:t>
      </w:r>
      <w:r>
        <w:rPr>
          <w:b/>
          <w:bCs/>
        </w:rPr>
        <w:t xml:space="preserve">0,149</w:t>
      </w:r>
      <w:r>
        <w:t xml:space="preserve">, com queda de</w:t>
      </w:r>
      <w:r>
        <w:t xml:space="preserve"> </w:t>
      </w:r>
      <w:r>
        <w:rPr>
          <w:b/>
          <w:bCs/>
        </w:rPr>
        <w:t xml:space="preserve">0,694 ponto</w:t>
      </w:r>
      <w:r>
        <w:t xml:space="preserve"> </w:t>
      </w:r>
      <w:r>
        <w:t xml:space="preserve">e reclassificação de</w:t>
      </w:r>
      <w:r>
        <w:t xml:space="preserve"> </w:t>
      </w:r>
      <w:r>
        <w:t xml:space="preserve">“Aprimorado”</w:t>
      </w:r>
      <w:r>
        <w:t xml:space="preserve"> </w:t>
      </w:r>
      <w:r>
        <w:t xml:space="preserve">para</w:t>
      </w:r>
      <w:r>
        <w:t xml:space="preserve"> </w:t>
      </w:r>
      <w:r>
        <w:t xml:space="preserve">“Inexpressivo”</w:t>
      </w:r>
      <w:r>
        <w:t xml:space="preserve">.</w:t>
      </w:r>
    </w:p>
    <w:p>
      <w:pPr>
        <w:pStyle w:val="TableCaption"/>
      </w:pPr>
      <w:r>
        <w:t xml:space="preserve">Organizações com maiores reduções no iGovTI {#tbl:impacto_evidencias_maiores_reducoes#}</w:t>
      </w:r>
    </w:p>
    <w:tbl>
      <w:tblPr>
        <w:tblStyle w:val="Table"/>
        <w:tblW w:type="pct" w:w="5000"/>
        <w:tblLayout w:type="fixed"/>
        <w:tblLook w:firstRow="1" w:lastRow="0" w:firstColumn="0" w:lastColumn="0" w:noHBand="0" w:noVBand="0" w:val="0020"/>
        <w:tblCaption w:val="Organizações com maiores reduções no iGovTI {#tbl:impacto_evidencias_maiores_reducoes#}"/>
      </w:tblPr>
      <w:tblGrid>
        <w:gridCol w:w="950"/>
        <w:gridCol w:w="1267"/>
        <w:gridCol w:w="1267"/>
        <w:gridCol w:w="1267"/>
        <w:gridCol w:w="950"/>
        <w:gridCol w:w="950"/>
        <w:gridCol w:w="1267"/>
      </w:tblGrid>
      <w:tr>
        <w:trPr>
          <w:tblHeader w:val="on"/>
        </w:trPr>
        <w:tc>
          <w:tcPr/>
          <w:p>
            <w:pPr>
              <w:pStyle w:val="Compact"/>
            </w:pPr>
            <w:r>
              <w:t xml:space="preserve">Organização</w:t>
            </w:r>
          </w:p>
        </w:tc>
        <w:tc>
          <w:tcPr/>
          <w:p>
            <w:pPr>
              <w:pStyle w:val="Compact"/>
              <w:jc w:val="right"/>
            </w:pPr>
            <w:r>
              <w:t xml:space="preserve">iGovTI com ajuste inicial</w:t>
            </w:r>
          </w:p>
        </w:tc>
        <w:tc>
          <w:tcPr/>
          <w:p>
            <w:pPr>
              <w:pStyle w:val="Compact"/>
              <w:jc w:val="right"/>
            </w:pPr>
            <w:r>
              <w:t xml:space="preserve">iGovTI pós-evidência</w:t>
            </w:r>
          </w:p>
        </w:tc>
        <w:tc>
          <w:tcPr/>
          <w:p>
            <w:pPr>
              <w:pStyle w:val="Compact"/>
              <w:jc w:val="right"/>
            </w:pPr>
            <w:r>
              <w:t xml:space="preserve">Redução</w:t>
            </w:r>
          </w:p>
        </w:tc>
        <w:tc>
          <w:tcPr/>
          <w:p>
            <w:pPr>
              <w:pStyle w:val="Compact"/>
            </w:pPr>
            <w:r>
              <w:t xml:space="preserve">Maturidade inicial</w:t>
            </w:r>
          </w:p>
        </w:tc>
        <w:tc>
          <w:tcPr/>
          <w:p>
            <w:pPr>
              <w:pStyle w:val="Compact"/>
            </w:pPr>
            <w:r>
              <w:t xml:space="preserve">Maturidade pós-evidência</w:t>
            </w:r>
          </w:p>
        </w:tc>
        <w:tc>
          <w:tcPr/>
          <w:p>
            <w:pPr>
              <w:pStyle w:val="Compact"/>
              <w:jc w:val="right"/>
            </w:pPr>
            <w:r>
              <w:t xml:space="preserve">Registros pós-evidência</w:t>
            </w:r>
          </w:p>
        </w:tc>
      </w:tr>
      <w:tr>
        <w:tc>
          <w:tcPr/>
          <w:p>
            <w:pPr>
              <w:pStyle w:val="Compact"/>
            </w:pPr>
            <w:r>
              <w:t xml:space="preserve">DETRAN</w:t>
            </w:r>
          </w:p>
        </w:tc>
        <w:tc>
          <w:tcPr/>
          <w:p>
            <w:pPr>
              <w:pStyle w:val="Compact"/>
              <w:jc w:val="right"/>
            </w:pPr>
            <w:r>
              <w:t xml:space="preserve">0,843</w:t>
            </w:r>
          </w:p>
        </w:tc>
        <w:tc>
          <w:tcPr/>
          <w:p>
            <w:pPr>
              <w:pStyle w:val="Compact"/>
              <w:jc w:val="right"/>
            </w:pPr>
            <w:r>
              <w:t xml:space="preserve">0,149</w:t>
            </w:r>
          </w:p>
        </w:tc>
        <w:tc>
          <w:tcPr/>
          <w:p>
            <w:pPr>
              <w:pStyle w:val="Compact"/>
              <w:jc w:val="right"/>
            </w:pPr>
            <w:r>
              <w:t xml:space="preserve">-0,694</w:t>
            </w:r>
          </w:p>
        </w:tc>
        <w:tc>
          <w:tcPr/>
          <w:p>
            <w:pPr>
              <w:pStyle w:val="Compact"/>
            </w:pPr>
            <w:r>
              <w:t xml:space="preserve">Aprimorado</w:t>
            </w:r>
          </w:p>
        </w:tc>
        <w:tc>
          <w:tcPr/>
          <w:p>
            <w:pPr>
              <w:pStyle w:val="Compact"/>
            </w:pPr>
            <w:r>
              <w:t xml:space="preserve">Inexpressivo</w:t>
            </w:r>
          </w:p>
        </w:tc>
        <w:tc>
          <w:tcPr/>
          <w:p>
            <w:pPr>
              <w:pStyle w:val="Compact"/>
              <w:jc w:val="right"/>
            </w:pPr>
            <w:r>
              <w:t xml:space="preserve">118</w:t>
            </w:r>
          </w:p>
        </w:tc>
      </w:tr>
      <w:tr>
        <w:tc>
          <w:tcPr/>
          <w:p>
            <w:pPr>
              <w:pStyle w:val="Compact"/>
            </w:pPr>
            <w:r>
              <w:t xml:space="preserve">SEFAZ</w:t>
            </w:r>
          </w:p>
        </w:tc>
        <w:tc>
          <w:tcPr/>
          <w:p>
            <w:pPr>
              <w:pStyle w:val="Compact"/>
              <w:jc w:val="right"/>
            </w:pPr>
            <w:r>
              <w:t xml:space="preserve">0,646</w:t>
            </w:r>
          </w:p>
        </w:tc>
        <w:tc>
          <w:tcPr/>
          <w:p>
            <w:pPr>
              <w:pStyle w:val="Compact"/>
              <w:jc w:val="right"/>
            </w:pPr>
            <w:r>
              <w:t xml:space="preserve">0,216</w:t>
            </w:r>
          </w:p>
        </w:tc>
        <w:tc>
          <w:tcPr/>
          <w:p>
            <w:pPr>
              <w:pStyle w:val="Compact"/>
              <w:jc w:val="right"/>
            </w:pPr>
            <w:r>
              <w:t xml:space="preserve">-0,430</w:t>
            </w:r>
          </w:p>
        </w:tc>
        <w:tc>
          <w:tcPr/>
          <w:p>
            <w:pPr>
              <w:pStyle w:val="Compact"/>
            </w:pPr>
            <w:r>
              <w:t xml:space="preserve">Intermediário</w:t>
            </w:r>
          </w:p>
        </w:tc>
        <w:tc>
          <w:tcPr/>
          <w:p>
            <w:pPr>
              <w:pStyle w:val="Compact"/>
            </w:pPr>
            <w:r>
              <w:t xml:space="preserve">Iniciando</w:t>
            </w:r>
          </w:p>
        </w:tc>
        <w:tc>
          <w:tcPr/>
          <w:p>
            <w:pPr>
              <w:pStyle w:val="Compact"/>
              <w:jc w:val="right"/>
            </w:pPr>
            <w:r>
              <w:t xml:space="preserve">69</w:t>
            </w:r>
          </w:p>
        </w:tc>
      </w:tr>
      <w:tr>
        <w:tc>
          <w:tcPr/>
          <w:p>
            <w:pPr>
              <w:pStyle w:val="Compact"/>
            </w:pPr>
            <w:r>
              <w:t xml:space="preserve">RIOPREVIDENCIA</w:t>
            </w:r>
          </w:p>
        </w:tc>
        <w:tc>
          <w:tcPr/>
          <w:p>
            <w:pPr>
              <w:pStyle w:val="Compact"/>
              <w:jc w:val="right"/>
            </w:pPr>
            <w:r>
              <w:t xml:space="preserve">0,625</w:t>
            </w:r>
          </w:p>
        </w:tc>
        <w:tc>
          <w:tcPr/>
          <w:p>
            <w:pPr>
              <w:pStyle w:val="Compact"/>
              <w:jc w:val="right"/>
            </w:pPr>
            <w:r>
              <w:t xml:space="preserve">0,391</w:t>
            </w:r>
          </w:p>
        </w:tc>
        <w:tc>
          <w:tcPr/>
          <w:p>
            <w:pPr>
              <w:pStyle w:val="Compact"/>
              <w:jc w:val="right"/>
            </w:pPr>
            <w:r>
              <w:t xml:space="preserve">-0,234</w:t>
            </w:r>
          </w:p>
        </w:tc>
        <w:tc>
          <w:tcPr/>
          <w:p>
            <w:pPr>
              <w:pStyle w:val="Compact"/>
            </w:pPr>
            <w:r>
              <w:t xml:space="preserve">Intermediário</w:t>
            </w:r>
          </w:p>
        </w:tc>
        <w:tc>
          <w:tcPr/>
          <w:p>
            <w:pPr>
              <w:pStyle w:val="Compact"/>
            </w:pPr>
            <w:r>
              <w:t xml:space="preserve">Iniciando</w:t>
            </w:r>
          </w:p>
        </w:tc>
        <w:tc>
          <w:tcPr/>
          <w:p>
            <w:pPr>
              <w:pStyle w:val="Compact"/>
              <w:jc w:val="right"/>
            </w:pPr>
            <w:r>
              <w:t xml:space="preserve">44</w:t>
            </w:r>
          </w:p>
        </w:tc>
      </w:tr>
      <w:tr>
        <w:tc>
          <w:tcPr/>
          <w:p>
            <w:pPr>
              <w:pStyle w:val="Compact"/>
            </w:pPr>
            <w:r>
              <w:t xml:space="preserve">TERESÓPOLIS</w:t>
            </w:r>
          </w:p>
        </w:tc>
        <w:tc>
          <w:tcPr/>
          <w:p>
            <w:pPr>
              <w:pStyle w:val="Compact"/>
              <w:jc w:val="right"/>
            </w:pPr>
            <w:r>
              <w:t xml:space="preserve">0,664</w:t>
            </w:r>
          </w:p>
        </w:tc>
        <w:tc>
          <w:tcPr/>
          <w:p>
            <w:pPr>
              <w:pStyle w:val="Compact"/>
              <w:jc w:val="right"/>
            </w:pPr>
            <w:r>
              <w:t xml:space="preserve">0,442</w:t>
            </w:r>
          </w:p>
        </w:tc>
        <w:tc>
          <w:tcPr/>
          <w:p>
            <w:pPr>
              <w:pStyle w:val="Compact"/>
              <w:jc w:val="right"/>
            </w:pPr>
            <w:r>
              <w:t xml:space="preserve">-0,223</w:t>
            </w:r>
          </w:p>
        </w:tc>
        <w:tc>
          <w:tcPr/>
          <w:p>
            <w:pPr>
              <w:pStyle w:val="Compact"/>
            </w:pPr>
            <w:r>
              <w:t xml:space="preserve">Intermediário</w:t>
            </w:r>
          </w:p>
        </w:tc>
        <w:tc>
          <w:tcPr/>
          <w:p>
            <w:pPr>
              <w:pStyle w:val="Compact"/>
            </w:pPr>
            <w:r>
              <w:t xml:space="preserve">Intermediário</w:t>
            </w:r>
          </w:p>
        </w:tc>
        <w:tc>
          <w:tcPr/>
          <w:p>
            <w:pPr>
              <w:pStyle w:val="Compact"/>
              <w:jc w:val="right"/>
            </w:pPr>
            <w:r>
              <w:t xml:space="preserve">44</w:t>
            </w:r>
          </w:p>
        </w:tc>
      </w:tr>
      <w:tr>
        <w:tc>
          <w:tcPr/>
          <w:p>
            <w:pPr>
              <w:pStyle w:val="Compact"/>
            </w:pPr>
            <w:r>
              <w:t xml:space="preserve">SES</w:t>
            </w:r>
          </w:p>
        </w:tc>
        <w:tc>
          <w:tcPr/>
          <w:p>
            <w:pPr>
              <w:pStyle w:val="Compact"/>
              <w:jc w:val="right"/>
            </w:pPr>
            <w:r>
              <w:t xml:space="preserve">0,556</w:t>
            </w:r>
          </w:p>
        </w:tc>
        <w:tc>
          <w:tcPr/>
          <w:p>
            <w:pPr>
              <w:pStyle w:val="Compact"/>
              <w:jc w:val="right"/>
            </w:pPr>
            <w:r>
              <w:t xml:space="preserve">0,351</w:t>
            </w:r>
          </w:p>
        </w:tc>
        <w:tc>
          <w:tcPr/>
          <w:p>
            <w:pPr>
              <w:pStyle w:val="Compact"/>
              <w:jc w:val="right"/>
            </w:pPr>
            <w:r>
              <w:t xml:space="preserve">-0,204</w:t>
            </w:r>
          </w:p>
        </w:tc>
        <w:tc>
          <w:tcPr/>
          <w:p>
            <w:pPr>
              <w:pStyle w:val="Compact"/>
            </w:pPr>
            <w:r>
              <w:t xml:space="preserve">Intermediário</w:t>
            </w:r>
          </w:p>
        </w:tc>
        <w:tc>
          <w:tcPr/>
          <w:p>
            <w:pPr>
              <w:pStyle w:val="Compact"/>
            </w:pPr>
            <w:r>
              <w:t xml:space="preserve">Iniciando</w:t>
            </w:r>
          </w:p>
        </w:tc>
        <w:tc>
          <w:tcPr/>
          <w:p>
            <w:pPr>
              <w:pStyle w:val="Compact"/>
              <w:jc w:val="right"/>
            </w:pPr>
            <w:r>
              <w:t xml:space="preserve">52</w:t>
            </w:r>
          </w:p>
        </w:tc>
      </w:tr>
      <w:tr>
        <w:tc>
          <w:tcPr/>
          <w:p>
            <w:pPr>
              <w:pStyle w:val="Compact"/>
            </w:pPr>
            <w:r>
              <w:t xml:space="preserve">DPGE</w:t>
            </w:r>
          </w:p>
        </w:tc>
        <w:tc>
          <w:tcPr/>
          <w:p>
            <w:pPr>
              <w:pStyle w:val="Compact"/>
              <w:jc w:val="right"/>
            </w:pPr>
            <w:r>
              <w:t xml:space="preserve">0,347</w:t>
            </w:r>
          </w:p>
        </w:tc>
        <w:tc>
          <w:tcPr/>
          <w:p>
            <w:pPr>
              <w:pStyle w:val="Compact"/>
              <w:jc w:val="right"/>
            </w:pPr>
            <w:r>
              <w:t xml:space="preserve">0,171</w:t>
            </w:r>
          </w:p>
        </w:tc>
        <w:tc>
          <w:tcPr/>
          <w:p>
            <w:pPr>
              <w:pStyle w:val="Compact"/>
              <w:jc w:val="right"/>
            </w:pPr>
            <w:r>
              <w:t xml:space="preserve">-0,176</w:t>
            </w:r>
          </w:p>
        </w:tc>
        <w:tc>
          <w:tcPr/>
          <w:p>
            <w:pPr>
              <w:pStyle w:val="Compact"/>
            </w:pPr>
            <w:r>
              <w:t xml:space="preserve">Iniciando</w:t>
            </w:r>
          </w:p>
        </w:tc>
        <w:tc>
          <w:tcPr/>
          <w:p>
            <w:pPr>
              <w:pStyle w:val="Compact"/>
            </w:pPr>
            <w:r>
              <w:t xml:space="preserve">Iniciando</w:t>
            </w:r>
          </w:p>
        </w:tc>
        <w:tc>
          <w:tcPr/>
          <w:p>
            <w:pPr>
              <w:pStyle w:val="Compact"/>
              <w:jc w:val="right"/>
            </w:pPr>
            <w:r>
              <w:t xml:space="preserve">54</w:t>
            </w:r>
          </w:p>
        </w:tc>
      </w:tr>
      <w:tr>
        <w:tc>
          <w:tcPr/>
          <w:p>
            <w:pPr>
              <w:pStyle w:val="Compact"/>
            </w:pPr>
            <w:r>
              <w:t xml:space="preserve">CODERTE</w:t>
            </w:r>
          </w:p>
        </w:tc>
        <w:tc>
          <w:tcPr/>
          <w:p>
            <w:pPr>
              <w:pStyle w:val="Compact"/>
              <w:jc w:val="right"/>
            </w:pPr>
            <w:r>
              <w:t xml:space="preserve">0,376</w:t>
            </w:r>
          </w:p>
        </w:tc>
        <w:tc>
          <w:tcPr/>
          <w:p>
            <w:pPr>
              <w:pStyle w:val="Compact"/>
              <w:jc w:val="right"/>
            </w:pPr>
            <w:r>
              <w:t xml:space="preserve">0,218</w:t>
            </w:r>
          </w:p>
        </w:tc>
        <w:tc>
          <w:tcPr/>
          <w:p>
            <w:pPr>
              <w:pStyle w:val="Compact"/>
              <w:jc w:val="right"/>
            </w:pPr>
            <w:r>
              <w:t xml:space="preserve">-0,158</w:t>
            </w:r>
          </w:p>
        </w:tc>
        <w:tc>
          <w:tcPr/>
          <w:p>
            <w:pPr>
              <w:pStyle w:val="Compact"/>
            </w:pPr>
            <w:r>
              <w:t xml:space="preserve">Iniciando</w:t>
            </w:r>
          </w:p>
        </w:tc>
        <w:tc>
          <w:tcPr/>
          <w:p>
            <w:pPr>
              <w:pStyle w:val="Compact"/>
            </w:pPr>
            <w:r>
              <w:t xml:space="preserve">Iniciando</w:t>
            </w:r>
          </w:p>
        </w:tc>
        <w:tc>
          <w:tcPr/>
          <w:p>
            <w:pPr>
              <w:pStyle w:val="Compact"/>
              <w:jc w:val="right"/>
            </w:pPr>
            <w:r>
              <w:t xml:space="preserve">24</w:t>
            </w:r>
          </w:p>
        </w:tc>
      </w:tr>
      <w:tr>
        <w:tc>
          <w:tcPr/>
          <w:p>
            <w:pPr>
              <w:pStyle w:val="Compact"/>
            </w:pPr>
            <w:r>
              <w:t xml:space="preserve">DUQUE DE CAXIAS</w:t>
            </w:r>
          </w:p>
        </w:tc>
        <w:tc>
          <w:tcPr/>
          <w:p>
            <w:pPr>
              <w:pStyle w:val="Compact"/>
              <w:jc w:val="right"/>
            </w:pPr>
            <w:r>
              <w:t xml:space="preserve">0,344</w:t>
            </w:r>
          </w:p>
        </w:tc>
        <w:tc>
          <w:tcPr/>
          <w:p>
            <w:pPr>
              <w:pStyle w:val="Compact"/>
              <w:jc w:val="right"/>
            </w:pPr>
            <w:r>
              <w:t xml:space="preserve">0,196</w:t>
            </w:r>
          </w:p>
        </w:tc>
        <w:tc>
          <w:tcPr/>
          <w:p>
            <w:pPr>
              <w:pStyle w:val="Compact"/>
              <w:jc w:val="right"/>
            </w:pPr>
            <w:r>
              <w:t xml:space="preserve">-0,148</w:t>
            </w:r>
          </w:p>
        </w:tc>
        <w:tc>
          <w:tcPr/>
          <w:p>
            <w:pPr>
              <w:pStyle w:val="Compact"/>
            </w:pPr>
            <w:r>
              <w:t xml:space="preserve">Iniciando</w:t>
            </w:r>
          </w:p>
        </w:tc>
        <w:tc>
          <w:tcPr/>
          <w:p>
            <w:pPr>
              <w:pStyle w:val="Compact"/>
            </w:pPr>
            <w:r>
              <w:t xml:space="preserve">Iniciando</w:t>
            </w:r>
          </w:p>
        </w:tc>
        <w:tc>
          <w:tcPr/>
          <w:p>
            <w:pPr>
              <w:pStyle w:val="Compact"/>
              <w:jc w:val="right"/>
            </w:pPr>
            <w:r>
              <w:t xml:space="preserve">48</w:t>
            </w:r>
          </w:p>
        </w:tc>
      </w:tr>
      <w:tr>
        <w:tc>
          <w:tcPr/>
          <w:p>
            <w:pPr>
              <w:pStyle w:val="Compact"/>
            </w:pPr>
            <w:r>
              <w:t xml:space="preserve">SEEDUC</w:t>
            </w:r>
          </w:p>
        </w:tc>
        <w:tc>
          <w:tcPr/>
          <w:p>
            <w:pPr>
              <w:pStyle w:val="Compact"/>
              <w:jc w:val="right"/>
            </w:pPr>
            <w:r>
              <w:t xml:space="preserve">0,299</w:t>
            </w:r>
          </w:p>
        </w:tc>
        <w:tc>
          <w:tcPr/>
          <w:p>
            <w:pPr>
              <w:pStyle w:val="Compact"/>
              <w:jc w:val="right"/>
            </w:pPr>
            <w:r>
              <w:t xml:space="preserve">0,152</w:t>
            </w:r>
          </w:p>
        </w:tc>
        <w:tc>
          <w:tcPr/>
          <w:p>
            <w:pPr>
              <w:pStyle w:val="Compact"/>
              <w:jc w:val="right"/>
            </w:pPr>
            <w:r>
              <w:t xml:space="preserve">-0,147</w:t>
            </w:r>
          </w:p>
        </w:tc>
        <w:tc>
          <w:tcPr/>
          <w:p>
            <w:pPr>
              <w:pStyle w:val="Compact"/>
            </w:pPr>
            <w:r>
              <w:t xml:space="preserve">Iniciando</w:t>
            </w:r>
          </w:p>
        </w:tc>
        <w:tc>
          <w:tcPr/>
          <w:p>
            <w:pPr>
              <w:pStyle w:val="Compact"/>
            </w:pPr>
            <w:r>
              <w:t xml:space="preserve">Iniciando</w:t>
            </w:r>
          </w:p>
        </w:tc>
        <w:tc>
          <w:tcPr/>
          <w:p>
            <w:pPr>
              <w:pStyle w:val="Compact"/>
              <w:jc w:val="right"/>
            </w:pPr>
            <w:r>
              <w:t xml:space="preserve">26</w:t>
            </w:r>
          </w:p>
        </w:tc>
      </w:tr>
      <w:tr>
        <w:tc>
          <w:tcPr/>
          <w:p>
            <w:pPr>
              <w:pStyle w:val="Compact"/>
            </w:pPr>
            <w:r>
              <w:t xml:space="preserve">SEINFRA</w:t>
            </w:r>
          </w:p>
        </w:tc>
        <w:tc>
          <w:tcPr/>
          <w:p>
            <w:pPr>
              <w:pStyle w:val="Compact"/>
              <w:jc w:val="right"/>
            </w:pPr>
            <w:r>
              <w:t xml:space="preserve">0,341</w:t>
            </w:r>
          </w:p>
        </w:tc>
        <w:tc>
          <w:tcPr/>
          <w:p>
            <w:pPr>
              <w:pStyle w:val="Compact"/>
              <w:jc w:val="right"/>
            </w:pPr>
            <w:r>
              <w:t xml:space="preserve">0,212</w:t>
            </w:r>
          </w:p>
        </w:tc>
        <w:tc>
          <w:tcPr/>
          <w:p>
            <w:pPr>
              <w:pStyle w:val="Compact"/>
              <w:jc w:val="right"/>
            </w:pPr>
            <w:r>
              <w:t xml:space="preserve">-0,129</w:t>
            </w:r>
          </w:p>
        </w:tc>
        <w:tc>
          <w:tcPr/>
          <w:p>
            <w:pPr>
              <w:pStyle w:val="Compact"/>
            </w:pPr>
            <w:r>
              <w:t xml:space="preserve">Iniciando</w:t>
            </w:r>
          </w:p>
        </w:tc>
        <w:tc>
          <w:tcPr/>
          <w:p>
            <w:pPr>
              <w:pStyle w:val="Compact"/>
            </w:pPr>
            <w:r>
              <w:t xml:space="preserve">Iniciando</w:t>
            </w:r>
          </w:p>
        </w:tc>
        <w:tc>
          <w:tcPr/>
          <w:p>
            <w:pPr>
              <w:pStyle w:val="Compact"/>
              <w:jc w:val="right"/>
            </w:pPr>
            <w:r>
              <w:t xml:space="preserve">23</w:t>
            </w:r>
          </w:p>
        </w:tc>
      </w:tr>
    </w:tbl>
    <w:p>
      <w:pPr>
        <w:pStyle w:val="FonteImagem"/>
      </w:pPr>
      <w:r>
        <w:t xml:space="preserve">(Fonte: elaboração própria, com base na memória de cálculo do iGovTI 2026 e nos ajustes decorrentes da avaliação de evidências)</w:t>
      </w:r>
    </w:p>
    <w:p>
      <w:pPr>
        <w:pStyle w:val="Corpodetexto"/>
      </w:pPr>
      <w:r>
        <w:t xml:space="preserve">Esses resultados devem ser interpretados com cautela. A existência de muitos registros pós-evidência não equivale, isoladamente, à maior perda no índice, pois o impacto depende do peso dos itens na estrutura do iGovTI, da pontuação inicial da organização e da dimensão atingida. Ainda assim, a concentração de reduções em organizações com pontuações iniciais mais elevadas indica que a avaliação de evidências funcionou como mecanismo relevante de controle da consistência das autodeclarações.</w:t>
      </w:r>
    </w:p>
    <w:bookmarkEnd w:id="21"/>
    <w:bookmarkStart w:id="22" w:name="Xce5d06c61465062a5c52dd4550eed056c307f21"/>
    <w:p>
      <w:pPr>
        <w:pStyle w:val="Ttulo1"/>
      </w:pPr>
      <w:r>
        <w:t xml:space="preserve">6. Itens mais afetados pela avaliação de evidências</w:t>
      </w:r>
    </w:p>
    <w:p>
      <w:pPr>
        <w:pStyle w:val="FirstParagraph"/>
      </w:pPr>
      <w:r>
        <w:t xml:space="preserve">Os registros pós-evidência concentraram-se em práticas ligadas à segurança dos recursos de processamento da informação, às contratações de tecnologia da informação, ao catálogo e níveis de serviço, ao planejamento de TI e ao modelo de gestão de TI.</w:t>
      </w:r>
    </w:p>
    <w:p>
      <w:pPr>
        <w:pStyle w:val="TableCaption"/>
      </w:pPr>
      <w:r>
        <w:t xml:space="preserve">Itens-base com maior quantidade de registros pós-evidência {#tbl:impacto_evidencias_itens#}</w:t>
      </w:r>
    </w:p>
    <w:tbl>
      <w:tblPr>
        <w:tblStyle w:val="Table"/>
        <w:tblW w:type="pct" w:w="5000"/>
        <w:tblLayout w:type="fixed"/>
        <w:tblLook w:firstRow="1" w:lastRow="0" w:firstColumn="0" w:lastColumn="0" w:noHBand="0" w:noVBand="0" w:val="0020"/>
        <w:tblCaption w:val="Itens-base com maior quantidade de registros pós-evidência {#tbl:impacto_evidencias_itens#}"/>
      </w:tblPr>
      <w:tblGrid>
        <w:gridCol w:w="1697"/>
        <w:gridCol w:w="1697"/>
        <w:gridCol w:w="2262"/>
        <w:gridCol w:w="2262"/>
      </w:tblGrid>
      <w:tr>
        <w:trPr>
          <w:tblHeader w:val="on"/>
        </w:trPr>
        <w:tc>
          <w:tcPr/>
          <w:p>
            <w:pPr>
              <w:pStyle w:val="Compact"/>
            </w:pPr>
            <w:r>
              <w:t xml:space="preserve">Item-base</w:t>
            </w:r>
          </w:p>
        </w:tc>
        <w:tc>
          <w:tcPr/>
          <w:p>
            <w:pPr>
              <w:pStyle w:val="Compact"/>
            </w:pPr>
            <w:r>
              <w:t xml:space="preserve">Tema avaliado</w:t>
            </w:r>
          </w:p>
        </w:tc>
        <w:tc>
          <w:tcPr/>
          <w:p>
            <w:pPr>
              <w:pStyle w:val="Compact"/>
              <w:jc w:val="right"/>
            </w:pPr>
            <w:r>
              <w:t xml:space="preserve">Registros</w:t>
            </w:r>
          </w:p>
        </w:tc>
        <w:tc>
          <w:tcPr/>
          <w:p>
            <w:pPr>
              <w:pStyle w:val="Compact"/>
              <w:jc w:val="right"/>
            </w:pPr>
            <w:r>
              <w:t xml:space="preserve">Auditados afetados</w:t>
            </w:r>
          </w:p>
        </w:tc>
      </w:tr>
      <w:tr>
        <w:tc>
          <w:tcPr/>
          <w:p>
            <w:pPr>
              <w:pStyle w:val="Compact"/>
            </w:pPr>
            <w:r>
              <w:t xml:space="preserve">q2504</w:t>
            </w:r>
          </w:p>
        </w:tc>
        <w:tc>
          <w:tcPr/>
          <w:p>
            <w:pPr>
              <w:pStyle w:val="Compact"/>
            </w:pPr>
            <w:r>
              <w:t xml:space="preserve">Gestão da segurança dos recursos de processamento da informação, inclusive nuvem</w:t>
            </w:r>
          </w:p>
        </w:tc>
        <w:tc>
          <w:tcPr/>
          <w:p>
            <w:pPr>
              <w:pStyle w:val="Compact"/>
              <w:jc w:val="right"/>
            </w:pPr>
            <w:r>
              <w:t xml:space="preserve">267</w:t>
            </w:r>
          </w:p>
        </w:tc>
        <w:tc>
          <w:tcPr/>
          <w:p>
            <w:pPr>
              <w:pStyle w:val="Compact"/>
              <w:jc w:val="right"/>
            </w:pPr>
            <w:r>
              <w:t xml:space="preserve">56</w:t>
            </w:r>
          </w:p>
        </w:tc>
      </w:tr>
      <w:tr>
        <w:tc>
          <w:tcPr/>
          <w:p>
            <w:pPr>
              <w:pStyle w:val="Compact"/>
            </w:pPr>
            <w:r>
              <w:t xml:space="preserve">q2802</w:t>
            </w:r>
          </w:p>
        </w:tc>
        <w:tc>
          <w:tcPr/>
          <w:p>
            <w:pPr>
              <w:pStyle w:val="Compact"/>
            </w:pPr>
            <w:r>
              <w:t xml:space="preserve">Processo de planejamento anual das contratações</w:t>
            </w:r>
          </w:p>
        </w:tc>
        <w:tc>
          <w:tcPr/>
          <w:p>
            <w:pPr>
              <w:pStyle w:val="Compact"/>
              <w:jc w:val="right"/>
            </w:pPr>
            <w:r>
              <w:t xml:space="preserve">179</w:t>
            </w:r>
          </w:p>
        </w:tc>
        <w:tc>
          <w:tcPr/>
          <w:p>
            <w:pPr>
              <w:pStyle w:val="Compact"/>
              <w:jc w:val="right"/>
            </w:pPr>
            <w:r>
              <w:t xml:space="preserve">55</w:t>
            </w:r>
          </w:p>
        </w:tc>
      </w:tr>
      <w:tr>
        <w:tc>
          <w:tcPr/>
          <w:p>
            <w:pPr>
              <w:pStyle w:val="Compact"/>
            </w:pPr>
            <w:r>
              <w:t xml:space="preserve">q2801</w:t>
            </w:r>
          </w:p>
        </w:tc>
        <w:tc>
          <w:tcPr/>
          <w:p>
            <w:pPr>
              <w:pStyle w:val="Compact"/>
            </w:pPr>
            <w:r>
              <w:t xml:space="preserve">Processos de trabalho relativos às contratações de TI</w:t>
            </w:r>
          </w:p>
        </w:tc>
        <w:tc>
          <w:tcPr/>
          <w:p>
            <w:pPr>
              <w:pStyle w:val="Compact"/>
              <w:jc w:val="right"/>
            </w:pPr>
            <w:r>
              <w:t xml:space="preserve">143</w:t>
            </w:r>
          </w:p>
        </w:tc>
        <w:tc>
          <w:tcPr/>
          <w:p>
            <w:pPr>
              <w:pStyle w:val="Compact"/>
              <w:jc w:val="right"/>
            </w:pPr>
            <w:r>
              <w:t xml:space="preserve">32</w:t>
            </w:r>
          </w:p>
        </w:tc>
      </w:tr>
      <w:tr>
        <w:tc>
          <w:tcPr/>
          <w:p>
            <w:pPr>
              <w:pStyle w:val="Compact"/>
            </w:pPr>
            <w:r>
              <w:t xml:space="preserve">q2201</w:t>
            </w:r>
          </w:p>
        </w:tc>
        <w:tc>
          <w:tcPr/>
          <w:p>
            <w:pPr>
              <w:pStyle w:val="Compact"/>
            </w:pPr>
            <w:r>
              <w:t xml:space="preserve">Catálogo de serviços de TI e monitoramento de níveis de serviço</w:t>
            </w:r>
          </w:p>
        </w:tc>
        <w:tc>
          <w:tcPr/>
          <w:p>
            <w:pPr>
              <w:pStyle w:val="Compact"/>
              <w:jc w:val="right"/>
            </w:pPr>
            <w:r>
              <w:t xml:space="preserve">90</w:t>
            </w:r>
          </w:p>
        </w:tc>
        <w:tc>
          <w:tcPr/>
          <w:p>
            <w:pPr>
              <w:pStyle w:val="Compact"/>
              <w:jc w:val="right"/>
            </w:pPr>
            <w:r>
              <w:t xml:space="preserve">30</w:t>
            </w:r>
          </w:p>
        </w:tc>
      </w:tr>
      <w:tr>
        <w:tc>
          <w:tcPr/>
          <w:p>
            <w:pPr>
              <w:pStyle w:val="Compact"/>
            </w:pPr>
            <w:r>
              <w:t xml:space="preserve">q2102</w:t>
            </w:r>
          </w:p>
        </w:tc>
        <w:tc>
          <w:tcPr/>
          <w:p>
            <w:pPr>
              <w:pStyle w:val="Compact"/>
            </w:pPr>
            <w:r>
              <w:t xml:space="preserve">Plano de tecnologia da informação vigente</w:t>
            </w:r>
          </w:p>
        </w:tc>
        <w:tc>
          <w:tcPr/>
          <w:p>
            <w:pPr>
              <w:pStyle w:val="Compact"/>
              <w:jc w:val="right"/>
            </w:pPr>
            <w:r>
              <w:t xml:space="preserve">89</w:t>
            </w:r>
          </w:p>
        </w:tc>
        <w:tc>
          <w:tcPr/>
          <w:p>
            <w:pPr>
              <w:pStyle w:val="Compact"/>
              <w:jc w:val="right"/>
            </w:pPr>
            <w:r>
              <w:t xml:space="preserve">39</w:t>
            </w:r>
          </w:p>
        </w:tc>
      </w:tr>
      <w:tr>
        <w:tc>
          <w:tcPr/>
          <w:p>
            <w:pPr>
              <w:pStyle w:val="Compact"/>
            </w:pPr>
            <w:r>
              <w:t xml:space="preserve">q1001</w:t>
            </w:r>
          </w:p>
        </w:tc>
        <w:tc>
          <w:tcPr/>
          <w:p>
            <w:pPr>
              <w:pStyle w:val="Compact"/>
            </w:pPr>
            <w:r>
              <w:t xml:space="preserve">Modelo de gestão de tecnologia da informação</w:t>
            </w:r>
          </w:p>
        </w:tc>
        <w:tc>
          <w:tcPr/>
          <w:p>
            <w:pPr>
              <w:pStyle w:val="Compact"/>
              <w:jc w:val="right"/>
            </w:pPr>
            <w:r>
              <w:t xml:space="preserve">87</w:t>
            </w:r>
          </w:p>
        </w:tc>
        <w:tc>
          <w:tcPr/>
          <w:p>
            <w:pPr>
              <w:pStyle w:val="Compact"/>
              <w:jc w:val="right"/>
            </w:pPr>
            <w:r>
              <w:t xml:space="preserve">30</w:t>
            </w:r>
          </w:p>
        </w:tc>
      </w:tr>
      <w:tr>
        <w:tc>
          <w:tcPr/>
          <w:p>
            <w:pPr>
              <w:pStyle w:val="Compact"/>
            </w:pPr>
            <w:r>
              <w:t xml:space="preserve">q2803</w:t>
            </w:r>
          </w:p>
        </w:tc>
        <w:tc>
          <w:tcPr/>
          <w:p>
            <w:pPr>
              <w:pStyle w:val="Compact"/>
            </w:pPr>
            <w:r>
              <w:t xml:space="preserve">Publicidade dos documentos das contratações de TI</w:t>
            </w:r>
          </w:p>
        </w:tc>
        <w:tc>
          <w:tcPr/>
          <w:p>
            <w:pPr>
              <w:pStyle w:val="Compact"/>
              <w:jc w:val="right"/>
            </w:pPr>
            <w:r>
              <w:t xml:space="preserve">80</w:t>
            </w:r>
          </w:p>
        </w:tc>
        <w:tc>
          <w:tcPr/>
          <w:p>
            <w:pPr>
              <w:pStyle w:val="Compact"/>
              <w:jc w:val="right"/>
            </w:pPr>
            <w:r>
              <w:t xml:space="preserve">15</w:t>
            </w:r>
          </w:p>
        </w:tc>
      </w:tr>
      <w:tr>
        <w:tc>
          <w:tcPr/>
          <w:p>
            <w:pPr>
              <w:pStyle w:val="Compact"/>
            </w:pPr>
            <w:r>
              <w:t xml:space="preserve">q2204</w:t>
            </w:r>
          </w:p>
        </w:tc>
        <w:tc>
          <w:tcPr/>
          <w:p>
            <w:pPr>
              <w:pStyle w:val="Compact"/>
            </w:pPr>
            <w:r>
              <w:t xml:space="preserve">Gestão de incidentes de serviços de TI e de segurança da informação</w:t>
            </w:r>
          </w:p>
        </w:tc>
        <w:tc>
          <w:tcPr/>
          <w:p>
            <w:pPr>
              <w:pStyle w:val="Compact"/>
              <w:jc w:val="right"/>
            </w:pPr>
            <w:r>
              <w:t xml:space="preserve">76</w:t>
            </w:r>
          </w:p>
        </w:tc>
        <w:tc>
          <w:tcPr/>
          <w:p>
            <w:pPr>
              <w:pStyle w:val="Compact"/>
              <w:jc w:val="right"/>
            </w:pPr>
            <w:r>
              <w:t xml:space="preserve">27</w:t>
            </w:r>
          </w:p>
        </w:tc>
      </w:tr>
      <w:tr>
        <w:tc>
          <w:tcPr/>
          <w:p>
            <w:pPr>
              <w:pStyle w:val="Compact"/>
            </w:pPr>
            <w:r>
              <w:t xml:space="preserve">q2501</w:t>
            </w:r>
          </w:p>
        </w:tc>
        <w:tc>
          <w:tcPr/>
          <w:p>
            <w:pPr>
              <w:pStyle w:val="Compact"/>
            </w:pPr>
            <w:r>
              <w:t xml:space="preserve">Gestão de ativos associados à informação</w:t>
            </w:r>
          </w:p>
        </w:tc>
        <w:tc>
          <w:tcPr/>
          <w:p>
            <w:pPr>
              <w:pStyle w:val="Compact"/>
              <w:jc w:val="right"/>
            </w:pPr>
            <w:r>
              <w:t xml:space="preserve">74</w:t>
            </w:r>
          </w:p>
        </w:tc>
        <w:tc>
          <w:tcPr/>
          <w:p>
            <w:pPr>
              <w:pStyle w:val="Compact"/>
              <w:jc w:val="right"/>
            </w:pPr>
            <w:r>
              <w:t xml:space="preserve">30</w:t>
            </w:r>
          </w:p>
        </w:tc>
      </w:tr>
      <w:tr>
        <w:tc>
          <w:tcPr/>
          <w:p>
            <w:pPr>
              <w:pStyle w:val="Compact"/>
            </w:pPr>
            <w:r>
              <w:t xml:space="preserve">q2203</w:t>
            </w:r>
          </w:p>
        </w:tc>
        <w:tc>
          <w:tcPr/>
          <w:p>
            <w:pPr>
              <w:pStyle w:val="Compact"/>
            </w:pPr>
            <w:r>
              <w:t xml:space="preserve">Gestão de configuração e ativos de serviços de TI</w:t>
            </w:r>
          </w:p>
        </w:tc>
        <w:tc>
          <w:tcPr/>
          <w:p>
            <w:pPr>
              <w:pStyle w:val="Compact"/>
              <w:jc w:val="right"/>
            </w:pPr>
            <w:r>
              <w:t xml:space="preserve">73</w:t>
            </w:r>
          </w:p>
        </w:tc>
        <w:tc>
          <w:tcPr/>
          <w:p>
            <w:pPr>
              <w:pStyle w:val="Compact"/>
              <w:jc w:val="right"/>
            </w:pPr>
            <w:r>
              <w:t xml:space="preserve">34</w:t>
            </w:r>
          </w:p>
        </w:tc>
      </w:tr>
    </w:tbl>
    <w:p>
      <w:pPr>
        <w:pStyle w:val="FonteImagem"/>
      </w:pPr>
      <w:r>
        <w:t xml:space="preserve">(Fonte: elaboração própria, com base no arquivo de ajustes decorrentes da avaliação de evidências)</w:t>
      </w:r>
    </w:p>
    <w:p>
      <w:pPr>
        <w:pStyle w:val="Corpodetexto"/>
      </w:pPr>
      <w:r>
        <w:t xml:space="preserve">A concentração em q2504, q2802, q2801 e q2803 é coerente com as dimensões que mais perderam pontuação:</w:t>
      </w:r>
      <w:r>
        <w:t xml:space="preserve"> </w:t>
      </w:r>
      <w:r>
        <w:rPr>
          <w:b/>
          <w:bCs/>
        </w:rPr>
        <w:t xml:space="preserve">Serviços de TI</w:t>
      </w:r>
      <w:r>
        <w:t xml:space="preserve">,</w:t>
      </w:r>
      <w:r>
        <w:t xml:space="preserve"> </w:t>
      </w:r>
      <w:r>
        <w:rPr>
          <w:b/>
          <w:bCs/>
        </w:rPr>
        <w:t xml:space="preserve">Planejamento de TI</w:t>
      </w:r>
      <w:r>
        <w:t xml:space="preserve"> </w:t>
      </w:r>
      <w:r>
        <w:t xml:space="preserve">e</w:t>
      </w:r>
      <w:r>
        <w:t xml:space="preserve"> </w:t>
      </w:r>
      <w:r>
        <w:rPr>
          <w:b/>
          <w:bCs/>
        </w:rPr>
        <w:t xml:space="preserve">Processos de segurança da informação</w:t>
      </w:r>
      <w:r>
        <w:t xml:space="preserve">. Em especial, os itens de contratações de TI aparecem com frequência elevada, o que sugere fragilidade na comprovação de planejamento, formalização, transparência ou execução dos processos relacionados a contratações.</w:t>
      </w:r>
    </w:p>
    <w:p>
      <w:pPr>
        <w:pStyle w:val="Corpodetexto"/>
      </w:pPr>
      <w:r>
        <w:t xml:space="preserve">Também se observa volume expressivo de ajustes em itens de governança e gestão de serviços, como modelo de gestão de TI, plano de TI, catálogo de serviços, gestão de incidentes e gestão de configuração e ativos. Esses itens normalmente exigem evidências formais, atualizadas e institucionalizadas, como normas, planos, registros de execução, relatórios, publicações e atas. A ausência, insuficiência ou inadequação desses documentos reduz a confiabilidade da resposta afirmativa.</w:t>
      </w:r>
    </w:p>
    <w:bookmarkEnd w:id="22"/>
    <w:bookmarkStart w:id="23" w:name="X1ddca35888db92b6c80c13e3c1b0bd0300abed9"/>
    <w:p>
      <w:pPr>
        <w:pStyle w:val="Ttulo1"/>
      </w:pPr>
      <w:r>
        <w:t xml:space="preserve">7. Organizações com maior conformidade nas evidências avaliadas</w:t>
      </w:r>
    </w:p>
    <w:p>
      <w:pPr>
        <w:pStyle w:val="FirstParagraph"/>
      </w:pPr>
      <w:r>
        <w:t xml:space="preserve">Além da análise das reduções, foi examinada a taxa de conformidade dos pareceres consolidados de avaliação de evidências. Essa taxa corresponde à proporção de conclusões avaliadas como</w:t>
      </w:r>
      <w:r>
        <w:t xml:space="preserve"> </w:t>
      </w:r>
      <w:r>
        <w:t xml:space="preserve">“Conforme”</w:t>
      </w:r>
      <w:r>
        <w:t xml:space="preserve"> </w:t>
      </w:r>
      <w:r>
        <w:t xml:space="preserve">em relação ao total de conclusões avaliadas para cada organização. Como o parecer consolidado é registrado por item ou afirmação avaliada, e não apenas por arquivo anexado, a leitura deve ser feita como conformidade das</w:t>
      </w:r>
      <w:r>
        <w:t xml:space="preserve"> </w:t>
      </w:r>
      <w:r>
        <w:rPr>
          <w:b/>
          <w:bCs/>
        </w:rPr>
        <w:t xml:space="preserve">conclusões de evidência avaliadas</w:t>
      </w:r>
      <w:r>
        <w:t xml:space="preserve">.</w:t>
      </w:r>
    </w:p>
    <w:p>
      <w:pPr>
        <w:pStyle w:val="Corpodetexto"/>
      </w:pPr>
      <w:r>
        <w:t xml:space="preserve">Houve</w:t>
      </w:r>
      <w:r>
        <w:t xml:space="preserve"> </w:t>
      </w:r>
      <w:r>
        <w:rPr>
          <w:b/>
          <w:bCs/>
        </w:rPr>
        <w:t xml:space="preserve">4 organizações</w:t>
      </w:r>
      <w:r>
        <w:t xml:space="preserve"> </w:t>
      </w:r>
      <w:r>
        <w:t xml:space="preserve">em que todas as conclusões avaliadas foram consideradas conformes:</w:t>
      </w:r>
      <w:r>
        <w:t xml:space="preserve"> </w:t>
      </w:r>
      <w:r>
        <w:rPr>
          <w:b/>
          <w:bCs/>
        </w:rPr>
        <w:t xml:space="preserve">BARRA DO PIRAÍ</w:t>
      </w:r>
      <w:r>
        <w:t xml:space="preserve">,</w:t>
      </w:r>
      <w:r>
        <w:t xml:space="preserve"> </w:t>
      </w:r>
      <w:r>
        <w:rPr>
          <w:b/>
          <w:bCs/>
        </w:rPr>
        <w:t xml:space="preserve">PETRÓPOLIS</w:t>
      </w:r>
      <w:r>
        <w:t xml:space="preserve">,</w:t>
      </w:r>
      <w:r>
        <w:t xml:space="preserve"> </w:t>
      </w:r>
      <w:r>
        <w:rPr>
          <w:b/>
          <w:bCs/>
        </w:rPr>
        <w:t xml:space="preserve">SUDERJ</w:t>
      </w:r>
      <w:r>
        <w:t xml:space="preserve"> </w:t>
      </w:r>
      <w:r>
        <w:t xml:space="preserve">e</w:t>
      </w:r>
      <w:r>
        <w:t xml:space="preserve"> </w:t>
      </w:r>
      <w:r>
        <w:rPr>
          <w:b/>
          <w:bCs/>
        </w:rPr>
        <w:t xml:space="preserve">ARARUAMA</w:t>
      </w:r>
      <w:r>
        <w:t xml:space="preserve">. A interpretação desse resultado deve considerar, contudo, que essas organizações tiveram baixo volume de itens avaliados, variando de 4 a 9 conclusões. Assim, o percentual de 100% indica consistência integral no conjunto analisado, mas não deve ser comparado diretamente com organizações que apresentaram dezenas de itens submetidos à avaliação.</w:t>
      </w:r>
    </w:p>
    <w:p>
      <w:pPr>
        <w:pStyle w:val="TableCaption"/>
      </w:pPr>
      <w:r>
        <w:t xml:space="preserve">Organizações com todas as conclusões de evidência consideradas conformes {#tbl:impacto_evidencias_todas_conformes#}</w:t>
      </w:r>
    </w:p>
    <w:tbl>
      <w:tblPr>
        <w:tblStyle w:val="Table"/>
        <w:tblW w:type="pct" w:w="5000"/>
        <w:tblLayout w:type="fixed"/>
        <w:tblLook w:firstRow="1" w:lastRow="0" w:firstColumn="0" w:lastColumn="0" w:noHBand="0" w:noVBand="0" w:val="0020"/>
        <w:tblCaption w:val="Organizações com todas as conclusões de evidência consideradas conformes {#tbl:impacto_evidencias_todas_conformes#}"/>
      </w:tblPr>
      <w:tblGrid>
        <w:gridCol w:w="1250"/>
        <w:gridCol w:w="1667"/>
        <w:gridCol w:w="1667"/>
        <w:gridCol w:w="1667"/>
        <w:gridCol w:w="1667"/>
      </w:tblGrid>
      <w:tr>
        <w:trPr>
          <w:tblHeader w:val="on"/>
        </w:trPr>
        <w:tc>
          <w:tcPr/>
          <w:p>
            <w:pPr>
              <w:pStyle w:val="Compact"/>
            </w:pPr>
            <w:r>
              <w:t xml:space="preserve">Organização</w:t>
            </w:r>
          </w:p>
        </w:tc>
        <w:tc>
          <w:tcPr/>
          <w:p>
            <w:pPr>
              <w:pStyle w:val="Compact"/>
              <w:jc w:val="right"/>
            </w:pPr>
            <w:r>
              <w:t xml:space="preserve">Conclusões avaliadas</w:t>
            </w:r>
          </w:p>
        </w:tc>
        <w:tc>
          <w:tcPr/>
          <w:p>
            <w:pPr>
              <w:pStyle w:val="Compact"/>
              <w:jc w:val="right"/>
            </w:pPr>
            <w:r>
              <w:t xml:space="preserve">Conclusões conformes</w:t>
            </w:r>
          </w:p>
        </w:tc>
        <w:tc>
          <w:tcPr/>
          <w:p>
            <w:pPr>
              <w:pStyle w:val="Compact"/>
              <w:jc w:val="right"/>
            </w:pPr>
            <w:r>
              <w:t xml:space="preserve">Conclusões não conformes</w:t>
            </w:r>
          </w:p>
        </w:tc>
        <w:tc>
          <w:tcPr/>
          <w:p>
            <w:pPr>
              <w:pStyle w:val="Compact"/>
              <w:jc w:val="right"/>
            </w:pPr>
            <w:r>
              <w:t xml:space="preserve">Taxa de conformidade</w:t>
            </w:r>
          </w:p>
        </w:tc>
      </w:tr>
      <w:tr>
        <w:tc>
          <w:tcPr/>
          <w:p>
            <w:pPr>
              <w:pStyle w:val="Compact"/>
            </w:pPr>
            <w:r>
              <w:t xml:space="preserve">BARRA DO PIRAÍ</w:t>
            </w:r>
          </w:p>
        </w:tc>
        <w:tc>
          <w:tcPr/>
          <w:p>
            <w:pPr>
              <w:pStyle w:val="Compact"/>
              <w:jc w:val="right"/>
            </w:pPr>
            <w:r>
              <w:t xml:space="preserve">9</w:t>
            </w:r>
          </w:p>
        </w:tc>
        <w:tc>
          <w:tcPr/>
          <w:p>
            <w:pPr>
              <w:pStyle w:val="Compact"/>
              <w:jc w:val="right"/>
            </w:pPr>
            <w:r>
              <w:t xml:space="preserve">9</w:t>
            </w:r>
          </w:p>
        </w:tc>
        <w:tc>
          <w:tcPr/>
          <w:p>
            <w:pPr>
              <w:pStyle w:val="Compact"/>
              <w:jc w:val="right"/>
            </w:pPr>
            <w:r>
              <w:t xml:space="preserve">0</w:t>
            </w:r>
          </w:p>
        </w:tc>
        <w:tc>
          <w:tcPr/>
          <w:p>
            <w:pPr>
              <w:pStyle w:val="Compact"/>
              <w:jc w:val="right"/>
            </w:pPr>
            <w:r>
              <w:t xml:space="preserve">100,0%</w:t>
            </w:r>
          </w:p>
        </w:tc>
      </w:tr>
      <w:tr>
        <w:tc>
          <w:tcPr/>
          <w:p>
            <w:pPr>
              <w:pStyle w:val="Compact"/>
            </w:pPr>
            <w:r>
              <w:t xml:space="preserve">PETRÓPOLIS</w:t>
            </w:r>
          </w:p>
        </w:tc>
        <w:tc>
          <w:tcPr/>
          <w:p>
            <w:pPr>
              <w:pStyle w:val="Compact"/>
              <w:jc w:val="right"/>
            </w:pPr>
            <w:r>
              <w:t xml:space="preserve">9</w:t>
            </w:r>
          </w:p>
        </w:tc>
        <w:tc>
          <w:tcPr/>
          <w:p>
            <w:pPr>
              <w:pStyle w:val="Compact"/>
              <w:jc w:val="right"/>
            </w:pPr>
            <w:r>
              <w:t xml:space="preserve">9</w:t>
            </w:r>
          </w:p>
        </w:tc>
        <w:tc>
          <w:tcPr/>
          <w:p>
            <w:pPr>
              <w:pStyle w:val="Compact"/>
              <w:jc w:val="right"/>
            </w:pPr>
            <w:r>
              <w:t xml:space="preserve">0</w:t>
            </w:r>
          </w:p>
        </w:tc>
        <w:tc>
          <w:tcPr/>
          <w:p>
            <w:pPr>
              <w:pStyle w:val="Compact"/>
              <w:jc w:val="right"/>
            </w:pPr>
            <w:r>
              <w:t xml:space="preserve">100,0%</w:t>
            </w:r>
          </w:p>
        </w:tc>
      </w:tr>
      <w:tr>
        <w:tc>
          <w:tcPr/>
          <w:p>
            <w:pPr>
              <w:pStyle w:val="Compact"/>
            </w:pPr>
            <w:r>
              <w:t xml:space="preserve">SUDERJ</w:t>
            </w:r>
          </w:p>
        </w:tc>
        <w:tc>
          <w:tcPr/>
          <w:p>
            <w:pPr>
              <w:pStyle w:val="Compact"/>
              <w:jc w:val="right"/>
            </w:pPr>
            <w:r>
              <w:t xml:space="preserve">5</w:t>
            </w:r>
          </w:p>
        </w:tc>
        <w:tc>
          <w:tcPr/>
          <w:p>
            <w:pPr>
              <w:pStyle w:val="Compact"/>
              <w:jc w:val="right"/>
            </w:pPr>
            <w:r>
              <w:t xml:space="preserve">5</w:t>
            </w:r>
          </w:p>
        </w:tc>
        <w:tc>
          <w:tcPr/>
          <w:p>
            <w:pPr>
              <w:pStyle w:val="Compact"/>
              <w:jc w:val="right"/>
            </w:pPr>
            <w:r>
              <w:t xml:space="preserve">0</w:t>
            </w:r>
          </w:p>
        </w:tc>
        <w:tc>
          <w:tcPr/>
          <w:p>
            <w:pPr>
              <w:pStyle w:val="Compact"/>
              <w:jc w:val="right"/>
            </w:pPr>
            <w:r>
              <w:t xml:space="preserve">100,0%</w:t>
            </w:r>
          </w:p>
        </w:tc>
      </w:tr>
      <w:tr>
        <w:tc>
          <w:tcPr/>
          <w:p>
            <w:pPr>
              <w:pStyle w:val="Compact"/>
            </w:pPr>
            <w:r>
              <w:t xml:space="preserve">ARARUAMA</w:t>
            </w:r>
          </w:p>
        </w:tc>
        <w:tc>
          <w:tcPr/>
          <w:p>
            <w:pPr>
              <w:pStyle w:val="Compact"/>
              <w:jc w:val="right"/>
            </w:pPr>
            <w:r>
              <w:t xml:space="preserve">4</w:t>
            </w:r>
          </w:p>
        </w:tc>
        <w:tc>
          <w:tcPr/>
          <w:p>
            <w:pPr>
              <w:pStyle w:val="Compact"/>
              <w:jc w:val="right"/>
            </w:pPr>
            <w:r>
              <w:t xml:space="preserve">4</w:t>
            </w:r>
          </w:p>
        </w:tc>
        <w:tc>
          <w:tcPr/>
          <w:p>
            <w:pPr>
              <w:pStyle w:val="Compact"/>
              <w:jc w:val="right"/>
            </w:pPr>
            <w:r>
              <w:t xml:space="preserve">0</w:t>
            </w:r>
          </w:p>
        </w:tc>
        <w:tc>
          <w:tcPr/>
          <w:p>
            <w:pPr>
              <w:pStyle w:val="Compact"/>
              <w:jc w:val="right"/>
            </w:pPr>
            <w:r>
              <w:t xml:space="preserve">100,0%</w:t>
            </w:r>
          </w:p>
        </w:tc>
      </w:tr>
    </w:tbl>
    <w:p>
      <w:pPr>
        <w:pStyle w:val="FonteImagem"/>
      </w:pPr>
      <w:r>
        <w:t xml:space="preserve">(Fonte: elaboração própria, com base nos pareceres consolidados da avaliação de evidências)</w:t>
      </w:r>
    </w:p>
    <w:p>
      <w:pPr>
        <w:pStyle w:val="Corpodetexto"/>
      </w:pPr>
      <w:r>
        <w:t xml:space="preserve">Considerando organizações com pelo menos 10 conclusões avaliadas, as maiores taxas de conformidade foram observadas em</w:t>
      </w:r>
      <w:r>
        <w:t xml:space="preserve"> </w:t>
      </w:r>
      <w:r>
        <w:rPr>
          <w:b/>
          <w:bCs/>
        </w:rPr>
        <w:t xml:space="preserve">SEPLAG</w:t>
      </w:r>
      <w:r>
        <w:t xml:space="preserve">,</w:t>
      </w:r>
      <w:r>
        <w:t xml:space="preserve"> </w:t>
      </w:r>
      <w:r>
        <w:rPr>
          <w:b/>
          <w:bCs/>
        </w:rPr>
        <w:t xml:space="preserve">TCE-RJ</w:t>
      </w:r>
      <w:r>
        <w:t xml:space="preserve">,</w:t>
      </w:r>
      <w:r>
        <w:t xml:space="preserve"> </w:t>
      </w:r>
      <w:r>
        <w:rPr>
          <w:b/>
          <w:bCs/>
        </w:rPr>
        <w:t xml:space="preserve">TJRJ</w:t>
      </w:r>
      <w:r>
        <w:t xml:space="preserve">,</w:t>
      </w:r>
      <w:r>
        <w:t xml:space="preserve"> </w:t>
      </w:r>
      <w:r>
        <w:rPr>
          <w:b/>
          <w:bCs/>
        </w:rPr>
        <w:t xml:space="preserve">PRODERJ</w:t>
      </w:r>
      <w:r>
        <w:t xml:space="preserve"> </w:t>
      </w:r>
      <w:r>
        <w:t xml:space="preserve">e</w:t>
      </w:r>
      <w:r>
        <w:t xml:space="preserve"> </w:t>
      </w:r>
      <w:r>
        <w:rPr>
          <w:b/>
          <w:bCs/>
        </w:rPr>
        <w:t xml:space="preserve">NITERÓI</w:t>
      </w:r>
      <w:r>
        <w:t xml:space="preserve">. Nesse grupo, a quantidade maior de itens avaliados torna a taxa mais informativa para comparação relativa, embora ainda dependa do perfil das práticas declaradas e do conjunto de evidências submetido por cada auditado.</w:t>
      </w:r>
    </w:p>
    <w:p>
      <w:pPr>
        <w:pStyle w:val="TableCaption"/>
      </w:pPr>
      <w:r>
        <w:t xml:space="preserve">Organizações com maior taxa de conformidade, entre aquelas com pelo menos 10 conclusões avaliadas {#tbl:impacto_evidencias_maior_conformidade#}</w:t>
      </w:r>
    </w:p>
    <w:tbl>
      <w:tblPr>
        <w:tblStyle w:val="Table"/>
        <w:tblW w:type="pct" w:w="5000"/>
        <w:tblLayout w:type="fixed"/>
        <w:tblLook w:firstRow="1" w:lastRow="0" w:firstColumn="0" w:lastColumn="0" w:noHBand="0" w:noVBand="0" w:val="0020"/>
        <w:tblCaption w:val="Organizações com maior taxa de conformidade, entre aquelas com pelo menos 10 conclusões avaliadas {#tbl:impacto_evidencias_maior_conformidade#}"/>
      </w:tblPr>
      <w:tblGrid>
        <w:gridCol w:w="1250"/>
        <w:gridCol w:w="1667"/>
        <w:gridCol w:w="1667"/>
        <w:gridCol w:w="1667"/>
        <w:gridCol w:w="1667"/>
      </w:tblGrid>
      <w:tr>
        <w:trPr>
          <w:tblHeader w:val="on"/>
        </w:trPr>
        <w:tc>
          <w:tcPr/>
          <w:p>
            <w:pPr>
              <w:pStyle w:val="Compact"/>
            </w:pPr>
            <w:r>
              <w:t xml:space="preserve">Organização</w:t>
            </w:r>
          </w:p>
        </w:tc>
        <w:tc>
          <w:tcPr/>
          <w:p>
            <w:pPr>
              <w:pStyle w:val="Compact"/>
              <w:jc w:val="right"/>
            </w:pPr>
            <w:r>
              <w:t xml:space="preserve">Conclusões avaliadas</w:t>
            </w:r>
          </w:p>
        </w:tc>
        <w:tc>
          <w:tcPr/>
          <w:p>
            <w:pPr>
              <w:pStyle w:val="Compact"/>
              <w:jc w:val="right"/>
            </w:pPr>
            <w:r>
              <w:t xml:space="preserve">Conclusões conformes</w:t>
            </w:r>
          </w:p>
        </w:tc>
        <w:tc>
          <w:tcPr/>
          <w:p>
            <w:pPr>
              <w:pStyle w:val="Compact"/>
              <w:jc w:val="right"/>
            </w:pPr>
            <w:r>
              <w:t xml:space="preserve">Conclusões não conformes</w:t>
            </w:r>
          </w:p>
        </w:tc>
        <w:tc>
          <w:tcPr/>
          <w:p>
            <w:pPr>
              <w:pStyle w:val="Compact"/>
              <w:jc w:val="right"/>
            </w:pPr>
            <w:r>
              <w:t xml:space="preserve">Taxa de conformidade</w:t>
            </w:r>
          </w:p>
        </w:tc>
      </w:tr>
      <w:tr>
        <w:tc>
          <w:tcPr/>
          <w:p>
            <w:pPr>
              <w:pStyle w:val="Compact"/>
            </w:pPr>
            <w:r>
              <w:t xml:space="preserve">SEPLAG</w:t>
            </w:r>
          </w:p>
        </w:tc>
        <w:tc>
          <w:tcPr/>
          <w:p>
            <w:pPr>
              <w:pStyle w:val="Compact"/>
              <w:jc w:val="right"/>
            </w:pPr>
            <w:r>
              <w:t xml:space="preserve">77</w:t>
            </w:r>
          </w:p>
        </w:tc>
        <w:tc>
          <w:tcPr/>
          <w:p>
            <w:pPr>
              <w:pStyle w:val="Compact"/>
              <w:jc w:val="right"/>
            </w:pPr>
            <w:r>
              <w:t xml:space="preserve">70</w:t>
            </w:r>
          </w:p>
        </w:tc>
        <w:tc>
          <w:tcPr/>
          <w:p>
            <w:pPr>
              <w:pStyle w:val="Compact"/>
              <w:jc w:val="right"/>
            </w:pPr>
            <w:r>
              <w:t xml:space="preserve">7</w:t>
            </w:r>
          </w:p>
        </w:tc>
        <w:tc>
          <w:tcPr/>
          <w:p>
            <w:pPr>
              <w:pStyle w:val="Compact"/>
              <w:jc w:val="right"/>
            </w:pPr>
            <w:r>
              <w:t xml:space="preserve">90,9%</w:t>
            </w:r>
          </w:p>
        </w:tc>
      </w:tr>
      <w:tr>
        <w:tc>
          <w:tcPr/>
          <w:p>
            <w:pPr>
              <w:pStyle w:val="Compact"/>
            </w:pPr>
            <w:r>
              <w:t xml:space="preserve">TCE-RJ</w:t>
            </w:r>
          </w:p>
        </w:tc>
        <w:tc>
          <w:tcPr/>
          <w:p>
            <w:pPr>
              <w:pStyle w:val="Compact"/>
              <w:jc w:val="right"/>
            </w:pPr>
            <w:r>
              <w:t xml:space="preserve">50</w:t>
            </w:r>
          </w:p>
        </w:tc>
        <w:tc>
          <w:tcPr/>
          <w:p>
            <w:pPr>
              <w:pStyle w:val="Compact"/>
              <w:jc w:val="right"/>
            </w:pPr>
            <w:r>
              <w:t xml:space="preserve">45</w:t>
            </w:r>
          </w:p>
        </w:tc>
        <w:tc>
          <w:tcPr/>
          <w:p>
            <w:pPr>
              <w:pStyle w:val="Compact"/>
              <w:jc w:val="right"/>
            </w:pPr>
            <w:r>
              <w:t xml:space="preserve">5</w:t>
            </w:r>
          </w:p>
        </w:tc>
        <w:tc>
          <w:tcPr/>
          <w:p>
            <w:pPr>
              <w:pStyle w:val="Compact"/>
              <w:jc w:val="right"/>
            </w:pPr>
            <w:r>
              <w:t xml:space="preserve">90,0%</w:t>
            </w:r>
          </w:p>
        </w:tc>
      </w:tr>
      <w:tr>
        <w:tc>
          <w:tcPr/>
          <w:p>
            <w:pPr>
              <w:pStyle w:val="Compact"/>
            </w:pPr>
            <w:r>
              <w:t xml:space="preserve">TJRJ</w:t>
            </w:r>
          </w:p>
        </w:tc>
        <w:tc>
          <w:tcPr/>
          <w:p>
            <w:pPr>
              <w:pStyle w:val="Compact"/>
              <w:jc w:val="right"/>
            </w:pPr>
            <w:r>
              <w:t xml:space="preserve">106</w:t>
            </w:r>
          </w:p>
        </w:tc>
        <w:tc>
          <w:tcPr/>
          <w:p>
            <w:pPr>
              <w:pStyle w:val="Compact"/>
              <w:jc w:val="right"/>
            </w:pPr>
            <w:r>
              <w:t xml:space="preserve">94</w:t>
            </w:r>
          </w:p>
        </w:tc>
        <w:tc>
          <w:tcPr/>
          <w:p>
            <w:pPr>
              <w:pStyle w:val="Compact"/>
              <w:jc w:val="right"/>
            </w:pPr>
            <w:r>
              <w:t xml:space="preserve">12</w:t>
            </w:r>
          </w:p>
        </w:tc>
        <w:tc>
          <w:tcPr/>
          <w:p>
            <w:pPr>
              <w:pStyle w:val="Compact"/>
              <w:jc w:val="right"/>
            </w:pPr>
            <w:r>
              <w:t xml:space="preserve">88,7%</w:t>
            </w:r>
          </w:p>
        </w:tc>
      </w:tr>
      <w:tr>
        <w:tc>
          <w:tcPr/>
          <w:p>
            <w:pPr>
              <w:pStyle w:val="Compact"/>
            </w:pPr>
            <w:r>
              <w:t xml:space="preserve">PRODERJ</w:t>
            </w:r>
          </w:p>
        </w:tc>
        <w:tc>
          <w:tcPr/>
          <w:p>
            <w:pPr>
              <w:pStyle w:val="Compact"/>
              <w:jc w:val="right"/>
            </w:pPr>
            <w:r>
              <w:t xml:space="preserve">78</w:t>
            </w:r>
          </w:p>
        </w:tc>
        <w:tc>
          <w:tcPr/>
          <w:p>
            <w:pPr>
              <w:pStyle w:val="Compact"/>
              <w:jc w:val="right"/>
            </w:pPr>
            <w:r>
              <w:t xml:space="preserve">69</w:t>
            </w:r>
          </w:p>
        </w:tc>
        <w:tc>
          <w:tcPr/>
          <w:p>
            <w:pPr>
              <w:pStyle w:val="Compact"/>
              <w:jc w:val="right"/>
            </w:pPr>
            <w:r>
              <w:t xml:space="preserve">9</w:t>
            </w:r>
          </w:p>
        </w:tc>
        <w:tc>
          <w:tcPr/>
          <w:p>
            <w:pPr>
              <w:pStyle w:val="Compact"/>
              <w:jc w:val="right"/>
            </w:pPr>
            <w:r>
              <w:t xml:space="preserve">88,5%</w:t>
            </w:r>
          </w:p>
        </w:tc>
      </w:tr>
      <w:tr>
        <w:tc>
          <w:tcPr/>
          <w:p>
            <w:pPr>
              <w:pStyle w:val="Compact"/>
            </w:pPr>
            <w:r>
              <w:t xml:space="preserve">NITERÓI</w:t>
            </w:r>
          </w:p>
        </w:tc>
        <w:tc>
          <w:tcPr/>
          <w:p>
            <w:pPr>
              <w:pStyle w:val="Compact"/>
              <w:jc w:val="right"/>
            </w:pPr>
            <w:r>
              <w:t xml:space="preserve">46</w:t>
            </w:r>
          </w:p>
        </w:tc>
        <w:tc>
          <w:tcPr/>
          <w:p>
            <w:pPr>
              <w:pStyle w:val="Compact"/>
              <w:jc w:val="right"/>
            </w:pPr>
            <w:r>
              <w:t xml:space="preserve">40</w:t>
            </w:r>
          </w:p>
        </w:tc>
        <w:tc>
          <w:tcPr/>
          <w:p>
            <w:pPr>
              <w:pStyle w:val="Compact"/>
              <w:jc w:val="right"/>
            </w:pPr>
            <w:r>
              <w:t xml:space="preserve">6</w:t>
            </w:r>
          </w:p>
        </w:tc>
        <w:tc>
          <w:tcPr/>
          <w:p>
            <w:pPr>
              <w:pStyle w:val="Compact"/>
              <w:jc w:val="right"/>
            </w:pPr>
            <w:r>
              <w:t xml:space="preserve">87,0%</w:t>
            </w:r>
          </w:p>
        </w:tc>
      </w:tr>
      <w:tr>
        <w:tc>
          <w:tcPr/>
          <w:p>
            <w:pPr>
              <w:pStyle w:val="Compact"/>
            </w:pPr>
            <w:r>
              <w:t xml:space="preserve">ITAGUAÍ</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4</w:t>
            </w:r>
          </w:p>
        </w:tc>
        <w:tc>
          <w:tcPr/>
          <w:p>
            <w:pPr>
              <w:pStyle w:val="Compact"/>
              <w:jc w:val="right"/>
            </w:pPr>
            <w:r>
              <w:t xml:space="preserve">84,0%</w:t>
            </w:r>
          </w:p>
        </w:tc>
      </w:tr>
      <w:tr>
        <w:tc>
          <w:tcPr/>
          <w:p>
            <w:pPr>
              <w:pStyle w:val="Compact"/>
            </w:pPr>
            <w:r>
              <w:t xml:space="preserve">MARICÁ</w:t>
            </w:r>
          </w:p>
        </w:tc>
        <w:tc>
          <w:tcPr/>
          <w:p>
            <w:pPr>
              <w:pStyle w:val="Compact"/>
              <w:jc w:val="right"/>
            </w:pPr>
            <w:r>
              <w:t xml:space="preserve">48</w:t>
            </w:r>
          </w:p>
        </w:tc>
        <w:tc>
          <w:tcPr/>
          <w:p>
            <w:pPr>
              <w:pStyle w:val="Compact"/>
              <w:jc w:val="right"/>
            </w:pPr>
            <w:r>
              <w:t xml:space="preserve">40</w:t>
            </w:r>
          </w:p>
        </w:tc>
        <w:tc>
          <w:tcPr/>
          <w:p>
            <w:pPr>
              <w:pStyle w:val="Compact"/>
              <w:jc w:val="right"/>
            </w:pPr>
            <w:r>
              <w:t xml:space="preserve">8</w:t>
            </w:r>
          </w:p>
        </w:tc>
        <w:tc>
          <w:tcPr/>
          <w:p>
            <w:pPr>
              <w:pStyle w:val="Compact"/>
              <w:jc w:val="right"/>
            </w:pPr>
            <w:r>
              <w:t xml:space="preserve">83,3%</w:t>
            </w:r>
          </w:p>
        </w:tc>
      </w:tr>
      <w:tr>
        <w:tc>
          <w:tcPr/>
          <w:p>
            <w:pPr>
              <w:pStyle w:val="Compact"/>
            </w:pPr>
            <w:r>
              <w:t xml:space="preserve">UENF</w:t>
            </w:r>
          </w:p>
        </w:tc>
        <w:tc>
          <w:tcPr/>
          <w:p>
            <w:pPr>
              <w:pStyle w:val="Compact"/>
              <w:jc w:val="right"/>
            </w:pPr>
            <w:r>
              <w:t xml:space="preserve">22</w:t>
            </w:r>
          </w:p>
        </w:tc>
        <w:tc>
          <w:tcPr/>
          <w:p>
            <w:pPr>
              <w:pStyle w:val="Compact"/>
              <w:jc w:val="right"/>
            </w:pPr>
            <w:r>
              <w:t xml:space="preserve">18</w:t>
            </w:r>
          </w:p>
        </w:tc>
        <w:tc>
          <w:tcPr/>
          <w:p>
            <w:pPr>
              <w:pStyle w:val="Compact"/>
              <w:jc w:val="right"/>
            </w:pPr>
            <w:r>
              <w:t xml:space="preserve">4</w:t>
            </w:r>
          </w:p>
        </w:tc>
        <w:tc>
          <w:tcPr/>
          <w:p>
            <w:pPr>
              <w:pStyle w:val="Compact"/>
              <w:jc w:val="right"/>
            </w:pPr>
            <w:r>
              <w:t xml:space="preserve">81,8%</w:t>
            </w:r>
          </w:p>
        </w:tc>
      </w:tr>
      <w:tr>
        <w:tc>
          <w:tcPr/>
          <w:p>
            <w:pPr>
              <w:pStyle w:val="Compact"/>
            </w:pPr>
            <w:r>
              <w:t xml:space="preserve">CASIMIRO DE ABREU</w:t>
            </w:r>
          </w:p>
        </w:tc>
        <w:tc>
          <w:tcPr/>
          <w:p>
            <w:pPr>
              <w:pStyle w:val="Compact"/>
              <w:jc w:val="right"/>
            </w:pPr>
            <w:r>
              <w:t xml:space="preserve">27</w:t>
            </w:r>
          </w:p>
        </w:tc>
        <w:tc>
          <w:tcPr/>
          <w:p>
            <w:pPr>
              <w:pStyle w:val="Compact"/>
              <w:jc w:val="right"/>
            </w:pPr>
            <w:r>
              <w:t xml:space="preserve">22</w:t>
            </w:r>
          </w:p>
        </w:tc>
        <w:tc>
          <w:tcPr/>
          <w:p>
            <w:pPr>
              <w:pStyle w:val="Compact"/>
              <w:jc w:val="right"/>
            </w:pPr>
            <w:r>
              <w:t xml:space="preserve">5</w:t>
            </w:r>
          </w:p>
        </w:tc>
        <w:tc>
          <w:tcPr/>
          <w:p>
            <w:pPr>
              <w:pStyle w:val="Compact"/>
              <w:jc w:val="right"/>
            </w:pPr>
            <w:r>
              <w:t xml:space="preserve">81,5%</w:t>
            </w:r>
          </w:p>
        </w:tc>
      </w:tr>
      <w:tr>
        <w:tc>
          <w:tcPr/>
          <w:p>
            <w:pPr>
              <w:pStyle w:val="Compact"/>
            </w:pPr>
            <w:r>
              <w:t xml:space="preserve">LOTERJ</w:t>
            </w:r>
          </w:p>
        </w:tc>
        <w:tc>
          <w:tcPr/>
          <w:p>
            <w:pPr>
              <w:pStyle w:val="Compact"/>
              <w:jc w:val="right"/>
            </w:pPr>
            <w:r>
              <w:t xml:space="preserve">21</w:t>
            </w:r>
          </w:p>
        </w:tc>
        <w:tc>
          <w:tcPr/>
          <w:p>
            <w:pPr>
              <w:pStyle w:val="Compact"/>
              <w:jc w:val="right"/>
            </w:pPr>
            <w:r>
              <w:t xml:space="preserve">17</w:t>
            </w:r>
          </w:p>
        </w:tc>
        <w:tc>
          <w:tcPr/>
          <w:p>
            <w:pPr>
              <w:pStyle w:val="Compact"/>
              <w:jc w:val="right"/>
            </w:pPr>
            <w:r>
              <w:t xml:space="preserve">4</w:t>
            </w:r>
          </w:p>
        </w:tc>
        <w:tc>
          <w:tcPr/>
          <w:p>
            <w:pPr>
              <w:pStyle w:val="Compact"/>
              <w:jc w:val="right"/>
            </w:pPr>
            <w:r>
              <w:t xml:space="preserve">81,0%</w:t>
            </w:r>
          </w:p>
        </w:tc>
      </w:tr>
    </w:tbl>
    <w:p>
      <w:pPr>
        <w:pStyle w:val="FonteImagem"/>
      </w:pPr>
      <w:r>
        <w:t xml:space="preserve">(Fonte: elaboração própria, com base nos pareceres consolidados da avaliação de evidências)</w:t>
      </w:r>
    </w:p>
    <w:p>
      <w:pPr>
        <w:pStyle w:val="Corpodetexto"/>
      </w:pPr>
      <w:r>
        <w:t xml:space="preserve">Esses resultados mostram que a avaliação de evidências não produziu apenas reduções. Também permitiu identificar organizações cujas declarações foram, em maior proporção, confirmadas pela documentação apresentada. Em termos de confiabilidade das respostas, esses casos indicam melhor aderência entre autodeclaração e comprovação documental, especialmente quando a taxa elevada de conformidade veio acompanhada de volume relevante de itens avaliados.</w:t>
      </w:r>
    </w:p>
    <w:bookmarkEnd w:id="23"/>
    <w:bookmarkStart w:id="24" w:name="X603e8ef3058a3414f4ba903285f09e897b5ee8b"/>
    <w:p>
      <w:pPr>
        <w:pStyle w:val="Ttulo1"/>
      </w:pPr>
      <w:r>
        <w:t xml:space="preserve">8. Impacto nos achados e situações inconformes</w:t>
      </w:r>
    </w:p>
    <w:p>
      <w:pPr>
        <w:pStyle w:val="FirstParagraph"/>
      </w:pPr>
      <w:r>
        <w:t xml:space="preserve">Quando a auditoria é comparada no critério metodologicamente adequado, isto é, cenário inicial com apenas a fonte de respostas contra cenário pós-evidência com respostas ajustadas e painel de avaliação de evidências, observa-se impacto relevante sobre os achados. Ambos os cenários foram reexecutados com o mapa de verificação revisado após os comentários do gestor. No cenário com ajuste inicial e sem painel de evidências, foram identificadas</w:t>
      </w:r>
      <w:r>
        <w:t xml:space="preserve"> </w:t>
      </w:r>
      <w:r>
        <w:rPr>
          <w:b/>
          <w:bCs/>
        </w:rPr>
        <w:t xml:space="preserve">565 marcações de achados por auditado</w:t>
      </w:r>
      <w:r>
        <w:t xml:space="preserve">. No cenário pós-evidência, esse total passou para</w:t>
      </w:r>
      <w:r>
        <w:t xml:space="preserve"> </w:t>
      </w:r>
      <w:r>
        <w:rPr>
          <w:b/>
          <w:bCs/>
        </w:rPr>
        <w:t xml:space="preserve">602</w:t>
      </w:r>
      <w:r>
        <w:t xml:space="preserve">, acréscimo de</w:t>
      </w:r>
      <w:r>
        <w:t xml:space="preserve"> </w:t>
      </w:r>
      <w:r>
        <w:rPr>
          <w:b/>
          <w:bCs/>
        </w:rPr>
        <w:t xml:space="preserve">37 marcações</w:t>
      </w:r>
      <w:r>
        <w:t xml:space="preserve">.</w:t>
      </w:r>
    </w:p>
    <w:p>
      <w:pPr>
        <w:pStyle w:val="Corpodetexto"/>
      </w:pPr>
      <w:r>
        <w:t xml:space="preserve">O impacto foi ainda mais expressivo nas situações inconformes. O total passou de</w:t>
      </w:r>
      <w:r>
        <w:t xml:space="preserve"> </w:t>
      </w:r>
      <w:r>
        <w:rPr>
          <w:b/>
          <w:bCs/>
        </w:rPr>
        <w:t xml:space="preserve">1.252</w:t>
      </w:r>
      <w:r>
        <w:t xml:space="preserve">, no cenário inicial, para</w:t>
      </w:r>
      <w:r>
        <w:t xml:space="preserve"> </w:t>
      </w:r>
      <w:r>
        <w:rPr>
          <w:b/>
          <w:bCs/>
        </w:rPr>
        <w:t xml:space="preserve">1.458</w:t>
      </w:r>
      <w:r>
        <w:t xml:space="preserve">, no cenário pós-evidência, com acréscimo líquido de</w:t>
      </w:r>
      <w:r>
        <w:t xml:space="preserve"> </w:t>
      </w:r>
      <w:r>
        <w:rPr>
          <w:b/>
          <w:bCs/>
        </w:rPr>
        <w:t xml:space="preserve">206 situações inconformes</w:t>
      </w:r>
      <w:r>
        <w:t xml:space="preserve">. O mesmo acréscimo líquido ocorreu nos encaminhamentos associados. A comparação por organização registrou aumento de situações em 80 organizações, estabilidade em 38 e redução em uma, em razão da recomposição de condições de uma regra composta.</w:t>
      </w:r>
    </w:p>
    <w:p>
      <w:pPr>
        <w:pStyle w:val="TableCaption"/>
      </w:pPr>
      <w:r>
        <w:t xml:space="preserve">Impacto dos ajustes pós-evidência nos achados e situações inconformes {#tbl:impacto_evidencias_achados_situacoes#}</w:t>
      </w:r>
    </w:p>
    <w:tbl>
      <w:tblPr>
        <w:tblStyle w:val="Table"/>
        <w:tblW w:type="pct" w:w="5000"/>
        <w:tblLayout w:type="fixed"/>
        <w:tblLook w:firstRow="1" w:lastRow="0" w:firstColumn="0" w:lastColumn="0" w:noHBand="0" w:noVBand="0" w:val="0020"/>
        <w:tblCaption w:val="Impacto dos ajustes pós-evidência nos achados e situações inconformes {#tbl:impacto_evidencias_achados_situacoes#}"/>
      </w:tblPr>
      <w:tblGrid>
        <w:gridCol w:w="880"/>
        <w:gridCol w:w="1173"/>
        <w:gridCol w:w="1173"/>
        <w:gridCol w:w="1173"/>
        <w:gridCol w:w="1173"/>
        <w:gridCol w:w="1173"/>
        <w:gridCol w:w="1173"/>
      </w:tblGrid>
      <w:tr>
        <w:trPr>
          <w:tblHeader w:val="on"/>
        </w:trPr>
        <w:tc>
          <w:tcPr/>
          <w:p>
            <w:pPr>
              <w:pStyle w:val="Compact"/>
            </w:pPr>
            <w:r>
              <w:t xml:space="preserve">Medida</w:t>
            </w:r>
          </w:p>
        </w:tc>
        <w:tc>
          <w:tcPr/>
          <w:p>
            <w:pPr>
              <w:pStyle w:val="Compact"/>
              <w:jc w:val="right"/>
            </w:pPr>
            <w:r>
              <w:t xml:space="preserve">Cenário com ajuste inicial</w:t>
            </w:r>
          </w:p>
        </w:tc>
        <w:tc>
          <w:tcPr/>
          <w:p>
            <w:pPr>
              <w:pStyle w:val="Compact"/>
              <w:jc w:val="right"/>
            </w:pPr>
            <w:r>
              <w:t xml:space="preserve">Cenário pós-evidência</w:t>
            </w:r>
          </w:p>
        </w:tc>
        <w:tc>
          <w:tcPr/>
          <w:p>
            <w:pPr>
              <w:pStyle w:val="Compact"/>
              <w:jc w:val="right"/>
            </w:pPr>
            <w:r>
              <w:t xml:space="preserve">Variação</w:t>
            </w:r>
          </w:p>
        </w:tc>
        <w:tc>
          <w:tcPr/>
          <w:p>
            <w:pPr>
              <w:pStyle w:val="Compact"/>
              <w:jc w:val="right"/>
            </w:pPr>
            <w:r>
              <w:t xml:space="preserve">Organizações com aumento</w:t>
            </w:r>
          </w:p>
        </w:tc>
        <w:tc>
          <w:tcPr/>
          <w:p>
            <w:pPr>
              <w:pStyle w:val="Compact"/>
              <w:jc w:val="right"/>
            </w:pPr>
            <w:r>
              <w:t xml:space="preserve">Organizações sem variação</w:t>
            </w:r>
          </w:p>
        </w:tc>
        <w:tc>
          <w:tcPr/>
          <w:p>
            <w:pPr>
              <w:pStyle w:val="Compact"/>
              <w:jc w:val="right"/>
            </w:pPr>
            <w:r>
              <w:t xml:space="preserve">Organizações com redução</w:t>
            </w:r>
          </w:p>
        </w:tc>
      </w:tr>
      <w:tr>
        <w:tc>
          <w:tcPr/>
          <w:p>
            <w:pPr>
              <w:pStyle w:val="Compact"/>
            </w:pPr>
            <w:r>
              <w:t xml:space="preserve">Marcações de achados por auditado</w:t>
            </w:r>
          </w:p>
        </w:tc>
        <w:tc>
          <w:tcPr/>
          <w:p>
            <w:pPr>
              <w:pStyle w:val="Compact"/>
              <w:jc w:val="right"/>
            </w:pPr>
            <w:r>
              <w:t xml:space="preserve">565</w:t>
            </w:r>
          </w:p>
        </w:tc>
        <w:tc>
          <w:tcPr/>
          <w:p>
            <w:pPr>
              <w:pStyle w:val="Compact"/>
              <w:jc w:val="right"/>
            </w:pPr>
            <w:r>
              <w:t xml:space="preserve">602</w:t>
            </w:r>
          </w:p>
        </w:tc>
        <w:tc>
          <w:tcPr/>
          <w:p>
            <w:pPr>
              <w:pStyle w:val="Compact"/>
              <w:jc w:val="right"/>
            </w:pPr>
            <w:r>
              <w:t xml:space="preserve">+37</w:t>
            </w:r>
          </w:p>
        </w:tc>
        <w:tc>
          <w:tcPr/>
          <w:p>
            <w:pPr>
              <w:pStyle w:val="Compact"/>
              <w:jc w:val="right"/>
            </w:pPr>
            <w:r>
              <w:t xml:space="preserve">31</w:t>
            </w:r>
          </w:p>
        </w:tc>
        <w:tc>
          <w:tcPr/>
          <w:p>
            <w:pPr>
              <w:pStyle w:val="Compact"/>
              <w:jc w:val="right"/>
            </w:pPr>
            <w:r>
              <w:t xml:space="preserve">88</w:t>
            </w:r>
          </w:p>
        </w:tc>
        <w:tc>
          <w:tcPr/>
          <w:p>
            <w:pPr>
              <w:pStyle w:val="Compact"/>
              <w:jc w:val="right"/>
            </w:pPr>
            <w:r>
              <w:t xml:space="preserve">0</w:t>
            </w:r>
          </w:p>
        </w:tc>
      </w:tr>
      <w:tr>
        <w:tc>
          <w:tcPr/>
          <w:p>
            <w:pPr>
              <w:pStyle w:val="Compact"/>
            </w:pPr>
            <w:r>
              <w:t xml:space="preserve">Situações inconformes</w:t>
            </w:r>
          </w:p>
        </w:tc>
        <w:tc>
          <w:tcPr/>
          <w:p>
            <w:pPr>
              <w:pStyle w:val="Compact"/>
              <w:jc w:val="right"/>
            </w:pPr>
            <w:r>
              <w:t xml:space="preserve">1.252</w:t>
            </w:r>
          </w:p>
        </w:tc>
        <w:tc>
          <w:tcPr/>
          <w:p>
            <w:pPr>
              <w:pStyle w:val="Compact"/>
              <w:jc w:val="right"/>
            </w:pPr>
            <w:r>
              <w:t xml:space="preserve">1.458</w:t>
            </w:r>
          </w:p>
        </w:tc>
        <w:tc>
          <w:tcPr/>
          <w:p>
            <w:pPr>
              <w:pStyle w:val="Compact"/>
              <w:jc w:val="right"/>
            </w:pPr>
            <w:r>
              <w:t xml:space="preserve">+206</w:t>
            </w:r>
          </w:p>
        </w:tc>
        <w:tc>
          <w:tcPr/>
          <w:p>
            <w:pPr>
              <w:pStyle w:val="Compact"/>
              <w:jc w:val="right"/>
            </w:pPr>
            <w:r>
              <w:t xml:space="preserve">80</w:t>
            </w:r>
          </w:p>
        </w:tc>
        <w:tc>
          <w:tcPr/>
          <w:p>
            <w:pPr>
              <w:pStyle w:val="Compact"/>
              <w:jc w:val="right"/>
            </w:pPr>
            <w:r>
              <w:t xml:space="preserve">38</w:t>
            </w:r>
          </w:p>
        </w:tc>
        <w:tc>
          <w:tcPr/>
          <w:p>
            <w:pPr>
              <w:pStyle w:val="Compact"/>
              <w:jc w:val="right"/>
            </w:pPr>
            <w:r>
              <w:t xml:space="preserve">1</w:t>
            </w:r>
          </w:p>
        </w:tc>
      </w:tr>
      <w:tr>
        <w:tc>
          <w:tcPr/>
          <w:p>
            <w:pPr>
              <w:pStyle w:val="Compact"/>
            </w:pPr>
            <w:r>
              <w:t xml:space="preserve">Encaminhamentos associados</w:t>
            </w:r>
          </w:p>
        </w:tc>
        <w:tc>
          <w:tcPr/>
          <w:p>
            <w:pPr>
              <w:pStyle w:val="Compact"/>
              <w:jc w:val="right"/>
            </w:pPr>
            <w:r>
              <w:t xml:space="preserve">1.252</w:t>
            </w:r>
          </w:p>
        </w:tc>
        <w:tc>
          <w:tcPr/>
          <w:p>
            <w:pPr>
              <w:pStyle w:val="Compact"/>
              <w:jc w:val="right"/>
            </w:pPr>
            <w:r>
              <w:t xml:space="preserve">1.458</w:t>
            </w:r>
          </w:p>
        </w:tc>
        <w:tc>
          <w:tcPr/>
          <w:p>
            <w:pPr>
              <w:pStyle w:val="Compact"/>
              <w:jc w:val="right"/>
            </w:pPr>
            <w:r>
              <w:t xml:space="preserve">+206</w:t>
            </w:r>
          </w:p>
        </w:tc>
        <w:tc>
          <w:tcPr/>
          <w:p>
            <w:pPr>
              <w:pStyle w:val="Compact"/>
              <w:jc w:val="right"/>
            </w:pPr>
            <w:r>
              <w:t xml:space="preserve">80</w:t>
            </w:r>
          </w:p>
        </w:tc>
        <w:tc>
          <w:tcPr/>
          <w:p>
            <w:pPr>
              <w:pStyle w:val="Compact"/>
              <w:jc w:val="right"/>
            </w:pPr>
            <w:r>
              <w:t xml:space="preserve">38</w:t>
            </w:r>
          </w:p>
        </w:tc>
        <w:tc>
          <w:tcPr/>
          <w:p>
            <w:pPr>
              <w:pStyle w:val="Compact"/>
              <w:jc w:val="right"/>
            </w:pPr>
            <w:r>
              <w:t xml:space="preserve">1</w:t>
            </w:r>
          </w:p>
        </w:tc>
      </w:tr>
    </w:tbl>
    <w:p>
      <w:pPr>
        <w:pStyle w:val="FonteImagem"/>
      </w:pPr>
      <w:r>
        <w:t xml:space="preserve">(Fonte: elaboração própria, com base na execução comparativa dos procedimentos de auditoria)</w:t>
      </w:r>
    </w:p>
    <w:p>
      <w:pPr>
        <w:pStyle w:val="Corpodetexto"/>
      </w:pPr>
      <w:r>
        <w:t xml:space="preserve">O acréscimo concentrou-se no achado relativo às contratações de TIC, que passou de</w:t>
      </w:r>
      <w:r>
        <w:t xml:space="preserve"> </w:t>
      </w:r>
      <w:r>
        <w:rPr>
          <w:b/>
          <w:bCs/>
        </w:rPr>
        <w:t xml:space="preserve">87</w:t>
      </w:r>
      <w:r>
        <w:t xml:space="preserve"> </w:t>
      </w:r>
      <w:r>
        <w:t xml:space="preserve">para</w:t>
      </w:r>
      <w:r>
        <w:t xml:space="preserve"> </w:t>
      </w:r>
      <w:r>
        <w:rPr>
          <w:b/>
          <w:bCs/>
        </w:rPr>
        <w:t xml:space="preserve">105</w:t>
      </w:r>
      <w:r>
        <w:t xml:space="preserve"> </w:t>
      </w:r>
      <w:r>
        <w:t xml:space="preserve">organizações. Também houve aumento nos demais achados, sobretudo em planejamento e governança de TIC.</w:t>
      </w:r>
    </w:p>
    <w:p>
      <w:pPr>
        <w:pStyle w:val="TableCaption"/>
      </w:pPr>
      <w:r>
        <w:t xml:space="preserve">Impacto por achado {#tbl:impacto_evidencias_por_achado#}</w:t>
      </w:r>
    </w:p>
    <w:tbl>
      <w:tblPr>
        <w:tblStyle w:val="Table"/>
        <w:tblW w:type="pct" w:w="5000"/>
        <w:tblLayout w:type="fixed"/>
        <w:tblLook w:firstRow="1" w:lastRow="0" w:firstColumn="0" w:lastColumn="0" w:noHBand="0" w:noVBand="0" w:val="0020"/>
        <w:tblCaption w:val="Impacto por achado {#tbl:impacto_evidencias_por_achado#}"/>
      </w:tblPr>
      <w:tblGrid>
        <w:gridCol w:w="1584"/>
        <w:gridCol w:w="2112"/>
        <w:gridCol w:w="2112"/>
        <w:gridCol w:w="2112"/>
      </w:tblGrid>
      <w:tr>
        <w:trPr>
          <w:tblHeader w:val="on"/>
        </w:trPr>
        <w:tc>
          <w:tcPr/>
          <w:p>
            <w:pPr>
              <w:pStyle w:val="Compact"/>
            </w:pPr>
            <w:r>
              <w:t xml:space="preserve">Achado</w:t>
            </w:r>
          </w:p>
        </w:tc>
        <w:tc>
          <w:tcPr/>
          <w:p>
            <w:pPr>
              <w:pStyle w:val="Compact"/>
              <w:jc w:val="right"/>
            </w:pPr>
            <w:r>
              <w:t xml:space="preserve">Cenário com ajuste inicial</w:t>
            </w:r>
          </w:p>
        </w:tc>
        <w:tc>
          <w:tcPr/>
          <w:p>
            <w:pPr>
              <w:pStyle w:val="Compact"/>
              <w:jc w:val="right"/>
            </w:pPr>
            <w:r>
              <w:t xml:space="preserve">Cenário pós-evidência</w:t>
            </w:r>
          </w:p>
        </w:tc>
        <w:tc>
          <w:tcPr/>
          <w:p>
            <w:pPr>
              <w:pStyle w:val="Compact"/>
              <w:jc w:val="right"/>
            </w:pPr>
            <w:r>
              <w:t xml:space="preserve">Variação</w:t>
            </w:r>
          </w:p>
        </w:tc>
      </w:tr>
      <w:tr>
        <w:tc>
          <w:tcPr/>
          <w:p>
            <w:pPr>
              <w:pStyle w:val="Compact"/>
            </w:pPr>
            <w:r>
              <w:t xml:space="preserve">1. Estrutura de TIC insuficiente</w:t>
            </w:r>
          </w:p>
        </w:tc>
        <w:tc>
          <w:tcPr/>
          <w:p>
            <w:pPr>
              <w:pStyle w:val="Compact"/>
              <w:jc w:val="right"/>
            </w:pPr>
            <w:r>
              <w:t xml:space="preserve">65</w:t>
            </w:r>
          </w:p>
        </w:tc>
        <w:tc>
          <w:tcPr/>
          <w:p>
            <w:pPr>
              <w:pStyle w:val="Compact"/>
              <w:jc w:val="right"/>
            </w:pPr>
            <w:r>
              <w:t xml:space="preserve">69</w:t>
            </w:r>
          </w:p>
        </w:tc>
        <w:tc>
          <w:tcPr/>
          <w:p>
            <w:pPr>
              <w:pStyle w:val="Compact"/>
              <w:jc w:val="right"/>
            </w:pPr>
            <w:r>
              <w:t xml:space="preserve">+4</w:t>
            </w:r>
          </w:p>
        </w:tc>
      </w:tr>
      <w:tr>
        <w:tc>
          <w:tcPr/>
          <w:p>
            <w:pPr>
              <w:pStyle w:val="Compact"/>
            </w:pPr>
            <w:r>
              <w:t xml:space="preserve">2. Governança de TIC insuficiente</w:t>
            </w:r>
          </w:p>
        </w:tc>
        <w:tc>
          <w:tcPr/>
          <w:p>
            <w:pPr>
              <w:pStyle w:val="Compact"/>
              <w:jc w:val="right"/>
            </w:pPr>
            <w:r>
              <w:t xml:space="preserve">98</w:t>
            </w:r>
          </w:p>
        </w:tc>
        <w:tc>
          <w:tcPr/>
          <w:p>
            <w:pPr>
              <w:pStyle w:val="Compact"/>
              <w:jc w:val="right"/>
            </w:pPr>
            <w:r>
              <w:t xml:space="preserve">103</w:t>
            </w:r>
          </w:p>
        </w:tc>
        <w:tc>
          <w:tcPr/>
          <w:p>
            <w:pPr>
              <w:pStyle w:val="Compact"/>
              <w:jc w:val="right"/>
            </w:pPr>
            <w:r>
              <w:t xml:space="preserve">+5</w:t>
            </w:r>
          </w:p>
        </w:tc>
      </w:tr>
      <w:tr>
        <w:tc>
          <w:tcPr/>
          <w:p>
            <w:pPr>
              <w:pStyle w:val="Compact"/>
            </w:pPr>
            <w:r>
              <w:t xml:space="preserve">3. Planejamento de TIC insuficiente</w:t>
            </w:r>
          </w:p>
        </w:tc>
        <w:tc>
          <w:tcPr/>
          <w:p>
            <w:pPr>
              <w:pStyle w:val="Compact"/>
              <w:jc w:val="right"/>
            </w:pPr>
            <w:r>
              <w:t xml:space="preserve">96</w:t>
            </w:r>
          </w:p>
        </w:tc>
        <w:tc>
          <w:tcPr/>
          <w:p>
            <w:pPr>
              <w:pStyle w:val="Compact"/>
              <w:jc w:val="right"/>
            </w:pPr>
            <w:r>
              <w:t xml:space="preserve">102</w:t>
            </w:r>
          </w:p>
        </w:tc>
        <w:tc>
          <w:tcPr/>
          <w:p>
            <w:pPr>
              <w:pStyle w:val="Compact"/>
              <w:jc w:val="right"/>
            </w:pPr>
            <w:r>
              <w:t xml:space="preserve">+6</w:t>
            </w:r>
          </w:p>
        </w:tc>
      </w:tr>
      <w:tr>
        <w:tc>
          <w:tcPr/>
          <w:p>
            <w:pPr>
              <w:pStyle w:val="Compact"/>
            </w:pPr>
            <w:r>
              <w:t xml:space="preserve">4. Capacidade institucional insuficiente</w:t>
            </w:r>
          </w:p>
        </w:tc>
        <w:tc>
          <w:tcPr/>
          <w:p>
            <w:pPr>
              <w:pStyle w:val="Compact"/>
              <w:jc w:val="right"/>
            </w:pPr>
            <w:r>
              <w:t xml:space="preserve">107</w:t>
            </w:r>
          </w:p>
        </w:tc>
        <w:tc>
          <w:tcPr/>
          <w:p>
            <w:pPr>
              <w:pStyle w:val="Compact"/>
              <w:jc w:val="right"/>
            </w:pPr>
            <w:r>
              <w:t xml:space="preserve">110</w:t>
            </w:r>
          </w:p>
        </w:tc>
        <w:tc>
          <w:tcPr/>
          <w:p>
            <w:pPr>
              <w:pStyle w:val="Compact"/>
              <w:jc w:val="right"/>
            </w:pPr>
            <w:r>
              <w:t xml:space="preserve">+3</w:t>
            </w:r>
          </w:p>
        </w:tc>
      </w:tr>
      <w:tr>
        <w:tc>
          <w:tcPr/>
          <w:p>
            <w:pPr>
              <w:pStyle w:val="Compact"/>
            </w:pPr>
            <w:r>
              <w:t xml:space="preserve">5. Gestão de serviços de TIC insuficiente</w:t>
            </w:r>
          </w:p>
        </w:tc>
        <w:tc>
          <w:tcPr/>
          <w:p>
            <w:pPr>
              <w:pStyle w:val="Compact"/>
              <w:jc w:val="right"/>
            </w:pPr>
            <w:r>
              <w:t xml:space="preserve">112</w:t>
            </w:r>
          </w:p>
        </w:tc>
        <w:tc>
          <w:tcPr/>
          <w:p>
            <w:pPr>
              <w:pStyle w:val="Compact"/>
              <w:jc w:val="right"/>
            </w:pPr>
            <w:r>
              <w:t xml:space="preserve">113</w:t>
            </w:r>
          </w:p>
        </w:tc>
        <w:tc>
          <w:tcPr/>
          <w:p>
            <w:pPr>
              <w:pStyle w:val="Compact"/>
              <w:jc w:val="right"/>
            </w:pPr>
            <w:r>
              <w:t xml:space="preserve">+1</w:t>
            </w:r>
          </w:p>
        </w:tc>
      </w:tr>
      <w:tr>
        <w:tc>
          <w:tcPr/>
          <w:p>
            <w:pPr>
              <w:pStyle w:val="Compact"/>
            </w:pPr>
            <w:r>
              <w:t xml:space="preserve">6. Fragilidades na fase preparatória das contratações de TIC</w:t>
            </w:r>
          </w:p>
        </w:tc>
        <w:tc>
          <w:tcPr/>
          <w:p>
            <w:pPr>
              <w:pStyle w:val="Compact"/>
              <w:jc w:val="right"/>
            </w:pPr>
            <w:r>
              <w:t xml:space="preserve">87</w:t>
            </w:r>
          </w:p>
        </w:tc>
        <w:tc>
          <w:tcPr/>
          <w:p>
            <w:pPr>
              <w:pStyle w:val="Compact"/>
              <w:jc w:val="right"/>
            </w:pPr>
            <w:r>
              <w:t xml:space="preserve">105</w:t>
            </w:r>
          </w:p>
        </w:tc>
        <w:tc>
          <w:tcPr/>
          <w:p>
            <w:pPr>
              <w:pStyle w:val="Compact"/>
              <w:jc w:val="right"/>
            </w:pPr>
            <w:r>
              <w:t xml:space="preserve">+18</w:t>
            </w:r>
          </w:p>
        </w:tc>
      </w:tr>
    </w:tbl>
    <w:p>
      <w:pPr>
        <w:pStyle w:val="FonteImagem"/>
      </w:pPr>
      <w:r>
        <w:t xml:space="preserve">(Fonte: elaboração própria, com base na execução comparativa dos procedimentos de auditoria)</w:t>
      </w:r>
    </w:p>
    <w:p>
      <w:pPr>
        <w:pStyle w:val="Corpodetexto"/>
      </w:pPr>
      <w:r>
        <w:t xml:space="preserve">As situações inconformes com maior acréscimo foram aquelas em que a resposta afirmativa dependia de documentação formal capaz de demonstrar planejamento, aprovação, estruturação do processo, análise técnica ou inventário. O maior impacto ocorreu na situação relativa a contratações de TIC sem análise prévia e aprovação técnica da área de TIC, cujo registro passou de</w:t>
      </w:r>
      <w:r>
        <w:t xml:space="preserve"> </w:t>
      </w:r>
      <w:r>
        <w:rPr>
          <w:b/>
          <w:bCs/>
        </w:rPr>
        <w:t xml:space="preserve">38</w:t>
      </w:r>
      <w:r>
        <w:t xml:space="preserve"> </w:t>
      </w:r>
      <w:r>
        <w:t xml:space="preserve">para</w:t>
      </w:r>
      <w:r>
        <w:t xml:space="preserve"> </w:t>
      </w:r>
      <w:r>
        <w:rPr>
          <w:b/>
          <w:bCs/>
        </w:rPr>
        <w:t xml:space="preserve">86</w:t>
      </w:r>
      <w:r>
        <w:t xml:space="preserve"> </w:t>
      </w:r>
      <w:r>
        <w:t xml:space="preserve">organizações.</w:t>
      </w:r>
    </w:p>
    <w:p>
      <w:pPr>
        <w:pStyle w:val="TableCaption"/>
      </w:pPr>
      <w:r>
        <w:t xml:space="preserve">Situações inconformes com maior acréscimo {#tbl:impacto_evidencias_situacoes_maior_acrescimo#}</w:t>
      </w:r>
    </w:p>
    <w:tbl>
      <w:tblPr>
        <w:tblStyle w:val="Table"/>
        <w:tblW w:type="pct" w:w="5000"/>
        <w:tblLayout w:type="fixed"/>
        <w:tblLook w:firstRow="1" w:lastRow="0" w:firstColumn="0" w:lastColumn="0" w:noHBand="0" w:noVBand="0" w:val="0020"/>
        <w:tblCaption w:val="Situações inconformes com maior acréscimo {#tbl:impacto_evidencias_situacoes_maior_acrescimo#}"/>
      </w:tblPr>
      <w:tblGrid>
        <w:gridCol w:w="1584"/>
        <w:gridCol w:w="2112"/>
        <w:gridCol w:w="2112"/>
        <w:gridCol w:w="2112"/>
      </w:tblGrid>
      <w:tr>
        <w:trPr>
          <w:tblHeader w:val="on"/>
        </w:trPr>
        <w:tc>
          <w:tcPr/>
          <w:p>
            <w:pPr>
              <w:pStyle w:val="Compact"/>
            </w:pPr>
            <w:r>
              <w:t xml:space="preserve">Situação inconforme</w:t>
            </w:r>
          </w:p>
        </w:tc>
        <w:tc>
          <w:tcPr/>
          <w:p>
            <w:pPr>
              <w:pStyle w:val="Compact"/>
              <w:jc w:val="right"/>
            </w:pPr>
            <w:r>
              <w:t xml:space="preserve">Cenário com ajuste inicial</w:t>
            </w:r>
          </w:p>
        </w:tc>
        <w:tc>
          <w:tcPr/>
          <w:p>
            <w:pPr>
              <w:pStyle w:val="Compact"/>
              <w:jc w:val="right"/>
            </w:pPr>
            <w:r>
              <w:t xml:space="preserve">Cenário pós-evidência</w:t>
            </w:r>
          </w:p>
        </w:tc>
        <w:tc>
          <w:tcPr/>
          <w:p>
            <w:pPr>
              <w:pStyle w:val="Compact"/>
              <w:jc w:val="right"/>
            </w:pPr>
            <w:r>
              <w:t xml:space="preserve">Variação</w:t>
            </w:r>
          </w:p>
        </w:tc>
      </w:tr>
      <w:tr>
        <w:tc>
          <w:tcPr/>
          <w:p>
            <w:pPr>
              <w:pStyle w:val="Compact"/>
            </w:pPr>
            <w:r>
              <w:t xml:space="preserve">Contratações de TIC sem análise prévia e aprovação técnica da área de TIC</w:t>
            </w:r>
          </w:p>
        </w:tc>
        <w:tc>
          <w:tcPr/>
          <w:p>
            <w:pPr>
              <w:pStyle w:val="Compact"/>
              <w:jc w:val="right"/>
            </w:pPr>
            <w:r>
              <w:t xml:space="preserve">38</w:t>
            </w:r>
          </w:p>
        </w:tc>
        <w:tc>
          <w:tcPr/>
          <w:p>
            <w:pPr>
              <w:pStyle w:val="Compact"/>
              <w:jc w:val="right"/>
            </w:pPr>
            <w:r>
              <w:t xml:space="preserve">86</w:t>
            </w:r>
          </w:p>
        </w:tc>
        <w:tc>
          <w:tcPr/>
          <w:p>
            <w:pPr>
              <w:pStyle w:val="Compact"/>
              <w:jc w:val="right"/>
            </w:pPr>
            <w:r>
              <w:t xml:space="preserve">+48</w:t>
            </w:r>
          </w:p>
        </w:tc>
      </w:tr>
      <w:tr>
        <w:tc>
          <w:tcPr/>
          <w:p>
            <w:pPr>
              <w:pStyle w:val="Compact"/>
            </w:pPr>
            <w:r>
              <w:t xml:space="preserve">Inventário e controle de dispositivos e softwares de TIC inexistente ou insuficiente</w:t>
            </w:r>
          </w:p>
        </w:tc>
        <w:tc>
          <w:tcPr/>
          <w:p>
            <w:pPr>
              <w:pStyle w:val="Compact"/>
              <w:jc w:val="right"/>
            </w:pPr>
            <w:r>
              <w:t xml:space="preserve">70</w:t>
            </w:r>
          </w:p>
        </w:tc>
        <w:tc>
          <w:tcPr/>
          <w:p>
            <w:pPr>
              <w:pStyle w:val="Compact"/>
              <w:jc w:val="right"/>
            </w:pPr>
            <w:r>
              <w:t xml:space="preserve">94</w:t>
            </w:r>
          </w:p>
        </w:tc>
        <w:tc>
          <w:tcPr/>
          <w:p>
            <w:pPr>
              <w:pStyle w:val="Compact"/>
              <w:jc w:val="right"/>
            </w:pPr>
            <w:r>
              <w:t xml:space="preserve">+24</w:t>
            </w:r>
          </w:p>
        </w:tc>
      </w:tr>
      <w:tr>
        <w:tc>
          <w:tcPr/>
          <w:p>
            <w:pPr>
              <w:pStyle w:val="Compact"/>
            </w:pPr>
            <w:r>
              <w:t xml:space="preserve">Ausência de aprovação formal do plano de TIC</w:t>
            </w:r>
          </w:p>
        </w:tc>
        <w:tc>
          <w:tcPr/>
          <w:p>
            <w:pPr>
              <w:pStyle w:val="Compact"/>
              <w:jc w:val="right"/>
            </w:pPr>
            <w:r>
              <w:t xml:space="preserve">10</w:t>
            </w:r>
          </w:p>
        </w:tc>
        <w:tc>
          <w:tcPr/>
          <w:p>
            <w:pPr>
              <w:pStyle w:val="Compact"/>
              <w:jc w:val="right"/>
            </w:pPr>
            <w:r>
              <w:t xml:space="preserve">29</w:t>
            </w:r>
          </w:p>
        </w:tc>
        <w:tc>
          <w:tcPr/>
          <w:p>
            <w:pPr>
              <w:pStyle w:val="Compact"/>
              <w:jc w:val="right"/>
            </w:pPr>
            <w:r>
              <w:t xml:space="preserve">+19</w:t>
            </w:r>
          </w:p>
        </w:tc>
      </w:tr>
      <w:tr>
        <w:tc>
          <w:tcPr/>
          <w:p>
            <w:pPr>
              <w:pStyle w:val="Compact"/>
            </w:pPr>
            <w:r>
              <w:t xml:space="preserve">Inexistência ou fragilidade de processo formal e padronizado para o planejamento das contratações de TIC</w:t>
            </w:r>
          </w:p>
        </w:tc>
        <w:tc>
          <w:tcPr/>
          <w:p>
            <w:pPr>
              <w:pStyle w:val="Compact"/>
              <w:jc w:val="right"/>
            </w:pPr>
            <w:r>
              <w:t xml:space="preserve">71</w:t>
            </w:r>
          </w:p>
        </w:tc>
        <w:tc>
          <w:tcPr/>
          <w:p>
            <w:pPr>
              <w:pStyle w:val="Compact"/>
              <w:jc w:val="right"/>
            </w:pPr>
            <w:r>
              <w:t xml:space="preserve">87</w:t>
            </w:r>
          </w:p>
        </w:tc>
        <w:tc>
          <w:tcPr/>
          <w:p>
            <w:pPr>
              <w:pStyle w:val="Compact"/>
              <w:jc w:val="right"/>
            </w:pPr>
            <w:r>
              <w:t xml:space="preserve">+16</w:t>
            </w:r>
          </w:p>
        </w:tc>
      </w:tr>
      <w:tr>
        <w:tc>
          <w:tcPr/>
          <w:p>
            <w:pPr>
              <w:pStyle w:val="Compact"/>
            </w:pPr>
            <w:r>
              <w:t xml:space="preserve">Comitê de TIC ou instância equivalente não instituído formalmente ou sem representação de áreas relevantes da organização</w:t>
            </w:r>
          </w:p>
        </w:tc>
        <w:tc>
          <w:tcPr/>
          <w:p>
            <w:pPr>
              <w:pStyle w:val="Compact"/>
              <w:jc w:val="right"/>
            </w:pPr>
            <w:r>
              <w:t xml:space="preserve">75</w:t>
            </w:r>
          </w:p>
        </w:tc>
        <w:tc>
          <w:tcPr/>
          <w:p>
            <w:pPr>
              <w:pStyle w:val="Compact"/>
              <w:jc w:val="right"/>
            </w:pPr>
            <w:r>
              <w:t xml:space="preserve">86</w:t>
            </w:r>
          </w:p>
        </w:tc>
        <w:tc>
          <w:tcPr/>
          <w:p>
            <w:pPr>
              <w:pStyle w:val="Compact"/>
              <w:jc w:val="right"/>
            </w:pPr>
            <w:r>
              <w:t xml:space="preserve">+11</w:t>
            </w:r>
          </w:p>
        </w:tc>
      </w:tr>
      <w:tr>
        <w:tc>
          <w:tcPr/>
          <w:p>
            <w:pPr>
              <w:pStyle w:val="Compact"/>
            </w:pPr>
            <w:r>
              <w:t xml:space="preserve">Ausência de cargos ou funções formalmente atribuídos à TIC ou à segurança da informação</w:t>
            </w:r>
          </w:p>
        </w:tc>
        <w:tc>
          <w:tcPr/>
          <w:p>
            <w:pPr>
              <w:pStyle w:val="Compact"/>
              <w:jc w:val="right"/>
            </w:pPr>
            <w:r>
              <w:t xml:space="preserve">82</w:t>
            </w:r>
          </w:p>
        </w:tc>
        <w:tc>
          <w:tcPr/>
          <w:p>
            <w:pPr>
              <w:pStyle w:val="Compact"/>
              <w:jc w:val="right"/>
            </w:pPr>
            <w:r>
              <w:t xml:space="preserve">93</w:t>
            </w:r>
          </w:p>
        </w:tc>
        <w:tc>
          <w:tcPr/>
          <w:p>
            <w:pPr>
              <w:pStyle w:val="Compact"/>
              <w:jc w:val="right"/>
            </w:pPr>
            <w:r>
              <w:t xml:space="preserve">+11</w:t>
            </w:r>
          </w:p>
        </w:tc>
      </w:tr>
      <w:tr>
        <w:tc>
          <w:tcPr/>
          <w:p>
            <w:pPr>
              <w:pStyle w:val="Compact"/>
            </w:pPr>
            <w:r>
              <w:t xml:space="preserve">Inexistência ou insuficiência do catálogo de serviços de TIC</w:t>
            </w:r>
          </w:p>
        </w:tc>
        <w:tc>
          <w:tcPr/>
          <w:p>
            <w:pPr>
              <w:pStyle w:val="Compact"/>
              <w:jc w:val="right"/>
            </w:pPr>
            <w:r>
              <w:t xml:space="preserve">99</w:t>
            </w:r>
          </w:p>
        </w:tc>
        <w:tc>
          <w:tcPr/>
          <w:p>
            <w:pPr>
              <w:pStyle w:val="Compact"/>
              <w:jc w:val="right"/>
            </w:pPr>
            <w:r>
              <w:t xml:space="preserve">110</w:t>
            </w:r>
          </w:p>
        </w:tc>
        <w:tc>
          <w:tcPr/>
          <w:p>
            <w:pPr>
              <w:pStyle w:val="Compact"/>
              <w:jc w:val="right"/>
            </w:pPr>
            <w:r>
              <w:t xml:space="preserve">+11</w:t>
            </w:r>
          </w:p>
        </w:tc>
      </w:tr>
      <w:tr>
        <w:tc>
          <w:tcPr/>
          <w:p>
            <w:pPr>
              <w:pStyle w:val="Compact"/>
            </w:pPr>
            <w:r>
              <w:t xml:space="preserve">Ausência de objetivos, indicadores ou metas para a gestão de TIC</w:t>
            </w:r>
          </w:p>
        </w:tc>
        <w:tc>
          <w:tcPr/>
          <w:p>
            <w:pPr>
              <w:pStyle w:val="Compact"/>
              <w:jc w:val="right"/>
            </w:pPr>
            <w:r>
              <w:t xml:space="preserve">87</w:t>
            </w:r>
          </w:p>
        </w:tc>
        <w:tc>
          <w:tcPr/>
          <w:p>
            <w:pPr>
              <w:pStyle w:val="Compact"/>
              <w:jc w:val="right"/>
            </w:pPr>
            <w:r>
              <w:t xml:space="preserve">96</w:t>
            </w:r>
          </w:p>
        </w:tc>
        <w:tc>
          <w:tcPr/>
          <w:p>
            <w:pPr>
              <w:pStyle w:val="Compact"/>
              <w:jc w:val="right"/>
            </w:pPr>
            <w:r>
              <w:t xml:space="preserve">+9</w:t>
            </w:r>
          </w:p>
        </w:tc>
      </w:tr>
      <w:tr>
        <w:tc>
          <w:tcPr/>
          <w:p>
            <w:pPr>
              <w:pStyle w:val="Compact"/>
            </w:pPr>
            <w:r>
              <w:t xml:space="preserve">Comitê de TIC ou instância equivalente sem atuação efetiva comprovada</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+8</w:t>
            </w:r>
          </w:p>
        </w:tc>
      </w:tr>
      <w:tr>
        <w:tc>
          <w:tcPr/>
          <w:p>
            <w:pPr>
              <w:pStyle w:val="Compact"/>
            </w:pPr>
            <w:r>
              <w:t xml:space="preserve">Plano de TIC sem alinhamento adequado ao planejamento institucional</w:t>
            </w:r>
          </w:p>
        </w:tc>
        <w:tc>
          <w:tcPr/>
          <w:p>
            <w:pPr>
              <w:pStyle w:val="Compact"/>
              <w:jc w:val="right"/>
            </w:pPr>
            <w:r>
              <w:t xml:space="preserve">11</w:t>
            </w:r>
          </w:p>
        </w:tc>
        <w:tc>
          <w:tcPr/>
          <w:p>
            <w:pPr>
              <w:pStyle w:val="Compact"/>
              <w:jc w:val="right"/>
            </w:pPr>
            <w:r>
              <w:t xml:space="preserve">18</w:t>
            </w:r>
          </w:p>
        </w:tc>
        <w:tc>
          <w:tcPr/>
          <w:p>
            <w:pPr>
              <w:pStyle w:val="Compact"/>
              <w:jc w:val="right"/>
            </w:pPr>
            <w:r>
              <w:t xml:space="preserve">+7</w:t>
            </w:r>
          </w:p>
        </w:tc>
      </w:tr>
    </w:tbl>
    <w:p>
      <w:pPr>
        <w:pStyle w:val="FonteImagem"/>
      </w:pPr>
      <w:r>
        <w:t xml:space="preserve">(Fonte: elaboração própria, com base na execução comparativa dos procedimentos de auditoria)</w:t>
      </w:r>
    </w:p>
    <w:p>
      <w:pPr>
        <w:pStyle w:val="Corpodetexto"/>
      </w:pPr>
      <w:r>
        <w:t xml:space="preserve">As organizações com maior acréscimo de situações inconformes foram</w:t>
      </w:r>
      <w:r>
        <w:t xml:space="preserve"> </w:t>
      </w:r>
      <w:r>
        <w:rPr>
          <w:b/>
          <w:bCs/>
        </w:rPr>
        <w:t xml:space="preserve">SEFAZ</w:t>
      </w:r>
      <w:r>
        <w:t xml:space="preserve"> </w:t>
      </w:r>
      <w:r>
        <w:t xml:space="preserve">(+11),</w:t>
      </w:r>
      <w:r>
        <w:t xml:space="preserve"> </w:t>
      </w:r>
      <w:r>
        <w:rPr>
          <w:b/>
          <w:bCs/>
        </w:rPr>
        <w:t xml:space="preserve">SES</w:t>
      </w:r>
      <w:r>
        <w:t xml:space="preserve"> </w:t>
      </w:r>
      <w:r>
        <w:t xml:space="preserve">(+9),</w:t>
      </w:r>
      <w:r>
        <w:t xml:space="preserve"> </w:t>
      </w:r>
      <w:r>
        <w:rPr>
          <w:b/>
          <w:bCs/>
        </w:rPr>
        <w:t xml:space="preserve">DETRAN</w:t>
      </w:r>
      <w:r>
        <w:t xml:space="preserve"> </w:t>
      </w:r>
      <w:r>
        <w:t xml:space="preserve">(+7),</w:t>
      </w:r>
      <w:r>
        <w:t xml:space="preserve"> </w:t>
      </w:r>
      <w:r>
        <w:rPr>
          <w:b/>
          <w:bCs/>
        </w:rPr>
        <w:t xml:space="preserve">TERESÓPOLIS</w:t>
      </w:r>
      <w:r>
        <w:t xml:space="preserve"> </w:t>
      </w:r>
      <w:r>
        <w:t xml:space="preserve">(+7),</w:t>
      </w:r>
      <w:r>
        <w:t xml:space="preserve"> </w:t>
      </w:r>
      <w:r>
        <w:rPr>
          <w:b/>
          <w:bCs/>
        </w:rPr>
        <w:t xml:space="preserve">CGE</w:t>
      </w:r>
      <w:r>
        <w:t xml:space="preserve"> </w:t>
      </w:r>
      <w:r>
        <w:t xml:space="preserve">(+6) e</w:t>
      </w:r>
      <w:r>
        <w:t xml:space="preserve"> </w:t>
      </w:r>
      <w:r>
        <w:rPr>
          <w:b/>
          <w:bCs/>
        </w:rPr>
        <w:t xml:space="preserve">SEEDUC</w:t>
      </w:r>
      <w:r>
        <w:t xml:space="preserve"> </w:t>
      </w:r>
      <w:r>
        <w:t xml:space="preserve">(+6). Em termos de achados,</w:t>
      </w:r>
      <w:r>
        <w:t xml:space="preserve"> </w:t>
      </w:r>
      <w:r>
        <w:rPr>
          <w:b/>
          <w:bCs/>
        </w:rPr>
        <w:t xml:space="preserve">CGE</w:t>
      </w:r>
      <w:r>
        <w:t xml:space="preserve">,</w:t>
      </w:r>
      <w:r>
        <w:t xml:space="preserve"> </w:t>
      </w:r>
      <w:r>
        <w:rPr>
          <w:b/>
          <w:bCs/>
        </w:rPr>
        <w:t xml:space="preserve">DETRAN</w:t>
      </w:r>
      <w:r>
        <w:t xml:space="preserve">,</w:t>
      </w:r>
      <w:r>
        <w:t xml:space="preserve"> </w:t>
      </w:r>
      <w:r>
        <w:rPr>
          <w:b/>
          <w:bCs/>
        </w:rPr>
        <w:t xml:space="preserve">IPEM</w:t>
      </w:r>
      <w:r>
        <w:t xml:space="preserve">,</w:t>
      </w:r>
      <w:r>
        <w:t xml:space="preserve"> </w:t>
      </w:r>
      <w:r>
        <w:rPr>
          <w:b/>
          <w:bCs/>
        </w:rPr>
        <w:t xml:space="preserve">SEFAZ</w:t>
      </w:r>
      <w:r>
        <w:t xml:space="preserve">,</w:t>
      </w:r>
      <w:r>
        <w:t xml:space="preserve"> </w:t>
      </w:r>
      <w:r>
        <w:rPr>
          <w:b/>
          <w:bCs/>
        </w:rPr>
        <w:t xml:space="preserve">SES</w:t>
      </w:r>
      <w:r>
        <w:t xml:space="preserve"> </w:t>
      </w:r>
      <w:r>
        <w:t xml:space="preserve">e</w:t>
      </w:r>
      <w:r>
        <w:t xml:space="preserve"> </w:t>
      </w:r>
      <w:r>
        <w:rPr>
          <w:b/>
          <w:bCs/>
        </w:rPr>
        <w:t xml:space="preserve">TJRJ</w:t>
      </w:r>
      <w:r>
        <w:t xml:space="preserve"> </w:t>
      </w:r>
      <w:r>
        <w:t xml:space="preserve">apresentaram acréscimo de duas marcações cada.</w:t>
      </w:r>
    </w:p>
    <w:p>
      <w:pPr>
        <w:pStyle w:val="Corpodetexto"/>
      </w:pPr>
      <w:r>
        <w:t xml:space="preserve">Esse resultado demonstra que a avaliação de evidências teve dupla função. No iGovTI, reduziu a pontuação quando práticas declaradas não foram comprovadas. Na execução dos procedimentos de auditoria, ampliou a identificação de inconformidades, especialmente em temas que exigem documentação institucionalizada e rastreável. Assim, o cenário pós-evidência representa diagnóstico mais rigoroso e mais aderente à comprovação documental disponível.</w:t>
      </w:r>
    </w:p>
    <w:bookmarkEnd w:id="24"/>
    <w:bookmarkStart w:id="25" w:name="interpretação-dos-resultados"/>
    <w:p>
      <w:pPr>
        <w:pStyle w:val="Ttulo1"/>
      </w:pPr>
      <w:r>
        <w:t xml:space="preserve">9. Interpretação dos resultados</w:t>
      </w:r>
    </w:p>
    <w:p>
      <w:pPr>
        <w:pStyle w:val="FirstParagraph"/>
      </w:pPr>
      <w:r>
        <w:t xml:space="preserve">A avaliação de evidências reduziu de forma significativa o resultado do iGovTI 2026. A redução média de</w:t>
      </w:r>
      <w:r>
        <w:t xml:space="preserve"> </w:t>
      </w:r>
      <w:r>
        <w:rPr>
          <w:b/>
          <w:bCs/>
        </w:rPr>
        <w:t xml:space="preserve">0,051 ponto</w:t>
      </w:r>
      <w:r>
        <w:t xml:space="preserve"> </w:t>
      </w:r>
      <w:r>
        <w:t xml:space="preserve">no índice geral e a reclassificação de</w:t>
      </w:r>
      <w:r>
        <w:t xml:space="preserve"> </w:t>
      </w:r>
      <w:r>
        <w:rPr>
          <w:b/>
          <w:bCs/>
        </w:rPr>
        <w:t xml:space="preserve">18 organizações</w:t>
      </w:r>
      <w:r>
        <w:t xml:space="preserve"> </w:t>
      </w:r>
      <w:r>
        <w:t xml:space="preserve">para níveis inferiores demonstram que a etapa de validação documental teve efeito substantivo sobre as conclusões do trabalho.</w:t>
      </w:r>
    </w:p>
    <w:p>
      <w:pPr>
        <w:pStyle w:val="Corpodetexto"/>
      </w:pPr>
      <w:r>
        <w:t xml:space="preserve">O efeito observado indica que parte das práticas declaradas no questionário não estava acompanhada de evidência suficiente para sustentar a pontuação correspondente. Esse achado metodológico é relevante para a interpretação do iGovTI 2026: o resultado pós-evidência tende a ser mais conservador do que um resultado baseado apenas em autodeclaração, pois privilegia práticas comprovadas em detrimento de declarações não confirmadas documentalmente.</w:t>
      </w:r>
    </w:p>
    <w:p>
      <w:pPr>
        <w:pStyle w:val="Corpodetexto"/>
      </w:pPr>
      <w:r>
        <w:t xml:space="preserve">Não se deve interpretar a redução de pontuação, por si só, como juízo definitivo sobre inexistência absoluta da prática em todos os casos. O ajuste indica que, no processo de auditoria, a documentação apresentada não demonstrou suficientemente a situação declarada, segundo os critérios de avaliação aplicados. Assim, a conclusão mais adequada é que houve insuficiência de comprovação para fins de pontuação no iGovTI 2026.</w:t>
      </w:r>
    </w:p>
    <w:p>
      <w:pPr>
        <w:pStyle w:val="Corpodetexto"/>
      </w:pPr>
      <w:r>
        <w:t xml:space="preserve">Sob a perspectiva do relatório consolidado, a avaliação de evidências aumenta a confiabilidade do diagnóstico, mas também torna o resultado menos comparável a levantamentos baseados predominantemente em autodeclaração. Quando houver comparação longitudinal ou comparação com trabalhos anteriores que não tenham exigido o mesmo nível de comprovação documental, essa diferença metodológica deve ser explicitada para evitar interpretações indevidas.</w:t>
      </w:r>
    </w:p>
    <w:bookmarkEnd w:id="25"/>
    <w:bookmarkStart w:id="26" w:name="conclusão"/>
    <w:p>
      <w:pPr>
        <w:pStyle w:val="Ttulo1"/>
      </w:pPr>
      <w:r>
        <w:t xml:space="preserve">10. Conclusão</w:t>
      </w:r>
    </w:p>
    <w:p>
      <w:pPr>
        <w:pStyle w:val="FirstParagraph"/>
      </w:pPr>
      <w:r>
        <w:t xml:space="preserve">A avaliação de evidências foi determinante para o resultado intermediário pós-evidência do iGovTI 2026. Sem essa etapa, a média do índice seria</w:t>
      </w:r>
      <w:r>
        <w:t xml:space="preserve"> </w:t>
      </w:r>
      <w:r>
        <w:rPr>
          <w:b/>
          <w:bCs/>
        </w:rPr>
        <w:t xml:space="preserve">0,235</w:t>
      </w:r>
      <w:r>
        <w:t xml:space="preserve">; com a validação documental, a média pós-evidência foi</w:t>
      </w:r>
      <w:r>
        <w:t xml:space="preserve"> </w:t>
      </w:r>
      <w:r>
        <w:rPr>
          <w:b/>
          <w:bCs/>
        </w:rPr>
        <w:t xml:space="preserve">0,184</w:t>
      </w:r>
      <w:r>
        <w:t xml:space="preserve">. A diferença decorreu de</w:t>
      </w:r>
      <w:r>
        <w:t xml:space="preserve"> </w:t>
      </w:r>
      <w:r>
        <w:rPr>
          <w:b/>
          <w:bCs/>
        </w:rPr>
        <w:t xml:space="preserve">1.964 alterações efetivas</w:t>
      </w:r>
      <w:r>
        <w:t xml:space="preserve"> </w:t>
      </w:r>
      <w:r>
        <w:t xml:space="preserve">em respostas de</w:t>
      </w:r>
      <w:r>
        <w:t xml:space="preserve"> </w:t>
      </w:r>
      <w:r>
        <w:rPr>
          <w:b/>
          <w:bCs/>
        </w:rPr>
        <w:t xml:space="preserve">103 organizações</w:t>
      </w:r>
      <w:r>
        <w:t xml:space="preserve">, com redução no iGovTI de</w:t>
      </w:r>
      <w:r>
        <w:t xml:space="preserve"> </w:t>
      </w:r>
      <w:r>
        <w:rPr>
          <w:b/>
          <w:bCs/>
        </w:rPr>
        <w:t xml:space="preserve">90 organizações</w:t>
      </w:r>
      <w:r>
        <w:t xml:space="preserve"> </w:t>
      </w:r>
      <w:r>
        <w:t xml:space="preserve">e deslocamento de</w:t>
      </w:r>
      <w:r>
        <w:t xml:space="preserve"> </w:t>
      </w:r>
      <w:r>
        <w:rPr>
          <w:b/>
          <w:bCs/>
        </w:rPr>
        <w:t xml:space="preserve">18 organizações</w:t>
      </w:r>
      <w:r>
        <w:t xml:space="preserve"> </w:t>
      </w:r>
      <w:r>
        <w:t xml:space="preserve">para níveis inferiores de maturidade.</w:t>
      </w:r>
    </w:p>
    <w:p>
      <w:pPr>
        <w:pStyle w:val="Corpodetexto"/>
      </w:pPr>
      <w:r>
        <w:t xml:space="preserve">Os resultados demonstram que a etapa de validação documental não foi acessória. Ela alterou materialmente a leitura do cenário de governança e gestão da tecnologia da informação, sobretudo em serviços de TIC, planejamento de TIC e contratações de TIC. Também ampliou a matriz de achados, com acréscimo de</w:t>
      </w:r>
      <w:r>
        <w:t xml:space="preserve"> </w:t>
      </w:r>
      <w:r>
        <w:rPr>
          <w:b/>
          <w:bCs/>
        </w:rPr>
        <w:t xml:space="preserve">37 marcações de achados por auditado</w:t>
      </w:r>
      <w:r>
        <w:t xml:space="preserve"> </w:t>
      </w:r>
      <w:r>
        <w:t xml:space="preserve">e</w:t>
      </w:r>
      <w:r>
        <w:t xml:space="preserve"> </w:t>
      </w:r>
      <w:r>
        <w:rPr>
          <w:b/>
          <w:bCs/>
        </w:rPr>
        <w:t xml:space="preserve">206 situações inconformes</w:t>
      </w:r>
      <w:r>
        <w:t xml:space="preserve"> </w:t>
      </w:r>
      <w:r>
        <w:t xml:space="preserve">quando comparado o cenário de autodeclaração saneada com o cenário validado por evidências. Dessa forma, o resultado pós-evidência e os achados correspondentes devem ser compreendidos como produtos intermediários apurados a partir de respostas submetidas a teste de consistência documental e da análise probatória registrada nas fontes de informação. Os efeitos posteriores dos comentários do gestor são tratados em anexo próprio.</w:t>
      </w:r>
    </w:p>
    <w:p>
      <w:pPr>
        <w:pStyle w:val="Corpodetexto"/>
      </w:pPr>
      <w:r>
        <w:t xml:space="preserve">Essa conclusão reforça a necessidade de que as organizações aprimorem não apenas a execução das práticas de governança e gestão de TI, mas também sua formalização, documentação, atualização e capacidade de comprovação perante instâncias de controle.</w:t>
      </w:r>
    </w:p>
    <w:bookmarkEnd w:id="26"/>
    <w:sectPr w:rsidR="00606095" w:rsidSect="006D2F9D">
      <w:headerReference r:id="rId8" w:type="default"/>
      <w:footnotePr>
        <w:numRestart w:val="eachSect"/>
      </w:footnotePr>
      <w:pgSz w:code="9" w:h="16840" w:w="11907"/>
      <w:pgMar w:bottom="1134" w:footer="709" w:gutter="0" w:header="709" w:left="1701" w:right="1134"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232" w14:textId="139C905F" w:rsidR="00FF4DA3" w:rsidRDefault="0093081C" w:rsidP="00FF4DA3">
    <w:pPr>
      <w:pStyle w:val="Cabealho"/>
    </w:pPr>
    <w:r>
      <w:rPr>
        <w:noProof/>
      </w:rPr>
      <w:pict w14:anchorId="74A97FC3">
        <v:shapetype id="_x0000_t202" coordsize="21600,21600" o:spt="202" path="m,l,21600r21600,l21600,xe">
          <v:stroke joinstyle="miter"/>
          <v:path gradientshapeok="t" o:connecttype="rect"/>
        </v:shapetype>
        <v:shape id="Caixa de Texto 3" o:spid="_x0000_s2053" type="#_x0000_t202" style="position:absolute;left:0;text-align:left;margin-left:52.5pt;margin-top:-1.75pt;width:298.6pt;height:35.8pt;z-index:251664384;visibility:visible;mso-wrap-style:square;mso-width-percent:0;mso-height-percent:0;mso-wrap-distance-left:2.85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" strokecolor="white">
          <v:textbox inset="1.3mm,.2mm">
            <w:txbxContent>
              <w:p w14:paraId="6F1F9180" w14:textId="77777777" w:rsidR="00FF4DA3" w:rsidRPr="00CD5232" w:rsidRDefault="00FF4DA3" w:rsidP="0093081C">
                <w:pPr>
                  <w:spacing w:line="240" w:lineRule="auto"/>
                  <w:rPr>
                    <w:b/>
                    <w:sz w:val="14"/>
                    <w:szCs w:val="18"/>
                  </w:rPr>
                </w:pPr>
                <w:r w:rsidRPr="00CD5232">
                  <w:rPr>
                    <w:b/>
                    <w:sz w:val="14"/>
                    <w:szCs w:val="18"/>
                  </w:rPr>
                  <w:t>TRIBUNAL DE CONTAS DO ESTADO DO RIO DE JANEIRO</w:t>
                </w:r>
              </w:p>
              <w:p w14:paraId="291DD017" w14:textId="77777777" w:rsidR="00FF4DA3" w:rsidRPr="00CD5232" w:rsidRDefault="00FF4DA3" w:rsidP="0093081C">
                <w:pPr>
                  <w:spacing w:line="240" w:lineRule="auto"/>
                  <w:rPr>
                    <w:sz w:val="14"/>
                    <w:szCs w:val="18"/>
                  </w:rPr>
                </w:pPr>
                <w:r w:rsidRPr="00CD5232">
                  <w:rPr>
                    <w:sz w:val="14"/>
                    <w:szCs w:val="18"/>
                  </w:rPr>
                  <w:t>SECRETARIA-GERAL DE CONTROLE EXTERNO</w:t>
                </w:r>
              </w:p>
              <w:p w14:paraId="77C4CE1B" w14:textId="77777777" w:rsidR="00FF4DA3" w:rsidRPr="00CD5232" w:rsidRDefault="00FF4DA3" w:rsidP="0093081C">
                <w:pPr>
                  <w:spacing w:line="240" w:lineRule="auto"/>
                  <w:rPr>
                    <w:sz w:val="14"/>
                    <w:szCs w:val="18"/>
                  </w:rPr>
                </w:pPr>
                <w:r w:rsidRPr="00CD5232">
                  <w:rPr>
                    <w:sz w:val="14"/>
                    <w:szCs w:val="18"/>
                  </w:rPr>
                  <w:t xml:space="preserve">SUBSECRETARIA DE CONTROLE DE POLÍTICAS DE CIDADANIA </w:t>
                </w:r>
              </w:p>
              <w:p w14:paraId="5423D426" w14:textId="77777777" w:rsidR="00FF4DA3" w:rsidRPr="00A948E5" w:rsidRDefault="00FF4DA3" w:rsidP="00FF4DA3">
                <w:pPr>
                  <w:rPr>
                    <w:sz w:val="14"/>
                    <w:szCs w:val="18"/>
                  </w:rPr>
                </w:pPr>
                <w:r w:rsidRPr="00CD5232">
                  <w:rPr>
                    <w:sz w:val="14"/>
                    <w:szCs w:val="18"/>
                  </w:rPr>
                  <w:t>COORDENADORIA DE AUDITORIA EM POLÍTICAS DE TECNOLOGIA DA INFORMAÇÃO</w:t>
                </w:r>
              </w:p>
            </w:txbxContent>
          </v:textbox>
        </v:shape>
      </w:pict>
    </w:r>
    <w:r w:rsidR="00FF4DA3">
      <w:rPr>
        <w:noProof/>
      </w:rPr>
      <w:drawing>
        <wp:inline distT="0" distB="0" distL="0" distR="0" wp14:anchorId="3245DFF7" wp14:editId="3DADE19E">
          <wp:extent cx="714375" cy="3619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14:paraId="6AE766A3" w14:textId="1A1C8759" w:rsidR="00064288" w:rsidRPr="005428AC" w:rsidRDefault="0093081C">
    <w:pPr>
      <w:pStyle w:val="Cabealho"/>
      <w:rPr>
        <w:sz w:val="20"/>
        <w:szCs w:val="20"/>
      </w:rPr>
    </w:pPr>
    <w:r>
      <w:rPr>
        <w:noProof/>
        <w:sz w:val="20"/>
        <w:szCs w:val="20"/>
      </w:rPr>
      <w:pict w14:anchorId="23726EF9">
        <v:line id="Conector reto 2" o:spid="_x0000_s2052"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5pt" to="4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G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"/>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2D4471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52432421"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7" v:ext="edit"/>
    <o:shapelayout v:ext="edit">
      <o:idmap data="2" v:ext="edit"/>
    </o:shapelayou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1120D"/>
    <w:rsid w:val="00007C95"/>
    <w:rsid w:val="00064288"/>
    <w:rsid w:val="00085256"/>
    <w:rsid w:val="000A5FD8"/>
    <w:rsid w:val="00157ECC"/>
    <w:rsid w:val="00215569"/>
    <w:rsid w:val="00271898"/>
    <w:rsid w:val="0048311A"/>
    <w:rsid w:val="005428AC"/>
    <w:rsid w:val="0054564E"/>
    <w:rsid w:val="005617BF"/>
    <w:rsid w:val="00606095"/>
    <w:rsid w:val="006453B3"/>
    <w:rsid w:val="00694D60"/>
    <w:rsid w:val="006B1414"/>
    <w:rsid w:val="006D2F9D"/>
    <w:rsid w:val="0075219E"/>
    <w:rsid w:val="00757FDF"/>
    <w:rsid w:val="007C2B2A"/>
    <w:rsid w:val="007F4829"/>
    <w:rsid w:val="008471F3"/>
    <w:rsid w:val="008F0F00"/>
    <w:rsid w:val="0093081C"/>
    <w:rsid w:val="009F1906"/>
    <w:rsid w:val="00A14DE5"/>
    <w:rsid w:val="00A43C01"/>
    <w:rsid w:val="00A85235"/>
    <w:rsid w:val="00AA1CF3"/>
    <w:rsid w:val="00AE365B"/>
    <w:rsid w:val="00B206BF"/>
    <w:rsid w:val="00BC1C70"/>
    <w:rsid w:val="00BC29DC"/>
    <w:rsid w:val="00BF7F2E"/>
    <w:rsid w:val="00CF400E"/>
    <w:rsid w:val="00D33F30"/>
    <w:rsid w:val="00D77C93"/>
    <w:rsid w:val="00EA58BE"/>
    <w:rsid w:val="00F1120D"/>
    <w:rsid w:val="00FF4D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1CF3"/>
    <w:pPr>
      <w:spacing w:after="0" w:line="360" w:lineRule="auto"/>
      <w:jc w:val="both"/>
    </w:pPr>
    <w:rPr>
      <w:rFonts w:ascii="Arial" w:hAnsi="Arial"/>
      <w:sz w:val="22"/>
    </w:rPr>
  </w:style>
  <w:style w:styleId="Ttulo1" w:type="paragraph">
    <w:name w:val="heading 1"/>
    <w:basedOn w:val="Normal"/>
    <w:next w:val="Corpodetexto"/>
    <w:link w:val="Ttulo1Char"/>
    <w:uiPriority w:val="9"/>
    <w:qFormat/>
    <w:rsid w:val="00606095"/>
    <w:pPr>
      <w:keepNext/>
      <w:keepLines/>
      <w:spacing w:after="240" w:before="120"/>
      <w:outlineLvl w:val="0"/>
    </w:pPr>
    <w:rPr>
      <w:rFonts w:ascii="Cambria" w:cstheme="majorBidi" w:eastAsiaTheme="majorEastAsia" w:hAnsi="Cambria"/>
      <w:b/>
      <w:color w:val="2F5496"/>
      <w:sz w:val="32"/>
      <w:szCs w:val="40"/>
    </w:rPr>
  </w:style>
  <w:style w:styleId="Ttulo2" w:type="paragraph">
    <w:name w:val="heading 2"/>
    <w:basedOn w:val="Normal"/>
    <w:next w:val="Corpodetexto"/>
    <w:link w:val="Ttulo2Char"/>
    <w:autoRedefine/>
    <w:uiPriority w:val="9"/>
    <w:unhideWhenUsed/>
    <w:qFormat/>
    <w:rsid w:val="005617BF"/>
    <w:pPr>
      <w:keepNext/>
      <w:keepLines/>
      <w:spacing w:after="120" w:before="120"/>
      <w:outlineLvl w:val="1"/>
    </w:pPr>
    <w:rPr>
      <w:rFonts w:ascii="Cambria" w:cstheme="majorBidi" w:eastAsiaTheme="majorEastAsia" w:hAnsi="Cambria"/>
      <w:b/>
      <w:color w:val="2F5496"/>
      <w:sz w:val="28"/>
      <w:szCs w:val="32"/>
    </w:rPr>
  </w:style>
  <w:style w:styleId="Ttulo3" w:type="paragraph">
    <w:name w:val="heading 3"/>
    <w:basedOn w:val="Normal"/>
    <w:next w:val="Corpodetexto"/>
    <w:link w:val="Ttulo3Char"/>
    <w:autoRedefine/>
    <w:uiPriority w:val="9"/>
    <w:unhideWhenUsed/>
    <w:qFormat/>
    <w:rsid w:val="005617BF"/>
    <w:pPr>
      <w:keepNext/>
      <w:keepLines/>
      <w:spacing w:after="120" w:before="120"/>
      <w:outlineLvl w:val="2"/>
    </w:pPr>
    <w:rPr>
      <w:rFonts w:ascii="Cambria" w:cstheme="majorBidi" w:eastAsiaTheme="majorEastAsia" w:hAnsi="Cambria"/>
      <w:b/>
      <w:color w:val="2F5496"/>
      <w:sz w:val="26"/>
      <w:szCs w:val="28"/>
    </w:rPr>
  </w:style>
  <w:style w:styleId="Ttulo4" w:type="paragraph">
    <w:name w:val="heading 4"/>
    <w:basedOn w:val="Normal"/>
    <w:next w:val="Corpodetexto"/>
    <w:link w:val="Ttulo4Char"/>
    <w:uiPriority w:val="9"/>
    <w:semiHidden/>
    <w:unhideWhenUsed/>
    <w:qFormat/>
    <w:rsid w:val="005617BF"/>
    <w:pPr>
      <w:keepNext/>
      <w:keepLines/>
      <w:spacing w:after="60" w:before="60"/>
      <w:outlineLvl w:val="3"/>
    </w:pPr>
    <w:rPr>
      <w:rFonts w:cstheme="majorBidi" w:eastAsiaTheme="majorEastAsia"/>
      <w:b/>
      <w:iCs/>
      <w:color w:themeColor="text1" w:val="000000"/>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rsid w:val="008F0F00"/>
    <w:pPr>
      <w:ind w:firstLine="720"/>
    </w:pPr>
  </w:style>
  <w:style w:customStyle="1" w:styleId="FirstParagraph" w:type="paragraph">
    <w:name w:val="First Paragraph"/>
    <w:basedOn w:val="Corpodetexto"/>
    <w:next w:val="Corpodetexto"/>
    <w:autoRedefine/>
    <w:qFormat/>
  </w:style>
  <w:style w:customStyle="1" w:styleId="Compact" w:type="paragraph">
    <w:name w:val="Compact"/>
    <w:basedOn w:val="Corpodetexto"/>
    <w:autoRedefine/>
    <w:qFormat/>
    <w:rsid w:val="00BF7F2E"/>
    <w:pPr>
      <w:spacing w:after="36" w:before="36"/>
      <w:ind w:firstLine="0"/>
    </w:pPr>
  </w:style>
  <w:style w:styleId="Ttulo" w:type="paragraph">
    <w:name w:val="Title"/>
    <w:basedOn w:val="Normal"/>
    <w:next w:val="Corpodetexto"/>
    <w:link w:val="TtuloChar"/>
    <w:autoRedefine/>
    <w:uiPriority w:val="10"/>
    <w:qFormat/>
    <w:rsid w:val="00CF400E"/>
    <w:pPr>
      <w:spacing w:before="5600"/>
      <w:jc w:val="center"/>
    </w:pPr>
    <w:rPr>
      <w:rFonts w:cstheme="majorBidi" w:eastAsiaTheme="majorEastAsia"/>
      <w:b/>
      <w:color w:val="2F5496"/>
      <w:spacing w:val="-10"/>
      <w:kern w:val="28"/>
      <w:sz w:val="44"/>
      <w:szCs w:val="56"/>
    </w:rPr>
  </w:style>
  <w:style w:customStyle="1" w:styleId="TtuloChar" w:type="character">
    <w:name w:val="Título Char"/>
    <w:basedOn w:val="Fontepargpadro"/>
    <w:link w:val="Ttulo"/>
    <w:uiPriority w:val="10"/>
    <w:rsid w:val="00CF400E"/>
    <w:rPr>
      <w:rFonts w:ascii="Arial" w:cstheme="majorBidi" w:eastAsiaTheme="majorEastAsia" w:hAnsi="Arial"/>
      <w:b/>
      <w:color w:val="2F5496"/>
      <w:spacing w:val="-10"/>
      <w:kern w:val="28"/>
      <w:sz w:val="44"/>
      <w:szCs w:val="56"/>
    </w:rPr>
  </w:style>
  <w:style w:styleId="Subttulo" w:type="paragraph">
    <w:name w:val="Subtitle"/>
    <w:basedOn w:val="Ttulo"/>
    <w:next w:val="Corpodetexto"/>
    <w:link w:val="SubttuloChar"/>
    <w:autoRedefine/>
    <w:uiPriority w:val="11"/>
    <w:qFormat/>
    <w:rsid w:val="007C2B2A"/>
    <w:pPr>
      <w:numPr>
        <w:ilvl w:val="1"/>
      </w:numPr>
      <w:spacing w:after="7000" w:before="0"/>
    </w:pPr>
    <w:rPr>
      <w:spacing w:val="15"/>
      <w:sz w:val="28"/>
      <w:szCs w:val="28"/>
    </w:rPr>
  </w:style>
  <w:style w:customStyle="1" w:styleId="SubttuloChar" w:type="character">
    <w:name w:val="Subtítulo Char"/>
    <w:basedOn w:val="Fontepargpadro"/>
    <w:link w:val="Subttulo"/>
    <w:uiPriority w:val="11"/>
    <w:rsid w:val="007C2B2A"/>
    <w:rPr>
      <w:rFonts w:ascii="Arial" w:cstheme="majorBidi" w:eastAsiaTheme="majorEastAsia" w:hAnsi="Arial"/>
      <w:b/>
      <w:color w:val="2F5496"/>
      <w:spacing w:val="15"/>
      <w:kern w:val="28"/>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606095"/>
    <w:rPr>
      <w:rFonts w:ascii="Cambria" w:cstheme="majorBidi" w:eastAsiaTheme="majorEastAsia" w:hAnsi="Cambria"/>
      <w:b/>
      <w:color w:val="2F5496"/>
      <w:sz w:val="32"/>
      <w:szCs w:val="40"/>
    </w:rPr>
  </w:style>
  <w:style w:customStyle="1" w:styleId="Ttulo2Char" w:type="character">
    <w:name w:val="Título 2 Char"/>
    <w:basedOn w:val="Fontepargpadro"/>
    <w:link w:val="Ttulo2"/>
    <w:uiPriority w:val="9"/>
    <w:rsid w:val="005617BF"/>
    <w:rPr>
      <w:rFonts w:ascii="Cambria" w:cstheme="majorBidi" w:eastAsiaTheme="majorEastAsia" w:hAnsi="Cambria"/>
      <w:b/>
      <w:color w:val="2F5496"/>
      <w:sz w:val="28"/>
      <w:szCs w:val="32"/>
    </w:rPr>
  </w:style>
  <w:style w:customStyle="1" w:styleId="Ttulo3Char" w:type="character">
    <w:name w:val="Título 3 Char"/>
    <w:basedOn w:val="Fontepargpadro"/>
    <w:link w:val="Ttulo3"/>
    <w:uiPriority w:val="9"/>
    <w:rsid w:val="005617BF"/>
    <w:rPr>
      <w:rFonts w:ascii="Cambria" w:cstheme="majorBidi" w:eastAsiaTheme="majorEastAsia" w:hAnsi="Cambria"/>
      <w:b/>
      <w:color w:val="2F5496"/>
      <w:sz w:val="26"/>
      <w:szCs w:val="28"/>
    </w:rPr>
  </w:style>
  <w:style w:customStyle="1" w:styleId="Ttulo4Char" w:type="character">
    <w:name w:val="Título 4 Char"/>
    <w:basedOn w:val="Fontepargpadro"/>
    <w:link w:val="Ttulo4"/>
    <w:uiPriority w:val="9"/>
    <w:semiHidden/>
    <w:rsid w:val="005617BF"/>
    <w:rPr>
      <w:rFonts w:ascii="Arial" w:cstheme="majorBidi" w:eastAsiaTheme="majorEastAsia" w:hAnsi="Arial"/>
      <w:b/>
      <w:iCs/>
      <w:color w:themeColor="text1" w:val="000000"/>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firstLine="0" w:left="480" w:right="480"/>
    </w:pPr>
  </w:style>
  <w:style w:styleId="Textodenotaderodap" w:type="paragraph">
    <w:name w:val="footnote text"/>
    <w:basedOn w:val="Normal"/>
    <w:autoRedefine/>
    <w:uiPriority w:val="9"/>
    <w:unhideWhenUsed/>
    <w:qFormat/>
    <w:rsid w:val="00694D60"/>
    <w:pPr>
      <w:spacing w:after="60" w:line="240" w:lineRule="auto"/>
    </w:pPr>
    <w:rPr>
      <w:sz w:val="18"/>
    </w:rPr>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basedOn w:val="TabeladeGrade4-nfase1"/>
    <w:semiHidden/>
    <w:unhideWhenUsed/>
    <w:qFormat/>
    <w:rsid w:val="00215569"/>
    <w:tblPr/>
    <w:tblStylePr w:type="firstRow">
      <w:rPr>
        <w:b/>
        <w:bCs/>
        <w:color w:themeColor="background1" w:val="FFFFFF"/>
      </w:rPr>
      <w:tblPr>
        <w:jc w:val="left"/>
      </w:tblPr>
      <w:trPr>
        <w:jc w:val="left"/>
      </w:trPr>
      <w:tcPr>
        <w:tcBorders>
          <w:bottom w:color="auto" w:space="0" w:sz="0" w:val="single"/>
        </w:tcBorders>
        <w:shd w:color="auto" w:fill="4472C4" w:val="clear"/>
        <w:vAlign w:val="bottom"/>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autoRedefine/>
    <w:qFormat/>
    <w:rsid w:val="00157ECC"/>
    <w:pPr>
      <w:keepNext/>
      <w:spacing w:after="0" w:before="120"/>
      <w:jc w:val="center"/>
    </w:pPr>
    <w:rPr>
      <w:b/>
      <w:i w:val="0"/>
      <w:color w:val="4472C4"/>
      <w:sz w:val="18"/>
    </w:rPr>
  </w:style>
  <w:style w:customStyle="1" w:styleId="ImageCaption" w:type="paragraph">
    <w:name w:val="Image Caption"/>
    <w:basedOn w:val="Legenda"/>
    <w:autoRedefine/>
    <w:qFormat/>
    <w:rsid w:val="00606095"/>
    <w:pPr>
      <w:spacing w:after="0" w:before="120"/>
      <w:jc w:val="center"/>
    </w:pPr>
    <w:rPr>
      <w:b/>
      <w:i w:val="0"/>
      <w:color w:val="4472C4"/>
      <w:sz w:val="18"/>
    </w:rPr>
  </w:style>
  <w:style w:customStyle="1" w:styleId="Figure" w:type="paragraph">
    <w:name w:val="Figure"/>
    <w:basedOn w:val="Normal"/>
  </w:style>
  <w:style w:customStyle="1" w:styleId="CaptionedFigure" w:type="paragraph">
    <w:name w:val="Captioned Figure"/>
    <w:basedOn w:val="Figure"/>
    <w:autoRedefine/>
    <w:rsid w:val="00085256"/>
    <w:pPr>
      <w:keepNext/>
      <w:spacing w:before="120"/>
      <w:jc w:val="center"/>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sid w:val="00B206BF"/>
    <w:rPr>
      <w:color w:val="0000FF"/>
      <w:u w:val="single"/>
    </w:rPr>
  </w:style>
  <w:style w:styleId="CabealhodoSumrio" w:type="paragraph">
    <w:name w:val="TOC Heading"/>
    <w:basedOn w:val="Ttulo1"/>
    <w:next w:val="Corpodetexto"/>
    <w:uiPriority w:val="39"/>
    <w:unhideWhenUsed/>
    <w:qFormat/>
    <w:pPr>
      <w:spacing w:before="240" w:line="259" w:lineRule="auto"/>
      <w:outlineLvl w:val="9"/>
    </w:pPr>
    <w:rPr>
      <w:rFonts w:asciiTheme="majorHAnsi" w:hAnsiTheme="majorHAnsi"/>
      <w:color w:themeColor="accent1" w:themeShade="BF" w:val="0F4761"/>
    </w:rPr>
  </w:style>
  <w:style w:customStyle="1" w:styleId="FonteImagem" w:type="paragraph">
    <w:name w:val="FonteImagem"/>
    <w:basedOn w:val="Definition"/>
    <w:next w:val="Normal"/>
    <w:autoRedefine/>
    <w:qFormat/>
    <w:rsid w:val="00085256"/>
    <w:pPr>
      <w:spacing w:after="240"/>
      <w:jc w:val="center"/>
    </w:pPr>
    <w:rPr>
      <w:color w:themeColor="text1" w:val="000000"/>
      <w:sz w:val="16"/>
    </w:rPr>
  </w:style>
  <w:style w:styleId="Cabealho" w:type="paragraph">
    <w:name w:val="header"/>
    <w:basedOn w:val="Normal"/>
    <w:link w:val="CabealhoChar"/>
    <w:uiPriority w:val="99"/>
    <w:rsid w:val="00064288"/>
    <w:pPr>
      <w:tabs>
        <w:tab w:pos="4252" w:val="center"/>
        <w:tab w:pos="8504" w:val="right"/>
      </w:tabs>
    </w:pPr>
  </w:style>
  <w:style w:customStyle="1" w:styleId="CabealhoChar" w:type="character">
    <w:name w:val="Cabeçalho Char"/>
    <w:basedOn w:val="Fontepargpadro"/>
    <w:link w:val="Cabealho"/>
    <w:uiPriority w:val="99"/>
    <w:rsid w:val="00064288"/>
  </w:style>
  <w:style w:styleId="Rodap" w:type="paragraph">
    <w:name w:val="footer"/>
    <w:basedOn w:val="Normal"/>
    <w:link w:val="RodapChar"/>
    <w:rsid w:val="00064288"/>
    <w:pPr>
      <w:tabs>
        <w:tab w:pos="4252" w:val="center"/>
        <w:tab w:pos="8504" w:val="right"/>
      </w:tabs>
    </w:pPr>
  </w:style>
  <w:style w:customStyle="1" w:styleId="RodapChar" w:type="character">
    <w:name w:val="Rodapé Char"/>
    <w:basedOn w:val="Fontepargpadro"/>
    <w:link w:val="Rodap"/>
    <w:rsid w:val="00064288"/>
  </w:style>
  <w:style w:styleId="SemEspaamento" w:type="paragraph">
    <w:name w:val="No Spacing"/>
    <w:uiPriority w:val="1"/>
    <w:qFormat/>
    <w:rsid w:val="00064288"/>
    <w:pPr>
      <w:spacing w:after="0"/>
      <w:jc w:val="both"/>
    </w:pPr>
    <w:rPr>
      <w:rFonts w:ascii="Calibri" w:cs="Calibri" w:eastAsiaTheme="minorEastAsia" w:hAnsi="Calibri"/>
      <w:sz w:val="20"/>
      <w:szCs w:val="20"/>
      <w:lang w:eastAsia="pt-BR" w:val="pt-BR"/>
    </w:rPr>
  </w:style>
  <w:style w:styleId="Tabelacomgrade" w:type="table">
    <w:name w:val="Table Grid"/>
    <w:basedOn w:val="Tabelanormal"/>
    <w:rsid w:val="0075219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3" w:type="table">
    <w:name w:val="Grid Table 3"/>
    <w:basedOn w:val="Tabelanormal"/>
    <w:rsid w:val="0075219E"/>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TabelaAuditoria" w:type="table">
    <w:name w:val="TabelaAuditoria"/>
    <w:basedOn w:val="Tabelanormal"/>
    <w:uiPriority w:val="99"/>
    <w:rsid w:val="0075219E"/>
    <w:pPr>
      <w:spacing w:after="0"/>
    </w:pPr>
    <w:rPr>
      <w:rFonts w:ascii="Calibri" w:hAnsi="Calibri"/>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4-nfase1" w:type="table">
    <w:name w:val="Grid Table 4 Accent 1"/>
    <w:basedOn w:val="Tabelanormal"/>
    <w:uiPriority w:val="49"/>
    <w:rsid w:val="00215569"/>
    <w:pPr>
      <w:spacing w:after="0"/>
    </w:pPr>
    <w:rPr>
      <w:rFonts w:ascii="Calibri" w:hAnsi="Calibri"/>
      <w:sz w:val="18"/>
    </w:rPr>
    <w:tblPr>
      <w:tblStyleRowBandSize w:val="1"/>
      <w:tblStyleColBandSize w:val="1"/>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Pr>
    <w:tblStylePr w:type="firstRow">
      <w:rPr>
        <w:b/>
        <w:bCs/>
        <w:color w:themeColor="background1" w:val="FFFFFF"/>
      </w:rPr>
      <w:tblPr/>
      <w:tcPr>
        <w:shd w:color="auto" w:fill="4472C4"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styleId="Nmerodepgina" w:type="character">
    <w:name w:val="page number"/>
    <w:basedOn w:val="Fontepargpadro"/>
    <w:rsid w:val="00FF4DA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67</Words>
  <Characters>370</Characters>
  <Application>Microsoft Office Word</Application>
  <DocSecurity>0</DocSecurity>
  <Lines>41</Lines>
  <Paragraphs>43</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Impacto da Avaliação de Evidências</dc:title>
  <dc:creator/>
  <dc:language>pt-BR</dc:language>
  <cp:keywords/>
  <dcterms:created xsi:type="dcterms:W3CDTF">2026-08-21T00:27:55Z</dcterms:created>
  <dcterms:modified xsi:type="dcterms:W3CDTF">2026-08-21T00:27:55Z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ies>
</file>